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1F3864"/>
          <w:sz w:val="40"/>
        </w:rPr>
        <w:t>COMPLIANCE REVIEW MEETING</w:t>
      </w:r>
    </w:p>
    <w:p>
      <w:r>
        <w:rPr>
          <w:i/>
          <w:color w:val="595959"/>
          <w:sz w:val="22"/>
        </w:rPr>
        <w:t>Meeting Minutes  |  Compliance Steering Committee  |  Reference MIN-CRM-0004</w:t>
      </w:r>
    </w:p>
    <w:p>
      <w:pPr>
        <w:pBdr>
          <w:bottom w:val="single" w:sz="6" w:space="1" w:color="2E75B6"/>
        </w:pBdr>
      </w:pPr>
    </w:p>
    <w:p/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Meeting Reference: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MIN-CRM-0004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Meeting Date: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October 16, 2024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Committee: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Compliance Steering Committee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Chair: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Kenneth Taylor (EMP-40427) — Deputy Manager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Attendees: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7 participants (listed in Section 1)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Classification: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Internal — Confidential</w:t>
            </w:r>
          </w:p>
        </w:tc>
      </w:tr>
    </w:tbl>
    <w:p/>
    <w:p>
      <w:pPr>
        <w:spacing w:before="160" w:after="80"/>
      </w:pPr>
      <w:r>
        <w:rPr>
          <w:rFonts w:ascii="Calibri" w:hAnsi="Calibri"/>
          <w:b/>
          <w:color w:val="1F3864"/>
          <w:sz w:val="32"/>
        </w:rPr>
        <w:t>1. ATTENDEES</w:t>
      </w:r>
    </w:p>
    <w:p>
      <w:pPr>
        <w:pStyle w:val="ListBullet"/>
      </w:pPr>
      <w:r>
        <w:rPr>
          <w:sz w:val="21"/>
        </w:rPr>
        <w:t>Ashley Harris (EMP-50128) — Senior Manager</w:t>
      </w:r>
    </w:p>
    <w:p>
      <w:pPr>
        <w:pStyle w:val="ListBullet"/>
      </w:pPr>
      <w:r>
        <w:rPr>
          <w:sz w:val="21"/>
        </w:rPr>
        <w:t>Raymond Burke (EMP-61710) — Senior Manager</w:t>
      </w:r>
    </w:p>
    <w:p>
      <w:pPr>
        <w:pStyle w:val="ListBullet"/>
      </w:pPr>
      <w:r>
        <w:rPr>
          <w:sz w:val="21"/>
        </w:rPr>
        <w:t>Kathy Noble (EMP-73545) — Team Lead</w:t>
      </w:r>
    </w:p>
    <w:p>
      <w:pPr>
        <w:pStyle w:val="ListBullet"/>
      </w:pPr>
      <w:r>
        <w:rPr>
          <w:sz w:val="21"/>
        </w:rPr>
        <w:t>Sarah George (EMP-17186) — Manager</w:t>
      </w:r>
    </w:p>
    <w:p>
      <w:pPr>
        <w:pStyle w:val="ListBullet"/>
      </w:pPr>
      <w:r>
        <w:rPr>
          <w:sz w:val="21"/>
        </w:rPr>
        <w:t>Nicholas Morgan (EMP-10550) — Senior Analyst</w:t>
      </w:r>
    </w:p>
    <w:p>
      <w:pPr>
        <w:pStyle w:val="ListBullet"/>
      </w:pPr>
      <w:r>
        <w:rPr>
          <w:sz w:val="21"/>
        </w:rPr>
        <w:t>Karl Rodriguez (EMP-72572) — Deputy Manager</w:t>
      </w:r>
    </w:p>
    <w:p>
      <w:pPr>
        <w:pStyle w:val="ListBullet"/>
      </w:pPr>
      <w:r>
        <w:rPr>
          <w:sz w:val="21"/>
        </w:rPr>
        <w:t>Emily Austin (EMP-13370) — Senior Manager</w:t>
      </w:r>
    </w:p>
    <w:p>
      <w:pPr>
        <w:spacing w:before="160" w:after="80"/>
      </w:pPr>
      <w:r>
        <w:rPr>
          <w:rFonts w:ascii="Calibri" w:hAnsi="Calibri"/>
          <w:b/>
          <w:color w:val="1F3864"/>
          <w:sz w:val="32"/>
        </w:rPr>
        <w:t>2. AGENDA</w:t>
      </w:r>
    </w:p>
    <w:p>
      <w:pPr>
        <w:pStyle w:val="ListNumber"/>
      </w:pPr>
      <w:r>
        <w:rPr>
          <w:sz w:val="21"/>
        </w:rPr>
        <w:t>Policy exception requests requiring committee approval</w:t>
      </w:r>
    </w:p>
    <w:p>
      <w:pPr>
        <w:pStyle w:val="ListNumber"/>
      </w:pPr>
      <w:r>
        <w:rPr>
          <w:sz w:val="21"/>
        </w:rPr>
        <w:t>Review of compliance training completion rates</w:t>
      </w:r>
    </w:p>
    <w:p>
      <w:pPr>
        <w:pStyle w:val="ListNumber"/>
      </w:pPr>
      <w:r>
        <w:rPr>
          <w:sz w:val="21"/>
        </w:rPr>
        <w:t>Regulatory framework update (ISO 27001 / SOC 2 / GDPR)</w:t>
      </w:r>
    </w:p>
    <w:p>
      <w:pPr>
        <w:pStyle w:val="ListNumber"/>
      </w:pPr>
      <w:r>
        <w:rPr>
          <w:sz w:val="21"/>
        </w:rPr>
        <w:t>Discussion of non-compliant vendor remediation plans</w:t>
      </w:r>
    </w:p>
    <w:p>
      <w:pPr>
        <w:spacing w:before="160" w:after="80"/>
      </w:pPr>
      <w:r>
        <w:rPr>
          <w:rFonts w:ascii="Calibri" w:hAnsi="Calibri"/>
          <w:b/>
          <w:color w:val="1F3864"/>
          <w:sz w:val="32"/>
        </w:rPr>
        <w:t>3. DISCUSSION SUMMARY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• Policy exception requests requiring committee approval: 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   The committee reviewed current status and agreed next steps would be tracked via the standard action item process.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• Review of compliance training completion rates: 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   The committee reviewed current status and agreed next steps would be tracked via the standard action item process.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• Regulatory framework update (ISO 27001 / SOC 2 / GDPR): 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   The committee reviewed current status and agreed next steps would be tracked via the standard action item process.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• Discussion of non-compliant vendor remediation plans: 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   The committee reviewed vendor RapidCore Consulting Holdings (VND-04330), currently rated LOW risk with status ACTIVE. Discussion centred on whether existing contract CON-002689 should be revisited in light of this rating.</w:t>
      </w:r>
    </w:p>
    <w:p>
      <w:pPr>
        <w:spacing w:before="160" w:after="80"/>
      </w:pPr>
      <w:r>
        <w:rPr>
          <w:rFonts w:ascii="Calibri" w:hAnsi="Calibri"/>
          <w:b/>
          <w:color w:val="1F3864"/>
          <w:sz w:val="32"/>
        </w:rPr>
        <w:t>4. DECISIONS</w:t>
      </w:r>
    </w:p>
    <w:p>
      <w:pPr>
        <w:pStyle w:val="ListBullet"/>
      </w:pPr>
      <w:r>
        <w:rPr>
          <w:sz w:val="21"/>
        </w:rPr>
        <w:t>Agreed to suspend payments to vendor RapidCore Consulting Holdings pending compliance renewal.</w:t>
      </w:r>
    </w:p>
    <w:p>
      <w:pPr>
        <w:pStyle w:val="ListBullet"/>
      </w:pPr>
      <w:r>
        <w:rPr>
          <w:sz w:val="21"/>
        </w:rPr>
        <w:t>Approved budget for enhanced monitoring tooling in the next audit cycle.</w:t>
      </w:r>
    </w:p>
    <w:p>
      <w:pPr>
        <w:spacing w:before="160" w:after="80"/>
      </w:pPr>
      <w:r>
        <w:rPr>
          <w:rFonts w:ascii="Calibri" w:hAnsi="Calibri"/>
          <w:b/>
          <w:color w:val="1F3864"/>
          <w:sz w:val="32"/>
        </w:rPr>
        <w:t>5. ACTION ITEMS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  <w:t>Action Item</w:t>
            </w:r>
          </w:p>
        </w:tc>
        <w:tc>
          <w:tcPr>
            <w:tcW w:type="dxa" w:w="3216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3216"/>
          </w:tcPr>
          <w:p>
            <w:r>
              <w:rPr>
                <w:b/>
              </w:rPr>
              <w:t>Due Date</w:t>
            </w:r>
          </w:p>
        </w:tc>
      </w:tr>
      <w:tr>
        <w:tc>
          <w:tcPr>
            <w:tcW w:type="dxa" w:w="3216"/>
          </w:tcPr>
          <w:p>
            <w:r>
              <w:t>Prepare detailed remediation timeline for finding FND-001233.</w:t>
            </w:r>
          </w:p>
        </w:tc>
        <w:tc>
          <w:tcPr>
            <w:tcW w:type="dxa" w:w="3216"/>
          </w:tcPr>
          <w:p>
            <w:r>
              <w:t>Ashley Harris (EMP-50128)</w:t>
            </w:r>
          </w:p>
        </w:tc>
        <w:tc>
          <w:tcPr>
            <w:tcW w:type="dxa" w:w="3216"/>
          </w:tcPr>
          <w:p>
            <w:r>
              <w:t>2024-11-13</w:t>
            </w:r>
          </w:p>
        </w:tc>
      </w:tr>
      <w:tr>
        <w:tc>
          <w:tcPr>
            <w:tcW w:type="dxa" w:w="3216"/>
          </w:tcPr>
          <w:p>
            <w:r>
              <w:t>Update risk register to reflect revised vendor risk rating.</w:t>
            </w:r>
          </w:p>
        </w:tc>
        <w:tc>
          <w:tcPr>
            <w:tcW w:type="dxa" w:w="3216"/>
          </w:tcPr>
          <w:p>
            <w:r>
              <w:t>Ashley Harris (EMP-50128)</w:t>
            </w:r>
          </w:p>
        </w:tc>
        <w:tc>
          <w:tcPr>
            <w:tcW w:type="dxa" w:w="3216"/>
          </w:tcPr>
          <w:p>
            <w:r>
              <w:t>2024-10-24</w:t>
            </w:r>
          </w:p>
        </w:tc>
      </w:tr>
      <w:tr>
        <w:tc>
          <w:tcPr>
            <w:tcW w:type="dxa" w:w="3216"/>
          </w:tcPr>
          <w:p>
            <w:r>
              <w:t>Schedule follow-up investigation review for INV-00162.</w:t>
            </w:r>
          </w:p>
        </w:tc>
        <w:tc>
          <w:tcPr>
            <w:tcW w:type="dxa" w:w="3216"/>
          </w:tcPr>
          <w:p>
            <w:r>
              <w:t>Sarah George (EMP-17186)</w:t>
            </w:r>
          </w:p>
        </w:tc>
        <w:tc>
          <w:tcPr>
            <w:tcW w:type="dxa" w:w="3216"/>
          </w:tcPr>
          <w:p>
            <w:r>
              <w:t>2024-10-23</w:t>
            </w:r>
          </w:p>
        </w:tc>
      </w:tr>
    </w:tbl>
    <w:p/>
    <w:p>
      <w:pPr>
        <w:spacing w:before="160" w:after="80"/>
      </w:pPr>
      <w:r>
        <w:rPr>
          <w:rFonts w:ascii="Calibri" w:hAnsi="Calibri"/>
          <w:b/>
          <w:color w:val="1F3864"/>
          <w:sz w:val="32"/>
        </w:rPr>
        <w:t>6. NEXT MEETING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>The next compliance review meeting is scheduled for November 15, 2024.</w:t>
      </w:r>
    </w:p>
    <w:p/>
    <w:p>
      <w:pPr>
        <w:pBdr>
          <w:bottom w:val="single" w:sz="6" w:space="1" w:color="2E75B6"/>
        </w:pBdr>
      </w:pPr>
    </w:p>
    <w:p>
      <w:r>
        <w:rPr>
          <w:i/>
          <w:color w:val="595959"/>
          <w:sz w:val="17"/>
        </w:rPr>
        <w:t>Minutes recorded by: Sarah George  |  Distribution: Compliance Steering Committee members and Internal Audit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