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MIN-CRM-0017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February 07, 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Michael Gonzales (EMP-38311)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5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Steven Kelly (EMP-57393) — Senior Manager</w:t>
      </w:r>
    </w:p>
    <w:p>
      <w:pPr>
        <w:pStyle w:val="ListBullet"/>
      </w:pPr>
      <w:r>
        <w:rPr>
          <w:sz w:val="21"/>
        </w:rPr>
        <w:t>Linda Doyle (EMP-6307) — Senior Manager</w:t>
      </w:r>
    </w:p>
    <w:p>
      <w:pPr>
        <w:pStyle w:val="ListBullet"/>
      </w:pPr>
      <w:r>
        <w:rPr>
          <w:sz w:val="21"/>
        </w:rPr>
        <w:t>Robert Black (EMP-13974) — Senior Manager</w:t>
      </w:r>
    </w:p>
    <w:p>
      <w:pPr>
        <w:pStyle w:val="ListBullet"/>
      </w:pPr>
      <w:r>
        <w:rPr>
          <w:sz w:val="21"/>
        </w:rPr>
        <w:t>Lacey Mueller (EMP-8472) — Manager</w:t>
      </w:r>
    </w:p>
    <w:p>
      <w:pPr>
        <w:pStyle w:val="ListBullet"/>
      </w:pPr>
      <w:r>
        <w:rPr>
          <w:sz w:val="21"/>
        </w:rPr>
        <w:t>Theresa Reyes (EMP-24576)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BlueStar Procurement International (VND-03615), currently rated LOW risk with status ACTIVE. Discussion centred on whether existing contract CON-004718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Agreed to place vendor BlueStar Procurement International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Follow up with vendor BlueStar Procurement International on outstanding compliance certificate.</w:t>
            </w:r>
          </w:p>
        </w:tc>
        <w:tc>
          <w:tcPr>
            <w:tcW w:type="dxa" w:w="3216"/>
          </w:tcPr>
          <w:p>
            <w:r>
              <w:t>Lacey Mueller (EMP-8472)</w:t>
            </w:r>
          </w:p>
        </w:tc>
        <w:tc>
          <w:tcPr>
            <w:tcW w:type="dxa" w:w="3216"/>
          </w:tcPr>
          <w:p>
            <w:r>
              <w:t>2026-02-18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FND-000376.</w:t>
            </w:r>
          </w:p>
        </w:tc>
        <w:tc>
          <w:tcPr>
            <w:tcW w:type="dxa" w:w="3216"/>
          </w:tcPr>
          <w:p>
            <w:r>
              <w:t>Linda Doyle (EMP-6307)</w:t>
            </w:r>
          </w:p>
        </w:tc>
        <w:tc>
          <w:tcPr>
            <w:tcW w:type="dxa" w:w="3216"/>
          </w:tcPr>
          <w:p>
            <w:r>
              <w:t>2026-02-21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March 09,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Lacey Mueller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