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MIN-CRM-0018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MIN-CRM-0018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December 05,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Melissa Young (EMP-65201)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4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Sean Gomez (EMP-18114) — Deputy Manager</w:t>
      </w:r>
    </w:p>
    <w:p>
      <w:pPr>
        <w:pStyle w:val="ListBullet"/>
      </w:pPr>
      <w:r>
        <w:rPr>
          <w:sz w:val="21"/>
        </w:rPr>
        <w:t>Carla Vazquez (EMP-48797) — Manager</w:t>
      </w:r>
    </w:p>
    <w:p>
      <w:pPr>
        <w:pStyle w:val="ListBullet"/>
      </w:pPr>
      <w:r>
        <w:rPr>
          <w:sz w:val="21"/>
        </w:rPr>
        <w:t>Andrew Brown (EMP-299) — Senior Associate</w:t>
      </w:r>
    </w:p>
    <w:p>
      <w:pPr>
        <w:pStyle w:val="ListBullet"/>
      </w:pPr>
      <w:r>
        <w:rPr>
          <w:sz w:val="21"/>
        </w:rPr>
        <w:t>Thomas Hickman (EMP-63468)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YieldPoint Partners Ltd (VND-04262), currently rated HIGH risk with status ACTIVE. Discussion centred on whether existing contract CON-002512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Agreed to place vendor YieldPoint Partners Ltd under enhanced monitoring for 90 days.</w:t>
      </w:r>
    </w:p>
    <w:p>
      <w:pPr>
        <w:pStyle w:val="ListBullet"/>
      </w:pPr>
      <w:r>
        <w:rPr>
          <w:sz w:val="21"/>
        </w:rPr>
        <w:t>Agreed to suspend payments to vendor YieldPoint Partners Ltd pending compliance renewal.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YieldPoint Partners Ltd on outstanding compliance certificate.</w:t>
            </w:r>
          </w:p>
        </w:tc>
        <w:tc>
          <w:tcPr>
            <w:tcW w:type="dxa" w:w="3216"/>
          </w:tcPr>
          <w:p>
            <w:r>
              <w:t>Andrew Brown (EMP-299)</w:t>
            </w:r>
          </w:p>
        </w:tc>
        <w:tc>
          <w:tcPr>
            <w:tcW w:type="dxa" w:w="3216"/>
          </w:tcPr>
          <w:p>
            <w:r>
              <w:t>2025-01-16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FND-003250.</w:t>
            </w:r>
          </w:p>
        </w:tc>
        <w:tc>
          <w:tcPr>
            <w:tcW w:type="dxa" w:w="3216"/>
          </w:tcPr>
          <w:p>
            <w:r>
              <w:t>Sean Gomez (EMP-18114)</w:t>
            </w:r>
          </w:p>
        </w:tc>
        <w:tc>
          <w:tcPr>
            <w:tcW w:type="dxa" w:w="3216"/>
          </w:tcPr>
          <w:p>
            <w:r>
              <w:t>2025-01-19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March 05,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Thomas Hickman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