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COMPLIANCE REVIEW MEETING</w:t>
      </w:r>
    </w:p>
    <w:p>
      <w:r>
        <w:rPr>
          <w:i/>
          <w:color w:val="595959"/>
          <w:sz w:val="22"/>
        </w:rPr>
        <w:t>Meeting Minutes  |  Compliance Steering Committee  |  Reference MIN-CRM-0041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MIN-CRM-0041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October 13, 2024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Compliance Steering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Patrick Olsen (EMP-69590) — Senior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8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Carl Jordan (EMP-41520) — Manager</w:t>
      </w:r>
    </w:p>
    <w:p>
      <w:pPr>
        <w:pStyle w:val="ListBullet"/>
      </w:pPr>
      <w:r>
        <w:rPr>
          <w:sz w:val="21"/>
        </w:rPr>
        <w:t>Judith Neal (EMP-15284) — Deputy Manager</w:t>
      </w:r>
    </w:p>
    <w:p>
      <w:pPr>
        <w:pStyle w:val="ListBullet"/>
      </w:pPr>
      <w:r>
        <w:rPr>
          <w:sz w:val="21"/>
        </w:rPr>
        <w:t>Andrew Rich (EMP-31313) — Manager</w:t>
      </w:r>
    </w:p>
    <w:p>
      <w:pPr>
        <w:pStyle w:val="ListBullet"/>
      </w:pPr>
      <w:r>
        <w:rPr>
          <w:sz w:val="21"/>
        </w:rPr>
        <w:t>Valerie Holland (EMP-28791) — Manager</w:t>
      </w:r>
    </w:p>
    <w:p>
      <w:pPr>
        <w:pStyle w:val="ListBullet"/>
      </w:pPr>
      <w:r>
        <w:rPr>
          <w:sz w:val="21"/>
        </w:rPr>
        <w:t>Monica Mitchell (EMP-42379) — Senior Manager</w:t>
      </w:r>
    </w:p>
    <w:p>
      <w:pPr>
        <w:pStyle w:val="ListBullet"/>
      </w:pPr>
      <w:r>
        <w:rPr>
          <w:sz w:val="21"/>
        </w:rPr>
        <w:t>Kathy Norris (EMP-69283) — Deputy Manager</w:t>
      </w:r>
    </w:p>
    <w:p>
      <w:pPr>
        <w:pStyle w:val="ListBullet"/>
      </w:pPr>
      <w:r>
        <w:rPr>
          <w:sz w:val="21"/>
        </w:rPr>
        <w:t>Audrey Taylor (EMP-22880) — Manager</w:t>
      </w:r>
    </w:p>
    <w:p>
      <w:pPr>
        <w:pStyle w:val="ListBullet"/>
      </w:pPr>
      <w:r>
        <w:rPr>
          <w:sz w:val="21"/>
        </w:rPr>
        <w:t>Shaun Hill (EMP-14392) — Senior Associate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Review of compliance training completion rates</w:t>
      </w:r>
    </w:p>
    <w:p>
      <w:pPr>
        <w:pStyle w:val="ListNumber"/>
      </w:pPr>
      <w:r>
        <w:rPr>
          <w:sz w:val="21"/>
        </w:rPr>
        <w:t>Regulatory framework update (ISO 27001 / SOC 2 / GDPR)</w:t>
      </w:r>
    </w:p>
    <w:p>
      <w:pPr>
        <w:pStyle w:val="ListNumber"/>
      </w:pPr>
      <w:r>
        <w:rPr>
          <w:sz w:val="21"/>
        </w:rPr>
        <w:t>Discussion of non-compliant vendor remediation plans</w:t>
      </w:r>
    </w:p>
    <w:p>
      <w:pPr>
        <w:pStyle w:val="ListNumber"/>
      </w:pPr>
      <w:r>
        <w:rPr>
          <w:sz w:val="21"/>
        </w:rPr>
        <w:t>Compliance certificate expiry tracking review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compliance training completion rates: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Regulatory framework update (ISO 27001 / SOC 2 / GDPR):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non-compliant vendor remediation plans: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KryptonPath Ltd Holdings (VND-03297), currently rated MEDIUM risk with status ACTIVE. Discussion centred on whether existing contract CON-001497 should be revisited in light of this rating.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Compliance certificate expiry tracking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policy exception request subject to compensating controls.</w:t>
      </w:r>
    </w:p>
    <w:p>
      <w:pPr>
        <w:pStyle w:val="ListBullet"/>
      </w:pPr>
      <w:r>
        <w:rPr>
          <w:sz w:val="21"/>
        </w:rPr>
        <w:t>Approved escalation of CON-001497 to Legal &amp; Compliance for further review.</w:t>
      </w:r>
    </w:p>
    <w:p>
      <w:pPr>
        <w:pStyle w:val="ListBullet"/>
      </w:pPr>
      <w:r>
        <w:rPr>
          <w:sz w:val="21"/>
        </w:rPr>
        <w:t>Agreed to place vendor KryptonPath Ltd Holdings under enhanced monitoring for 90 days.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Schedule follow-up investigation review for CON-001497.</w:t>
            </w:r>
          </w:p>
        </w:tc>
        <w:tc>
          <w:tcPr>
            <w:tcW w:type="dxa" w:w="3216"/>
          </w:tcPr>
          <w:p>
            <w:r>
              <w:t>Audrey Taylor (EMP-22880)</w:t>
            </w:r>
          </w:p>
        </w:tc>
        <w:tc>
          <w:tcPr>
            <w:tcW w:type="dxa" w:w="3216"/>
          </w:tcPr>
          <w:p>
            <w:r>
              <w:t>2024-10-22</w:t>
            </w:r>
          </w:p>
        </w:tc>
      </w:tr>
      <w:tr>
        <w:tc>
          <w:tcPr>
            <w:tcW w:type="dxa" w:w="3216"/>
          </w:tcPr>
          <w:p>
            <w:r>
              <w:t>Draft management response to audit report CON-001497.</w:t>
            </w:r>
          </w:p>
        </w:tc>
        <w:tc>
          <w:tcPr>
            <w:tcW w:type="dxa" w:w="3216"/>
          </w:tcPr>
          <w:p>
            <w:r>
              <w:t>Judith Neal (EMP-15284)</w:t>
            </w:r>
          </w:p>
        </w:tc>
        <w:tc>
          <w:tcPr>
            <w:tcW w:type="dxa" w:w="3216"/>
          </w:tcPr>
          <w:p>
            <w:r>
              <w:t>2024-10-28</w:t>
            </w:r>
          </w:p>
        </w:tc>
      </w:tr>
      <w:tr>
        <w:tc>
          <w:tcPr>
            <w:tcW w:type="dxa" w:w="3216"/>
          </w:tcPr>
          <w:p>
            <w:r>
              <w:t>Circulate updated Delegation of Authority matrix to all department heads.</w:t>
            </w:r>
          </w:p>
        </w:tc>
        <w:tc>
          <w:tcPr>
            <w:tcW w:type="dxa" w:w="3216"/>
          </w:tcPr>
          <w:p>
            <w:r>
              <w:t>Andrew Rich (EMP-31313)</w:t>
            </w:r>
          </w:p>
        </w:tc>
        <w:tc>
          <w:tcPr>
            <w:tcW w:type="dxa" w:w="3216"/>
          </w:tcPr>
          <w:p>
            <w:r>
              <w:t>2024-11-14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compliance review meeting is scheduled for January 11, 2025.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Andrew Rich  |  Distribution: Compliance Steering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