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b/>
          <w:color w:val="163A5B"/>
          <w:sz w:val="54"/>
        </w:rPr>
        <w:t>PREDICTIVE AND ADAPTIVE</w:t>
        <w:br/>
        <w:t>VIRTUAL MEMORY MANAGEMENT</w:t>
      </w:r>
    </w:p>
    <w:p>
      <w:pPr>
        <w:jc w:val="center"/>
      </w:pPr>
      <w:r>
        <w:rPr>
          <w:color w:val="256D85"/>
          <w:sz w:val="34"/>
        </w:rPr>
        <w:t>with Intelligent Thrashing Prevention</w:t>
      </w:r>
    </w:p>
    <w:p>
      <w:pPr>
        <w:spacing w:before="520"/>
        <w:jc w:val="center"/>
      </w:pPr>
      <w:r>
        <w:rPr>
          <w:b/>
        </w:rPr>
        <w:t>OPERATING SYSTEMS LAB PROJECT REPORT</w:t>
      </w:r>
    </w:p>
    <w:p>
      <w:pPr>
        <w:spacing w:before="720"/>
        <w:jc w:val="center"/>
      </w:pPr>
      <w:r>
        <w:t>Submitted by</w:t>
        <w:br/>
        <w:t>Aditya Kiran Upadhye</w:t>
        <w:br/>
        <w:t>Aman Singh Sachan</w:t>
        <w:br/>
        <w:t>Aditya Jain</w:t>
      </w:r>
    </w:p>
    <w:p>
      <w:pPr>
        <w:spacing w:before="640"/>
        <w:jc w:val="center"/>
      </w:pPr>
      <w:r>
        <w:t>A reproducible simulation of address translation,</w:t>
        <w:br/>
        <w:t>page replacement, thrashing detection, and adaptive control.</w:t>
      </w:r>
    </w:p>
    <w:p>
      <w:r>
        <w:br w:type="page"/>
      </w:r>
    </w:p>
    <w:p>
      <w:pPr>
        <w:pStyle w:val="Heading1"/>
      </w:pPr>
      <w:r>
        <w:t>1. Executive Summary</w:t>
      </w:r>
    </w:p>
    <w:p>
      <w:r>
        <w:t>This project implements an educational virtual-memory simulator. It models address translation through a translation lookaside buffer (TLB) and a two-level page table, simulates page faults and replacement, estimates working-set pressure, detects thrashing using rule-based thresholds, and demonstrates adaptive frame redistribution and temporary process suspension.</w:t>
      </w:r>
    </w:p>
    <w:p>
      <w:r>
        <w:t>The committed experiment has 1000 rows across five synthetic workload patterns, ten seeds, four replacement policies, four adaptive-control modes, and matched TLB checks. Under LRU, combined adaptation reduced pooled mean faults from 1,193.1 to 963.6 (19.2% by ratio of means). The mean paired reduction is 22.3%. These are simulator results, not measurements from a real operating system.</w:t>
      </w:r>
    </w:p>
    <w:p>
      <w:pPr>
        <w:pStyle w:val="Heading2"/>
      </w:pPr>
      <w:r>
        <w:t>Objectives</w:t>
      </w:r>
    </w:p>
    <w:p>
      <w:pPr>
        <w:pStyle w:val="ListBullet"/>
        <w:spacing w:after="60"/>
      </w:pPr>
      <w:r>
        <w:t>Demonstrate a full virtual-address translation path with TLB and hierarchical page tables.</w:t>
      </w:r>
    </w:p>
    <w:p>
      <w:pPr>
        <w:pStyle w:val="ListBullet"/>
        <w:spacing w:after="60"/>
      </w:pPr>
      <w:r>
        <w:t>Compare FIFO, LRU, Clock, and Optimal page replacement on repeatable reference streams.</w:t>
      </w:r>
    </w:p>
    <w:p>
      <w:pPr>
        <w:pStyle w:val="ListBullet"/>
        <w:spacing w:after="60"/>
      </w:pPr>
      <w:r>
        <w:t>Estimate working-set pressure and detect simulated thrashing.</w:t>
      </w:r>
    </w:p>
    <w:p>
      <w:pPr>
        <w:pStyle w:val="ListBullet"/>
        <w:spacing w:after="60"/>
      </w:pPr>
      <w:r>
        <w:t>Evaluate frame redistribution and process suspension independently and together.</w:t>
      </w:r>
    </w:p>
    <w:p>
      <w:pPr>
        <w:pStyle w:val="ListBullet"/>
        <w:spacing w:after="60"/>
      </w:pPr>
      <w:r>
        <w:t>Publish run-level CSV output, summaries, figures, tests, and a reproducible report.</w:t>
      </w:r>
    </w:p>
    <w:p>
      <w:pPr>
        <w:pStyle w:val="Heading2"/>
      </w:pPr>
      <w:r>
        <w:t>Scope</w:t>
      </w:r>
    </w:p>
    <w:p>
      <w:r>
        <w:t>The simulator does not inspect or modify host OS memory, kernel page tables, live CPU usage, or real running processes. CPU utilization, pressure, and process suspension shown in the dashboard are simulated proxies.</w:t>
      </w:r>
    </w:p>
    <w:p>
      <w:r>
        <w:br w:type="page"/>
      </w:r>
    </w:p>
    <w:p>
      <w:pPr>
        <w:pStyle w:val="Heading1"/>
      </w:pPr>
      <w:r>
        <w:t>2. System Architecture</w:t>
      </w:r>
    </w:p>
    <w:p>
      <w:pPr>
        <w:jc w:val="center"/>
      </w:pPr>
      <w:r>
        <w:drawing>
          <wp:inline xmlns:a="http://schemas.openxmlformats.org/drawingml/2006/main" xmlns:pic="http://schemas.openxmlformats.org/drawingml/2006/picture">
            <wp:extent cx="6126480" cy="383780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126480" cy="3837802"/>
                    </a:xfrm>
                    <a:prstGeom prst="rect"/>
                  </pic:spPr>
                </pic:pic>
              </a:graphicData>
            </a:graphic>
          </wp:inline>
        </w:drawing>
      </w:r>
    </w:p>
    <w:p>
      <w:pPr>
        <w:spacing w:after="120"/>
        <w:jc w:val="center"/>
      </w:pPr>
      <w:r>
        <w:rPr>
          <w:i/>
          <w:color w:val="5F7387"/>
          <w:sz w:val="16"/>
        </w:rPr>
        <w:t>Figure 1. Workload execution, feedback control, and experiment outputs.</w:t>
      </w:r>
    </w:p>
    <w:p>
      <w:r>
        <w:t>A workload generator supplies synthetic references to a round-robin scheduler. Address translation checks the TLB before walking the two-level page table. A non-resident page invokes a fault handler and the selected replacement algorithm. Runtime metrics feed a working-set estimator and thrashing detector; the adaptive controller can change frame ownership and temporarily suspend a process.</w:t>
      </w:r>
    </w:p>
    <w:tbl>
      <w:tblPr>
        <w:tblStyle w:val="LightShading-Accent1"/>
        <w:tblW w:type="auto" w:w="0"/>
        <w:jc w:val="center"/>
        <w:tblLook w:firstColumn="1" w:firstRow="1" w:lastColumn="0" w:lastRow="0" w:noHBand="0" w:noVBand="1" w:val="04A0"/>
      </w:tblPr>
      <w:tblGrid>
        <w:gridCol w:w="5083"/>
        <w:gridCol w:w="5083"/>
      </w:tblGrid>
      <w:tr>
        <w:tc>
          <w:tcPr>
            <w:tcW w:type="dxa" w:w="5083"/>
            <w:shd w:fill="24476B"/>
          </w:tcPr>
          <w:p>
            <w:r>
              <w:rPr>
                <w:b/>
                <w:color w:val="FFFFFF"/>
                <w:sz w:val="16"/>
              </w:rPr>
              <w:t>Module</w:t>
            </w:r>
          </w:p>
        </w:tc>
        <w:tc>
          <w:tcPr>
            <w:tcW w:type="dxa" w:w="5083"/>
            <w:shd w:fill="24476B"/>
          </w:tcPr>
          <w:p>
            <w:r>
              <w:rPr>
                <w:b/>
                <w:color w:val="FFFFFF"/>
                <w:sz w:val="16"/>
              </w:rPr>
              <w:t>Responsibility</w:t>
            </w:r>
          </w:p>
        </w:tc>
      </w:tr>
      <w:tr>
        <w:tc>
          <w:tcPr>
            <w:tcW w:type="dxa" w:w="5083"/>
            <w:shd w:fill="F1F5F9"/>
          </w:tcPr>
          <w:p>
            <w:pPr>
              <w:spacing w:after="20"/>
            </w:pPr>
            <w:r>
              <w:rPr>
                <w:sz w:val="16"/>
              </w:rPr>
              <w:t>vm_simulator/core.py</w:t>
            </w:r>
          </w:p>
        </w:tc>
        <w:tc>
          <w:tcPr>
            <w:tcW w:type="dxa" w:w="5083"/>
            <w:shd w:fill="F1F5F9"/>
          </w:tcPr>
          <w:p>
            <w:pPr>
              <w:spacing w:after="20"/>
            </w:pPr>
            <w:r>
              <w:rPr>
                <w:sz w:val="16"/>
              </w:rPr>
              <w:t>TLB, page tables, physical frames, replacement, workloads, monitoring, and adaptive controls.</w:t>
            </w:r>
          </w:p>
        </w:tc>
      </w:tr>
      <w:tr>
        <w:tc>
          <w:tcPr>
            <w:tcW w:type="dxa" w:w="5083"/>
          </w:tcPr>
          <w:p>
            <w:pPr>
              <w:spacing w:after="20"/>
            </w:pPr>
            <w:r>
              <w:rPr>
                <w:sz w:val="16"/>
              </w:rPr>
              <w:t>vm_simulator/gui.py</w:t>
            </w:r>
          </w:p>
        </w:tc>
        <w:tc>
          <w:tcPr>
            <w:tcW w:type="dxa" w:w="5083"/>
          </w:tcPr>
          <w:p>
            <w:pPr>
              <w:spacing w:after="20"/>
            </w:pPr>
            <w:r>
              <w:rPr>
                <w:sz w:val="16"/>
              </w:rPr>
              <w:t>Tkinter dashboard, charts, process/frame tables, event log, address inspector, CSV export.</w:t>
            </w:r>
          </w:p>
        </w:tc>
      </w:tr>
      <w:tr>
        <w:tc>
          <w:tcPr>
            <w:tcW w:type="dxa" w:w="5083"/>
            <w:shd w:fill="F1F5F9"/>
          </w:tcPr>
          <w:p>
            <w:pPr>
              <w:spacing w:after="20"/>
            </w:pPr>
            <w:r>
              <w:rPr>
                <w:sz w:val="16"/>
              </w:rPr>
              <w:t>benchmark.py</w:t>
            </w:r>
          </w:p>
        </w:tc>
        <w:tc>
          <w:tcPr>
            <w:tcW w:type="dxa" w:w="5083"/>
            <w:shd w:fill="F1F5F9"/>
          </w:tcPr>
          <w:p>
            <w:pPr>
              <w:spacing w:after="20"/>
            </w:pPr>
            <w:r>
              <w:rPr>
                <w:sz w:val="16"/>
              </w:rPr>
              <w:t>Multi-seed experiment, ablations, confidence-interval summaries, paired effect analysis, TLB comparisons.</w:t>
            </w:r>
          </w:p>
        </w:tc>
      </w:tr>
      <w:tr>
        <w:tc>
          <w:tcPr>
            <w:tcW w:type="dxa" w:w="5083"/>
          </w:tcPr>
          <w:p>
            <w:pPr>
              <w:spacing w:after="20"/>
            </w:pPr>
            <w:r>
              <w:rPr>
                <w:sz w:val="16"/>
              </w:rPr>
              <w:t>docs/generate_figures.py</w:t>
            </w:r>
          </w:p>
        </w:tc>
        <w:tc>
          <w:tcPr>
            <w:tcW w:type="dxa" w:w="5083"/>
          </w:tcPr>
          <w:p>
            <w:pPr>
              <w:spacing w:after="20"/>
            </w:pPr>
            <w:r>
              <w:rPr>
                <w:sz w:val="16"/>
              </w:rPr>
              <w:t>Rebuild figures from the experiment CSVs and render the architecture diagram.</w:t>
            </w:r>
          </w:p>
        </w:tc>
      </w:tr>
    </w:tbl>
    <w:p/>
    <w:p>
      <w:r>
        <w:br w:type="page"/>
      </w:r>
    </w:p>
    <w:p>
      <w:pPr>
        <w:pStyle w:val="Heading1"/>
      </w:pPr>
      <w:r>
        <w:t>3. Virtual-Memory Model</w:t>
      </w:r>
    </w:p>
    <w:p>
      <w:pPr>
        <w:pStyle w:val="Heading2"/>
      </w:pPr>
      <w:r>
        <w:t>Address format and translation</w:t>
      </w:r>
    </w:p>
    <w:p>
      <w:r>
        <w:t>The modeled page size is 256 bytes; the offset is the low eight bits. The 64 virtual pages use two 3-bit page-table indices, with eight entries at each level, giving a virtual address range of 0 through 16,383.</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shd w:fill="24476B"/>
          </w:tcPr>
          <w:p>
            <w:r>
              <w:rPr>
                <w:b/>
                <w:color w:val="FFFFFF"/>
                <w:sz w:val="16"/>
              </w:rPr>
              <w:t>Stage</w:t>
            </w:r>
          </w:p>
        </w:tc>
        <w:tc>
          <w:tcPr>
            <w:tcW w:type="dxa" w:w="3389"/>
            <w:shd w:fill="24476B"/>
          </w:tcPr>
          <w:p>
            <w:r>
              <w:rPr>
                <w:b/>
                <w:color w:val="FFFFFF"/>
                <w:sz w:val="16"/>
              </w:rPr>
              <w:t>Action</w:t>
            </w:r>
          </w:p>
        </w:tc>
        <w:tc>
          <w:tcPr>
            <w:tcW w:type="dxa" w:w="3389"/>
            <w:shd w:fill="24476B"/>
          </w:tcPr>
          <w:p>
            <w:r>
              <w:rPr>
                <w:b/>
                <w:color w:val="FFFFFF"/>
                <w:sz w:val="16"/>
              </w:rPr>
              <w:t>Metric</w:t>
            </w:r>
          </w:p>
        </w:tc>
      </w:tr>
      <w:tr>
        <w:tc>
          <w:tcPr>
            <w:tcW w:type="dxa" w:w="3389"/>
            <w:shd w:fill="F1F5F9"/>
          </w:tcPr>
          <w:p>
            <w:pPr>
              <w:spacing w:after="20"/>
            </w:pPr>
            <w:r>
              <w:rPr>
                <w:sz w:val="16"/>
              </w:rPr>
              <w:t>TLB lookup</w:t>
            </w:r>
          </w:p>
        </w:tc>
        <w:tc>
          <w:tcPr>
            <w:tcW w:type="dxa" w:w="3389"/>
            <w:shd w:fill="F1F5F9"/>
          </w:tcPr>
          <w:p>
            <w:pPr>
              <w:spacing w:after="20"/>
            </w:pPr>
            <w:r>
              <w:rPr>
                <w:sz w:val="16"/>
              </w:rPr>
              <w:t>Lookup cached translation by (process, VPN).</w:t>
            </w:r>
          </w:p>
        </w:tc>
        <w:tc>
          <w:tcPr>
            <w:tcW w:type="dxa" w:w="3389"/>
            <w:shd w:fill="F1F5F9"/>
          </w:tcPr>
          <w:p>
            <w:pPr>
              <w:spacing w:after="20"/>
            </w:pPr>
            <w:r>
              <w:rPr>
                <w:sz w:val="16"/>
              </w:rPr>
              <w:t>TLB hits and misses.</w:t>
            </w:r>
          </w:p>
        </w:tc>
      </w:tr>
      <w:tr>
        <w:tc>
          <w:tcPr>
            <w:tcW w:type="dxa" w:w="3389"/>
          </w:tcPr>
          <w:p>
            <w:pPr>
              <w:spacing w:after="20"/>
            </w:pPr>
            <w:r>
              <w:rPr>
                <w:sz w:val="16"/>
              </w:rPr>
              <w:t>Page-table walk</w:t>
            </w:r>
          </w:p>
        </w:tc>
        <w:tc>
          <w:tcPr>
            <w:tcW w:type="dxa" w:w="3389"/>
          </w:tcPr>
          <w:p>
            <w:pPr>
              <w:spacing w:after="20"/>
            </w:pPr>
            <w:r>
              <w:rPr>
                <w:sz w:val="16"/>
              </w:rPr>
              <w:t>Check first- and second-level entries.</w:t>
            </w:r>
          </w:p>
        </w:tc>
        <w:tc>
          <w:tcPr>
            <w:tcW w:type="dxa" w:w="3389"/>
          </w:tcPr>
          <w:p>
            <w:pPr>
              <w:spacing w:after="20"/>
            </w:pPr>
            <w:r>
              <w:rPr>
                <w:sz w:val="16"/>
              </w:rPr>
              <w:t>Page-table accesses.</w:t>
            </w:r>
          </w:p>
        </w:tc>
      </w:tr>
      <w:tr>
        <w:tc>
          <w:tcPr>
            <w:tcW w:type="dxa" w:w="3389"/>
            <w:shd w:fill="F1F5F9"/>
          </w:tcPr>
          <w:p>
            <w:pPr>
              <w:spacing w:after="20"/>
            </w:pPr>
            <w:r>
              <w:rPr>
                <w:sz w:val="16"/>
              </w:rPr>
              <w:t>Page fault</w:t>
            </w:r>
          </w:p>
        </w:tc>
        <w:tc>
          <w:tcPr>
            <w:tcW w:type="dxa" w:w="3389"/>
            <w:shd w:fill="F1F5F9"/>
          </w:tcPr>
          <w:p>
            <w:pPr>
              <w:spacing w:after="20"/>
            </w:pPr>
            <w:r>
              <w:rPr>
                <w:sz w:val="16"/>
              </w:rPr>
              <w:t>Select a frame allocated to process; evict if occupied; map VPN.</w:t>
            </w:r>
          </w:p>
        </w:tc>
        <w:tc>
          <w:tcPr>
            <w:tcW w:type="dxa" w:w="3389"/>
            <w:shd w:fill="F1F5F9"/>
          </w:tcPr>
          <w:p>
            <w:pPr>
              <w:spacing w:after="20"/>
            </w:pPr>
            <w:r>
              <w:rPr>
                <w:sz w:val="16"/>
              </w:rPr>
              <w:t>Faults and replacements.</w:t>
            </w:r>
          </w:p>
        </w:tc>
      </w:tr>
      <w:tr>
        <w:tc>
          <w:tcPr>
            <w:tcW w:type="dxa" w:w="3389"/>
          </w:tcPr>
          <w:p>
            <w:pPr>
              <w:spacing w:after="20"/>
            </w:pPr>
            <w:r>
              <w:rPr>
                <w:sz w:val="16"/>
              </w:rPr>
              <w:t>Physical address</w:t>
            </w:r>
          </w:p>
        </w:tc>
        <w:tc>
          <w:tcPr>
            <w:tcW w:type="dxa" w:w="3389"/>
          </w:tcPr>
          <w:p>
            <w:pPr>
              <w:spacing w:after="20"/>
            </w:pPr>
            <w:r>
              <w:rPr>
                <w:sz w:val="16"/>
              </w:rPr>
              <w:t>Combine frame number and page offset.</w:t>
            </w:r>
          </w:p>
        </w:tc>
        <w:tc>
          <w:tcPr>
            <w:tcW w:type="dxa" w:w="3389"/>
          </w:tcPr>
          <w:p>
            <w:pPr>
              <w:spacing w:after="20"/>
            </w:pPr>
            <w:r>
              <w:rPr>
                <w:sz w:val="16"/>
              </w:rPr>
              <w:t>Address shown in event log.</w:t>
            </w:r>
          </w:p>
        </w:tc>
      </w:tr>
    </w:tbl>
    <w:p/>
    <w:p>
      <w:pPr>
        <w:pStyle w:val="Heading2"/>
      </w:pPr>
      <w:r>
        <w:t>Replacement policies</w:t>
      </w:r>
    </w:p>
    <w:tbl>
      <w:tblPr>
        <w:tblStyle w:val="LightShading-Accent1"/>
        <w:tblW w:type="auto" w:w="0"/>
        <w:jc w:val="center"/>
        <w:tblLook w:firstColumn="1" w:firstRow="1" w:lastColumn="0" w:lastRow="0" w:noHBand="0" w:noVBand="1" w:val="04A0"/>
      </w:tblPr>
      <w:tblGrid>
        <w:gridCol w:w="5083"/>
        <w:gridCol w:w="5083"/>
      </w:tblGrid>
      <w:tr>
        <w:tc>
          <w:tcPr>
            <w:tcW w:type="dxa" w:w="5083"/>
            <w:shd w:fill="24476B"/>
          </w:tcPr>
          <w:p>
            <w:r>
              <w:rPr>
                <w:b/>
                <w:color w:val="FFFFFF"/>
                <w:sz w:val="16"/>
              </w:rPr>
              <w:t>Policy</w:t>
            </w:r>
          </w:p>
        </w:tc>
        <w:tc>
          <w:tcPr>
            <w:tcW w:type="dxa" w:w="5083"/>
            <w:shd w:fill="24476B"/>
          </w:tcPr>
          <w:p>
            <w:r>
              <w:rPr>
                <w:b/>
                <w:color w:val="FFFFFF"/>
                <w:sz w:val="16"/>
              </w:rPr>
              <w:t>Summary</w:t>
            </w:r>
          </w:p>
        </w:tc>
      </w:tr>
      <w:tr>
        <w:tc>
          <w:tcPr>
            <w:tcW w:type="dxa" w:w="5083"/>
            <w:shd w:fill="F1F5F9"/>
          </w:tcPr>
          <w:p>
            <w:pPr>
              <w:spacing w:after="20"/>
            </w:pPr>
            <w:r>
              <w:rPr>
                <w:sz w:val="16"/>
              </w:rPr>
              <w:t>FIFO</w:t>
            </w:r>
          </w:p>
        </w:tc>
        <w:tc>
          <w:tcPr>
            <w:tcW w:type="dxa" w:w="5083"/>
            <w:shd w:fill="F1F5F9"/>
          </w:tcPr>
          <w:p>
            <w:pPr>
              <w:spacing w:after="20"/>
            </w:pPr>
            <w:r>
              <w:rPr>
                <w:sz w:val="16"/>
              </w:rPr>
              <w:t>Evict the page loaded earliest.</w:t>
            </w:r>
          </w:p>
        </w:tc>
      </w:tr>
      <w:tr>
        <w:tc>
          <w:tcPr>
            <w:tcW w:type="dxa" w:w="5083"/>
          </w:tcPr>
          <w:p>
            <w:pPr>
              <w:spacing w:after="20"/>
            </w:pPr>
            <w:r>
              <w:rPr>
                <w:sz w:val="16"/>
              </w:rPr>
              <w:t>LRU</w:t>
            </w:r>
          </w:p>
        </w:tc>
        <w:tc>
          <w:tcPr>
            <w:tcW w:type="dxa" w:w="5083"/>
          </w:tcPr>
          <w:p>
            <w:pPr>
              <w:spacing w:after="20"/>
            </w:pPr>
            <w:r>
              <w:rPr>
                <w:sz w:val="16"/>
              </w:rPr>
              <w:t>Evict the least recently used resident page.</w:t>
            </w:r>
          </w:p>
        </w:tc>
      </w:tr>
      <w:tr>
        <w:tc>
          <w:tcPr>
            <w:tcW w:type="dxa" w:w="5083"/>
            <w:shd w:fill="F1F5F9"/>
          </w:tcPr>
          <w:p>
            <w:pPr>
              <w:spacing w:after="20"/>
            </w:pPr>
            <w:r>
              <w:rPr>
                <w:sz w:val="16"/>
              </w:rPr>
              <w:t>Clock</w:t>
            </w:r>
          </w:p>
        </w:tc>
        <w:tc>
          <w:tcPr>
            <w:tcW w:type="dxa" w:w="5083"/>
            <w:shd w:fill="F1F5F9"/>
          </w:tcPr>
          <w:p>
            <w:pPr>
              <w:spacing w:after="20"/>
            </w:pPr>
            <w:r>
              <w:rPr>
                <w:sz w:val="16"/>
              </w:rPr>
              <w:t>Use reference bits to implement a second-chance scan.</w:t>
            </w:r>
          </w:p>
        </w:tc>
      </w:tr>
      <w:tr>
        <w:tc>
          <w:tcPr>
            <w:tcW w:type="dxa" w:w="5083"/>
          </w:tcPr>
          <w:p>
            <w:pPr>
              <w:spacing w:after="20"/>
            </w:pPr>
            <w:r>
              <w:rPr>
                <w:sz w:val="16"/>
              </w:rPr>
              <w:t>Optimal*</w:t>
            </w:r>
          </w:p>
        </w:tc>
        <w:tc>
          <w:tcPr>
            <w:tcW w:type="dxa" w:w="5083"/>
          </w:tcPr>
          <w:p>
            <w:pPr>
              <w:spacing w:after="20"/>
            </w:pPr>
            <w:r>
              <w:rPr>
                <w:sz w:val="16"/>
              </w:rPr>
              <w:t>Evict the resident page whose next use is farthest away.</w:t>
            </w:r>
          </w:p>
        </w:tc>
      </w:tr>
    </w:tbl>
    <w:p/>
    <w:p>
      <w:r>
        <w:t>*Optimal uses knowledge of future generated references and is only a theoretical oracle comparison, not an implementable online policy.</w:t>
      </w:r>
    </w:p>
    <w:p>
      <w:r>
        <w:br w:type="page"/>
      </w:r>
    </w:p>
    <w:p>
      <w:pPr>
        <w:pStyle w:val="Heading1"/>
      </w:pPr>
      <w:r>
        <w:t>4. Thrashing Detection and Adaptive Control</w:t>
      </w:r>
    </w:p>
    <w:p>
      <w:r>
        <w:t>A recent-reference window estimates each process's working set. A trend heuristic estimates possible near-term growth in demand. Pressure compares active working-set demand to frame capacity. Thrashing detection combines a rolling page-fault ratio and an overload condition. These are hand-set rules, not a trained machine-learning model.</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shd w:fill="24476B"/>
          </w:tcPr>
          <w:p>
            <w:r>
              <w:rPr>
                <w:b/>
                <w:color w:val="FFFFFF"/>
                <w:sz w:val="16"/>
              </w:rPr>
              <w:t>Mode</w:t>
            </w:r>
          </w:p>
        </w:tc>
        <w:tc>
          <w:tcPr>
            <w:tcW w:type="dxa" w:w="2541"/>
            <w:shd w:fill="24476B"/>
          </w:tcPr>
          <w:p>
            <w:r>
              <w:rPr>
                <w:b/>
                <w:color w:val="FFFFFF"/>
                <w:sz w:val="16"/>
              </w:rPr>
              <w:t>Redistribution</w:t>
            </w:r>
          </w:p>
        </w:tc>
        <w:tc>
          <w:tcPr>
            <w:tcW w:type="dxa" w:w="2541"/>
            <w:shd w:fill="24476B"/>
          </w:tcPr>
          <w:p>
            <w:r>
              <w:rPr>
                <w:b/>
                <w:color w:val="FFFFFF"/>
                <w:sz w:val="16"/>
              </w:rPr>
              <w:t>Suspension</w:t>
            </w:r>
          </w:p>
        </w:tc>
        <w:tc>
          <w:tcPr>
            <w:tcW w:type="dxa" w:w="2541"/>
            <w:shd w:fill="24476B"/>
          </w:tcPr>
          <w:p>
            <w:r>
              <w:rPr>
                <w:b/>
                <w:color w:val="FFFFFF"/>
                <w:sz w:val="16"/>
              </w:rPr>
              <w:t>Interpretation</w:t>
            </w:r>
          </w:p>
        </w:tc>
      </w:tr>
      <w:tr>
        <w:tc>
          <w:tcPr>
            <w:tcW w:type="dxa" w:w="2541"/>
            <w:shd w:fill="F1F5F9"/>
          </w:tcPr>
          <w:p>
            <w:pPr>
              <w:spacing w:after="20"/>
            </w:pPr>
            <w:r>
              <w:rPr>
                <w:sz w:val="16"/>
              </w:rPr>
              <w:t>none</w:t>
            </w:r>
          </w:p>
        </w:tc>
        <w:tc>
          <w:tcPr>
            <w:tcW w:type="dxa" w:w="2541"/>
            <w:shd w:fill="F1F5F9"/>
          </w:tcPr>
          <w:p>
            <w:pPr>
              <w:spacing w:after="20"/>
            </w:pPr>
            <w:r>
              <w:rPr>
                <w:sz w:val="16"/>
              </w:rPr>
              <w:t>Off</w:t>
            </w:r>
          </w:p>
        </w:tc>
        <w:tc>
          <w:tcPr>
            <w:tcW w:type="dxa" w:w="2541"/>
            <w:shd w:fill="F1F5F9"/>
          </w:tcPr>
          <w:p>
            <w:pPr>
              <w:spacing w:after="20"/>
            </w:pPr>
            <w:r>
              <w:rPr>
                <w:sz w:val="16"/>
              </w:rPr>
              <w:t>Off</w:t>
            </w:r>
          </w:p>
        </w:tc>
        <w:tc>
          <w:tcPr>
            <w:tcW w:type="dxa" w:w="2541"/>
            <w:shd w:fill="F1F5F9"/>
          </w:tcPr>
          <w:p>
            <w:pPr>
              <w:spacing w:after="20"/>
            </w:pPr>
            <w:r>
              <w:rPr>
                <w:sz w:val="16"/>
              </w:rPr>
              <w:t>Baseline.</w:t>
            </w:r>
          </w:p>
        </w:tc>
      </w:tr>
      <w:tr>
        <w:tc>
          <w:tcPr>
            <w:tcW w:type="dxa" w:w="2541"/>
          </w:tcPr>
          <w:p>
            <w:pPr>
              <w:spacing w:after="20"/>
            </w:pPr>
            <w:r>
              <w:rPr>
                <w:sz w:val="16"/>
              </w:rPr>
              <w:t>redistribution_only</w:t>
            </w:r>
          </w:p>
        </w:tc>
        <w:tc>
          <w:tcPr>
            <w:tcW w:type="dxa" w:w="2541"/>
          </w:tcPr>
          <w:p>
            <w:pPr>
              <w:spacing w:after="20"/>
            </w:pPr>
            <w:r>
              <w:rPr>
                <w:sz w:val="16"/>
              </w:rPr>
              <w:t>On</w:t>
            </w:r>
          </w:p>
        </w:tc>
        <w:tc>
          <w:tcPr>
            <w:tcW w:type="dxa" w:w="2541"/>
          </w:tcPr>
          <w:p>
            <w:pPr>
              <w:spacing w:after="20"/>
            </w:pPr>
            <w:r>
              <w:rPr>
                <w:sz w:val="16"/>
              </w:rPr>
              <w:t>Off</w:t>
            </w:r>
          </w:p>
        </w:tc>
        <w:tc>
          <w:tcPr>
            <w:tcW w:type="dxa" w:w="2541"/>
          </w:tcPr>
          <w:p>
            <w:pPr>
              <w:spacing w:after="20"/>
            </w:pPr>
            <w:r>
              <w:rPr>
                <w:sz w:val="16"/>
              </w:rPr>
              <w:t>Isolates effects of frame allocation changes.</w:t>
            </w:r>
          </w:p>
        </w:tc>
      </w:tr>
      <w:tr>
        <w:tc>
          <w:tcPr>
            <w:tcW w:type="dxa" w:w="2541"/>
            <w:shd w:fill="F1F5F9"/>
          </w:tcPr>
          <w:p>
            <w:pPr>
              <w:spacing w:after="20"/>
            </w:pPr>
            <w:r>
              <w:rPr>
                <w:sz w:val="16"/>
              </w:rPr>
              <w:t>suspension_only</w:t>
            </w:r>
          </w:p>
        </w:tc>
        <w:tc>
          <w:tcPr>
            <w:tcW w:type="dxa" w:w="2541"/>
            <w:shd w:fill="F1F5F9"/>
          </w:tcPr>
          <w:p>
            <w:pPr>
              <w:spacing w:after="20"/>
            </w:pPr>
            <w:r>
              <w:rPr>
                <w:sz w:val="16"/>
              </w:rPr>
              <w:t>Off</w:t>
            </w:r>
          </w:p>
        </w:tc>
        <w:tc>
          <w:tcPr>
            <w:tcW w:type="dxa" w:w="2541"/>
            <w:shd w:fill="F1F5F9"/>
          </w:tcPr>
          <w:p>
            <w:pPr>
              <w:spacing w:after="20"/>
            </w:pPr>
            <w:r>
              <w:rPr>
                <w:sz w:val="16"/>
              </w:rPr>
              <w:t>On</w:t>
            </w:r>
          </w:p>
        </w:tc>
        <w:tc>
          <w:tcPr>
            <w:tcW w:type="dxa" w:w="2541"/>
            <w:shd w:fill="F1F5F9"/>
          </w:tcPr>
          <w:p>
            <w:pPr>
              <w:spacing w:after="20"/>
            </w:pPr>
            <w:r>
              <w:rPr>
                <w:sz w:val="16"/>
              </w:rPr>
              <w:t>Suspended process retains its allocation, allowing suspension effect to be isolated.</w:t>
            </w:r>
          </w:p>
        </w:tc>
      </w:tr>
      <w:tr>
        <w:tc>
          <w:tcPr>
            <w:tcW w:type="dxa" w:w="2541"/>
          </w:tcPr>
          <w:p>
            <w:pPr>
              <w:spacing w:after="20"/>
            </w:pPr>
            <w:r>
              <w:rPr>
                <w:sz w:val="16"/>
              </w:rPr>
              <w:t>combined</w:t>
            </w:r>
          </w:p>
        </w:tc>
        <w:tc>
          <w:tcPr>
            <w:tcW w:type="dxa" w:w="2541"/>
          </w:tcPr>
          <w:p>
            <w:pPr>
              <w:spacing w:after="20"/>
            </w:pPr>
            <w:r>
              <w:rPr>
                <w:sz w:val="16"/>
              </w:rPr>
              <w:t>On</w:t>
            </w:r>
          </w:p>
        </w:tc>
        <w:tc>
          <w:tcPr>
            <w:tcW w:type="dxa" w:w="2541"/>
          </w:tcPr>
          <w:p>
            <w:pPr>
              <w:spacing w:after="20"/>
            </w:pPr>
            <w:r>
              <w:rPr>
                <w:sz w:val="16"/>
              </w:rPr>
              <w:t>On</w:t>
            </w:r>
          </w:p>
        </w:tc>
        <w:tc>
          <w:tcPr>
            <w:tcW w:type="dxa" w:w="2541"/>
          </w:tcPr>
          <w:p>
            <w:pPr>
              <w:spacing w:after="20"/>
            </w:pPr>
            <w:r>
              <w:rPr>
                <w:sz w:val="16"/>
              </w:rPr>
              <w:t>Suspension and reallocation can coordinate.</w:t>
            </w:r>
          </w:p>
        </w:tc>
      </w:tr>
    </w:tbl>
    <w:p/>
    <w:p>
      <w:r>
        <w:t>Suspension-only page-fault counts therefore remain equal to baseline in this implementation. In combined mode, frame redistribution can transfer the suspended process's frames to active processes. The outcome is workload-dependent.</w:t>
      </w:r>
    </w:p>
    <w:p>
      <w:pPr>
        <w:pStyle w:val="Heading2"/>
      </w:pPr>
      <w:r>
        <w:t>Dashboard</w:t>
      </w:r>
    </w:p>
    <w:p>
      <w:r>
        <w:t>The dashboard shows process state/faults, frame ownership/resident pages, recent fault rate, TLB hit rate, pressure estimate, simulated CPU-use proxy, and an event log. The address inspector is read-only and does not advance simulation time or increment counters.</w:t>
      </w:r>
    </w:p>
    <w:p>
      <w:r>
        <w:br w:type="page"/>
      </w:r>
    </w:p>
    <w:p>
      <w:pPr>
        <w:pStyle w:val="Heading1"/>
      </w:pPr>
      <w:r>
        <w:t>5. Dashboard Layout Illustrations</w:t>
      </w:r>
    </w:p>
    <w:p>
      <w:pPr>
        <w:jc w:val="center"/>
      </w:pPr>
      <w:r>
        <w:drawing>
          <wp:inline xmlns:a="http://schemas.openxmlformats.org/drawingml/2006/main" xmlns:pic="http://schemas.openxmlformats.org/drawingml/2006/picture">
            <wp:extent cx="6035040" cy="3448594"/>
            <wp:docPr id="2" name="Picture 2"/>
            <wp:cNvGraphicFramePr>
              <a:graphicFrameLocks noChangeAspect="1"/>
            </wp:cNvGraphicFramePr>
            <a:graphic>
              <a:graphicData uri="http://schemas.openxmlformats.org/drawingml/2006/picture">
                <pic:pic>
                  <pic:nvPicPr>
                    <pic:cNvPr id="0" name="gui_dashboard_baseline.png"/>
                    <pic:cNvPicPr/>
                  </pic:nvPicPr>
                  <pic:blipFill>
                    <a:blip r:embed="rId12"/>
                    <a:stretch>
                      <a:fillRect/>
                    </a:stretch>
                  </pic:blipFill>
                  <pic:spPr>
                    <a:xfrm>
                      <a:off x="0" y="0"/>
                      <a:ext cx="6035040" cy="3448594"/>
                    </a:xfrm>
                    <a:prstGeom prst="rect"/>
                  </pic:spPr>
                </pic:pic>
              </a:graphicData>
            </a:graphic>
          </wp:inline>
        </w:drawing>
      </w:r>
    </w:p>
    <w:p>
      <w:pPr>
        <w:spacing w:after="120"/>
        <w:jc w:val="center"/>
      </w:pPr>
      <w:r>
        <w:rPr>
          <w:i/>
          <w:color w:val="5F7387"/>
          <w:sz w:val="16"/>
        </w:rPr>
        <w:t>Figure 2. Redrawn baseline dashboard layout; illustrative, not a direct capture.</w:t>
      </w:r>
    </w:p>
    <w:p>
      <w:r>
        <w:t>This dashboard illustration reflects the baseline layout and labels; displayed metrics are illustrative values, not a recorded experiment.</w:t>
      </w:r>
    </w:p>
    <w:p>
      <w:r>
        <w:br w:type="page"/>
      </w:r>
    </w:p>
    <w:p>
      <w:pPr>
        <w:pStyle w:val="Heading1"/>
      </w:pPr>
      <w:r>
        <w:t>5. Dashboard Layout Illustrations (continued)</w:t>
      </w:r>
    </w:p>
    <w:p>
      <w:pPr>
        <w:jc w:val="center"/>
      </w:pPr>
      <w:r>
        <w:drawing>
          <wp:inline xmlns:a="http://schemas.openxmlformats.org/drawingml/2006/main" xmlns:pic="http://schemas.openxmlformats.org/drawingml/2006/picture">
            <wp:extent cx="6035040" cy="3448594"/>
            <wp:docPr id="3" name="Picture 3"/>
            <wp:cNvGraphicFramePr>
              <a:graphicFrameLocks noChangeAspect="1"/>
            </wp:cNvGraphicFramePr>
            <a:graphic>
              <a:graphicData uri="http://schemas.openxmlformats.org/drawingml/2006/picture">
                <pic:pic>
                  <pic:nvPicPr>
                    <pic:cNvPr id="0" name="gui_dashboard_adaptive.png"/>
                    <pic:cNvPicPr/>
                  </pic:nvPicPr>
                  <pic:blipFill>
                    <a:blip r:embed="rId13"/>
                    <a:stretch>
                      <a:fillRect/>
                    </a:stretch>
                  </pic:blipFill>
                  <pic:spPr>
                    <a:xfrm>
                      <a:off x="0" y="0"/>
                      <a:ext cx="6035040" cy="3448594"/>
                    </a:xfrm>
                    <a:prstGeom prst="rect"/>
                  </pic:spPr>
                </pic:pic>
              </a:graphicData>
            </a:graphic>
          </wp:inline>
        </w:drawing>
      </w:r>
    </w:p>
    <w:p>
      <w:pPr>
        <w:spacing w:after="120"/>
        <w:jc w:val="center"/>
      </w:pPr>
      <w:r>
        <w:rPr>
          <w:i/>
          <w:color w:val="5F7387"/>
          <w:sz w:val="16"/>
        </w:rPr>
        <w:t>Figure 3. Redrawn adaptive dashboard layout; illustrative, not a direct capture.</w:t>
      </w:r>
    </w:p>
    <w:p>
      <w:r>
        <w:t>This dashboard illustration shows the adaptive-control presentation; values are illustrative and no real host process is suspended.</w:t>
      </w:r>
    </w:p>
    <w:p>
      <w:r>
        <w:br w:type="page"/>
      </w:r>
    </w:p>
    <w:p>
      <w:pPr>
        <w:pStyle w:val="Heading1"/>
      </w:pPr>
      <w:r>
        <w:t>6. Experimental Methodology</w:t>
      </w:r>
    </w:p>
    <w:tbl>
      <w:tblPr>
        <w:tblStyle w:val="LightShading-Accent1"/>
        <w:tblW w:type="auto" w:w="0"/>
        <w:jc w:val="center"/>
        <w:tblLook w:firstColumn="1" w:firstRow="1" w:lastColumn="0" w:lastRow="0" w:noHBand="0" w:noVBand="1" w:val="04A0"/>
      </w:tblPr>
      <w:tblGrid>
        <w:gridCol w:w="5083"/>
        <w:gridCol w:w="5083"/>
      </w:tblGrid>
      <w:tr>
        <w:tc>
          <w:tcPr>
            <w:tcW w:type="dxa" w:w="5083"/>
            <w:shd w:fill="24476B"/>
          </w:tcPr>
          <w:p>
            <w:r>
              <w:rPr>
                <w:b/>
                <w:color w:val="FFFFFF"/>
                <w:sz w:val="16"/>
              </w:rPr>
              <w:t>Parameter</w:t>
            </w:r>
          </w:p>
        </w:tc>
        <w:tc>
          <w:tcPr>
            <w:tcW w:type="dxa" w:w="5083"/>
            <w:shd w:fill="24476B"/>
          </w:tcPr>
          <w:p>
            <w:r>
              <w:rPr>
                <w:b/>
                <w:color w:val="FFFFFF"/>
                <w:sz w:val="16"/>
              </w:rPr>
              <w:t>Setting</w:t>
            </w:r>
          </w:p>
        </w:tc>
      </w:tr>
      <w:tr>
        <w:tc>
          <w:tcPr>
            <w:tcW w:type="dxa" w:w="5083"/>
            <w:shd w:fill="F1F5F9"/>
          </w:tcPr>
          <w:p>
            <w:pPr>
              <w:spacing w:after="20"/>
            </w:pPr>
            <w:r>
              <w:rPr>
                <w:sz w:val="16"/>
              </w:rPr>
              <w:t>Processes</w:t>
            </w:r>
          </w:p>
        </w:tc>
        <w:tc>
          <w:tcPr>
            <w:tcW w:type="dxa" w:w="5083"/>
            <w:shd w:fill="F1F5F9"/>
          </w:tcPr>
          <w:p>
            <w:pPr>
              <w:spacing w:after="20"/>
            </w:pPr>
            <w:r>
              <w:rPr>
                <w:sz w:val="16"/>
              </w:rPr>
              <w:t>4</w:t>
            </w:r>
          </w:p>
        </w:tc>
      </w:tr>
      <w:tr>
        <w:tc>
          <w:tcPr>
            <w:tcW w:type="dxa" w:w="5083"/>
          </w:tcPr>
          <w:p>
            <w:pPr>
              <w:spacing w:after="20"/>
            </w:pPr>
            <w:r>
              <w:rPr>
                <w:sz w:val="16"/>
              </w:rPr>
              <w:t>Physical frames</w:t>
            </w:r>
          </w:p>
        </w:tc>
        <w:tc>
          <w:tcPr>
            <w:tcW w:type="dxa" w:w="5083"/>
          </w:tcPr>
          <w:p>
            <w:pPr>
              <w:spacing w:after="20"/>
            </w:pPr>
            <w:r>
              <w:rPr>
                <w:sz w:val="16"/>
              </w:rPr>
              <w:t>16</w:t>
            </w:r>
          </w:p>
        </w:tc>
      </w:tr>
      <w:tr>
        <w:tc>
          <w:tcPr>
            <w:tcW w:type="dxa" w:w="5083"/>
            <w:shd w:fill="F1F5F9"/>
          </w:tcPr>
          <w:p>
            <w:pPr>
              <w:spacing w:after="20"/>
            </w:pPr>
            <w:r>
              <w:rPr>
                <w:sz w:val="16"/>
              </w:rPr>
              <w:t>References per process</w:t>
            </w:r>
          </w:p>
        </w:tc>
        <w:tc>
          <w:tcPr>
            <w:tcW w:type="dxa" w:w="5083"/>
            <w:shd w:fill="F1F5F9"/>
          </w:tcPr>
          <w:p>
            <w:pPr>
              <w:spacing w:after="20"/>
            </w:pPr>
            <w:r>
              <w:rPr>
                <w:sz w:val="16"/>
              </w:rPr>
              <w:t>400</w:t>
            </w:r>
          </w:p>
        </w:tc>
      </w:tr>
      <w:tr>
        <w:tc>
          <w:tcPr>
            <w:tcW w:type="dxa" w:w="5083"/>
          </w:tcPr>
          <w:p>
            <w:pPr>
              <w:spacing w:after="20"/>
            </w:pPr>
            <w:r>
              <w:rPr>
                <w:sz w:val="16"/>
              </w:rPr>
              <w:t>References per completed main run</w:t>
            </w:r>
          </w:p>
        </w:tc>
        <w:tc>
          <w:tcPr>
            <w:tcW w:type="dxa" w:w="5083"/>
          </w:tcPr>
          <w:p>
            <w:pPr>
              <w:spacing w:after="20"/>
            </w:pPr>
            <w:r>
              <w:rPr>
                <w:sz w:val="16"/>
              </w:rPr>
              <w:t>1,600</w:t>
            </w:r>
          </w:p>
        </w:tc>
      </w:tr>
      <w:tr>
        <w:tc>
          <w:tcPr>
            <w:tcW w:type="dxa" w:w="5083"/>
            <w:shd w:fill="F1F5F9"/>
          </w:tcPr>
          <w:p>
            <w:pPr>
              <w:spacing w:after="20"/>
            </w:pPr>
            <w:r>
              <w:rPr>
                <w:sz w:val="16"/>
              </w:rPr>
              <w:t>Seeds</w:t>
            </w:r>
          </w:p>
        </w:tc>
        <w:tc>
          <w:tcPr>
            <w:tcW w:type="dxa" w:w="5083"/>
            <w:shd w:fill="F1F5F9"/>
          </w:tcPr>
          <w:p>
            <w:pPr>
              <w:spacing w:after="20"/>
            </w:pPr>
            <w:r>
              <w:rPr>
                <w:sz w:val="16"/>
              </w:rPr>
              <w:t>42–51 (10 seeds)</w:t>
            </w:r>
          </w:p>
        </w:tc>
      </w:tr>
      <w:tr>
        <w:tc>
          <w:tcPr>
            <w:tcW w:type="dxa" w:w="5083"/>
          </w:tcPr>
          <w:p>
            <w:pPr>
              <w:spacing w:after="20"/>
            </w:pPr>
            <w:r>
              <w:rPr>
                <w:sz w:val="16"/>
              </w:rPr>
              <w:t>Workload patterns</w:t>
            </w:r>
          </w:p>
        </w:tc>
        <w:tc>
          <w:tcPr>
            <w:tcW w:type="dxa" w:w="5083"/>
          </w:tcPr>
          <w:p>
            <w:pPr>
              <w:spacing w:after="20"/>
            </w:pPr>
            <w:r>
              <w:rPr>
                <w:sz w:val="16"/>
              </w:rPr>
              <w:t>5</w:t>
            </w:r>
          </w:p>
        </w:tc>
      </w:tr>
      <w:tr>
        <w:tc>
          <w:tcPr>
            <w:tcW w:type="dxa" w:w="5083"/>
            <w:shd w:fill="F1F5F9"/>
          </w:tcPr>
          <w:p>
            <w:pPr>
              <w:spacing w:after="20"/>
            </w:pPr>
            <w:r>
              <w:rPr>
                <w:sz w:val="16"/>
              </w:rPr>
              <w:t>Replacement policies</w:t>
            </w:r>
          </w:p>
        </w:tc>
        <w:tc>
          <w:tcPr>
            <w:tcW w:type="dxa" w:w="5083"/>
            <w:shd w:fill="F1F5F9"/>
          </w:tcPr>
          <w:p>
            <w:pPr>
              <w:spacing w:after="20"/>
            </w:pPr>
            <w:r>
              <w:rPr>
                <w:sz w:val="16"/>
              </w:rPr>
              <w:t>FIFO, LRU, Clock, Optimal</w:t>
            </w:r>
          </w:p>
        </w:tc>
      </w:tr>
      <w:tr>
        <w:tc>
          <w:tcPr>
            <w:tcW w:type="dxa" w:w="5083"/>
          </w:tcPr>
          <w:p>
            <w:pPr>
              <w:spacing w:after="20"/>
            </w:pPr>
            <w:r>
              <w:rPr>
                <w:sz w:val="16"/>
              </w:rPr>
              <w:t>Adaptive modes</w:t>
            </w:r>
          </w:p>
        </w:tc>
        <w:tc>
          <w:tcPr>
            <w:tcW w:type="dxa" w:w="5083"/>
          </w:tcPr>
          <w:p>
            <w:pPr>
              <w:spacing w:after="20"/>
            </w:pPr>
            <w:r>
              <w:rPr>
                <w:sz w:val="16"/>
              </w:rPr>
              <w:t>4</w:t>
            </w:r>
          </w:p>
        </w:tc>
      </w:tr>
      <w:tr>
        <w:tc>
          <w:tcPr>
            <w:tcW w:type="dxa" w:w="5083"/>
            <w:shd w:fill="F1F5F9"/>
          </w:tcPr>
          <w:p>
            <w:pPr>
              <w:spacing w:after="20"/>
            </w:pPr>
            <w:r>
              <w:rPr>
                <w:sz w:val="16"/>
              </w:rPr>
              <w:t>Main TLB-on runs</w:t>
            </w:r>
          </w:p>
        </w:tc>
        <w:tc>
          <w:tcPr>
            <w:tcW w:type="dxa" w:w="5083"/>
            <w:shd w:fill="F1F5F9"/>
          </w:tcPr>
          <w:p>
            <w:pPr>
              <w:spacing w:after="20"/>
            </w:pPr>
            <w:r>
              <w:rPr>
                <w:sz w:val="16"/>
              </w:rPr>
              <w:t>800</w:t>
            </w:r>
          </w:p>
        </w:tc>
      </w:tr>
      <w:tr>
        <w:tc>
          <w:tcPr>
            <w:tcW w:type="dxa" w:w="5083"/>
          </w:tcPr>
          <w:p>
            <w:pPr>
              <w:spacing w:after="20"/>
            </w:pPr>
            <w:r>
              <w:rPr>
                <w:sz w:val="16"/>
              </w:rPr>
              <w:t>Matched TLB-off runs</w:t>
            </w:r>
          </w:p>
        </w:tc>
        <w:tc>
          <w:tcPr>
            <w:tcW w:type="dxa" w:w="5083"/>
          </w:tcPr>
          <w:p>
            <w:pPr>
              <w:spacing w:after="20"/>
            </w:pPr>
            <w:r>
              <w:rPr>
                <w:sz w:val="16"/>
              </w:rPr>
              <w:t>200</w:t>
            </w:r>
          </w:p>
        </w:tc>
      </w:tr>
      <w:tr>
        <w:tc>
          <w:tcPr>
            <w:tcW w:type="dxa" w:w="5083"/>
            <w:shd w:fill="F1F5F9"/>
          </w:tcPr>
          <w:p>
            <w:pPr>
              <w:spacing w:after="20"/>
            </w:pPr>
            <w:r>
              <w:rPr>
                <w:sz w:val="16"/>
              </w:rPr>
              <w:t>Total raw records</w:t>
            </w:r>
          </w:p>
        </w:tc>
        <w:tc>
          <w:tcPr>
            <w:tcW w:type="dxa" w:w="5083"/>
            <w:shd w:fill="F1F5F9"/>
          </w:tcPr>
          <w:p>
            <w:pPr>
              <w:spacing w:after="20"/>
            </w:pPr>
            <w:r>
              <w:rPr>
                <w:sz w:val="16"/>
              </w:rPr>
              <w:t>1000</w:t>
            </w:r>
          </w:p>
        </w:tc>
      </w:tr>
    </w:tbl>
    <w:p/>
    <w:tbl>
      <w:tblPr>
        <w:tblStyle w:val="LightShading-Accent1"/>
        <w:tblW w:type="auto" w:w="0"/>
        <w:jc w:val="center"/>
        <w:tblLook w:firstColumn="1" w:firstRow="1" w:lastColumn="0" w:lastRow="0" w:noHBand="0" w:noVBand="1" w:val="04A0"/>
      </w:tblPr>
      <w:tblGrid>
        <w:gridCol w:w="5083"/>
        <w:gridCol w:w="5083"/>
      </w:tblGrid>
      <w:tr>
        <w:tc>
          <w:tcPr>
            <w:tcW w:type="dxa" w:w="5083"/>
            <w:shd w:fill="24476B"/>
          </w:tcPr>
          <w:p>
            <w:r>
              <w:rPr>
                <w:b/>
                <w:color w:val="FFFFFF"/>
                <w:sz w:val="16"/>
              </w:rPr>
              <w:t>Workload</w:t>
            </w:r>
          </w:p>
        </w:tc>
        <w:tc>
          <w:tcPr>
            <w:tcW w:type="dxa" w:w="5083"/>
            <w:shd w:fill="24476B"/>
          </w:tcPr>
          <w:p>
            <w:r>
              <w:rPr>
                <w:b/>
                <w:color w:val="FFFFFF"/>
                <w:sz w:val="16"/>
              </w:rPr>
              <w:t>Trace structure</w:t>
            </w:r>
          </w:p>
        </w:tc>
      </w:tr>
      <w:tr>
        <w:tc>
          <w:tcPr>
            <w:tcW w:type="dxa" w:w="5083"/>
            <w:shd w:fill="F1F5F9"/>
          </w:tcPr>
          <w:p>
            <w:pPr>
              <w:spacing w:after="20"/>
            </w:pPr>
            <w:r>
              <w:rPr>
                <w:sz w:val="16"/>
              </w:rPr>
              <w:t>phase locality</w:t>
            </w:r>
          </w:p>
        </w:tc>
        <w:tc>
          <w:tcPr>
            <w:tcW w:type="dxa" w:w="5083"/>
            <w:shd w:fill="F1F5F9"/>
          </w:tcPr>
          <w:p>
            <w:pPr>
              <w:spacing w:after="20"/>
            </w:pPr>
            <w:r>
              <w:rPr>
                <w:sz w:val="16"/>
              </w:rPr>
              <w:t>Mostly accesses a small region, then shifts by phase.</w:t>
            </w:r>
          </w:p>
        </w:tc>
      </w:tr>
      <w:tr>
        <w:tc>
          <w:tcPr>
            <w:tcW w:type="dxa" w:w="5083"/>
          </w:tcPr>
          <w:p>
            <w:pPr>
              <w:spacing w:after="20"/>
            </w:pPr>
            <w:r>
              <w:rPr>
                <w:sz w:val="16"/>
              </w:rPr>
              <w:t>uniform random</w:t>
            </w:r>
          </w:p>
        </w:tc>
        <w:tc>
          <w:tcPr>
            <w:tcW w:type="dxa" w:w="5083"/>
          </w:tcPr>
          <w:p>
            <w:pPr>
              <w:spacing w:after="20"/>
            </w:pPr>
            <w:r>
              <w:rPr>
                <w:sz w:val="16"/>
              </w:rPr>
              <w:t>Random accesses across 64 pages.</w:t>
            </w:r>
          </w:p>
        </w:tc>
      </w:tr>
      <w:tr>
        <w:tc>
          <w:tcPr>
            <w:tcW w:type="dxa" w:w="5083"/>
            <w:shd w:fill="F1F5F9"/>
          </w:tcPr>
          <w:p>
            <w:pPr>
              <w:spacing w:after="20"/>
            </w:pPr>
            <w:r>
              <w:rPr>
                <w:sz w:val="16"/>
              </w:rPr>
              <w:t>sequential scan</w:t>
            </w:r>
          </w:p>
        </w:tc>
        <w:tc>
          <w:tcPr>
            <w:tcW w:type="dxa" w:w="5083"/>
            <w:shd w:fill="F1F5F9"/>
          </w:tcPr>
          <w:p>
            <w:pPr>
              <w:spacing w:after="20"/>
            </w:pPr>
            <w:r>
              <w:rPr>
                <w:sz w:val="16"/>
              </w:rPr>
              <w:t>Sequentially scans all 64 pages.</w:t>
            </w:r>
          </w:p>
        </w:tc>
      </w:tr>
      <w:tr>
        <w:tc>
          <w:tcPr>
            <w:tcW w:type="dxa" w:w="5083"/>
          </w:tcPr>
          <w:p>
            <w:pPr>
              <w:spacing w:after="20"/>
            </w:pPr>
            <w:r>
              <w:rPr>
                <w:sz w:val="16"/>
              </w:rPr>
              <w:t>bursty hot set</w:t>
            </w:r>
          </w:p>
        </w:tc>
        <w:tc>
          <w:tcPr>
            <w:tcW w:type="dxa" w:w="5083"/>
          </w:tcPr>
          <w:p>
            <w:pPr>
              <w:spacing w:after="20"/>
            </w:pPr>
            <w:r>
              <w:rPr>
                <w:sz w:val="16"/>
              </w:rPr>
              <w:t>Small hot-set bursts interspersed with broad random phases.</w:t>
            </w:r>
          </w:p>
        </w:tc>
      </w:tr>
      <w:tr>
        <w:tc>
          <w:tcPr>
            <w:tcW w:type="dxa" w:w="5083"/>
            <w:shd w:fill="F1F5F9"/>
          </w:tcPr>
          <w:p>
            <w:pPr>
              <w:spacing w:after="20"/>
            </w:pPr>
            <w:r>
              <w:rPr>
                <w:sz w:val="16"/>
              </w:rPr>
              <w:t>alternating hot sets</w:t>
            </w:r>
          </w:p>
        </w:tc>
        <w:tc>
          <w:tcPr>
            <w:tcW w:type="dxa" w:w="5083"/>
            <w:shd w:fill="F1F5F9"/>
          </w:tcPr>
          <w:p>
            <w:pPr>
              <w:spacing w:after="20"/>
            </w:pPr>
            <w:r>
              <w:rPr>
                <w:sz w:val="16"/>
              </w:rPr>
              <w:t>Alternates between two disjoint eight-page regions.</w:t>
            </w:r>
          </w:p>
        </w:tc>
      </w:tr>
    </w:tbl>
    <w:p/>
    <w:p>
      <w:r>
        <w:t>The main design varies pattern, seed, replacement policy and adaptive mode. The TLB validation repeats no-adaptation cases with TLB disabled. Summary intervals use a normal approximation and should be treated as descriptive.</w:t>
      </w:r>
    </w:p>
    <w:p>
      <w:r>
        <w:br w:type="page"/>
      </w:r>
    </w:p>
    <w:p>
      <w:pPr>
        <w:pStyle w:val="Heading1"/>
      </w:pPr>
      <w:r>
        <w:t>7. Aggregate Ablation Results</w:t>
      </w:r>
    </w:p>
    <w:tbl>
      <w:tblPr>
        <w:tblStyle w:val="LightShading-Accent1"/>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24476B"/>
          </w:tcPr>
          <w:p>
            <w:r>
              <w:rPr>
                <w:b/>
                <w:color w:val="FFFFFF"/>
                <w:sz w:val="16"/>
              </w:rPr>
              <w:t>Policy</w:t>
            </w:r>
          </w:p>
        </w:tc>
        <w:tc>
          <w:tcPr>
            <w:tcW w:type="dxa" w:w="1694"/>
            <w:shd w:fill="24476B"/>
          </w:tcPr>
          <w:p>
            <w:r>
              <w:rPr>
                <w:b/>
                <w:color w:val="FFFFFF"/>
                <w:sz w:val="16"/>
              </w:rPr>
              <w:t>None</w:t>
            </w:r>
          </w:p>
        </w:tc>
        <w:tc>
          <w:tcPr>
            <w:tcW w:type="dxa" w:w="1694"/>
            <w:shd w:fill="24476B"/>
          </w:tcPr>
          <w:p>
            <w:r>
              <w:rPr>
                <w:b/>
                <w:color w:val="FFFFFF"/>
                <w:sz w:val="16"/>
              </w:rPr>
              <w:t>Redistribution</w:t>
            </w:r>
          </w:p>
        </w:tc>
        <w:tc>
          <w:tcPr>
            <w:tcW w:type="dxa" w:w="1694"/>
            <w:shd w:fill="24476B"/>
          </w:tcPr>
          <w:p>
            <w:r>
              <w:rPr>
                <w:b/>
                <w:color w:val="FFFFFF"/>
                <w:sz w:val="16"/>
              </w:rPr>
              <w:t>Suspension</w:t>
            </w:r>
          </w:p>
        </w:tc>
        <w:tc>
          <w:tcPr>
            <w:tcW w:type="dxa" w:w="1694"/>
            <w:shd w:fill="24476B"/>
          </w:tcPr>
          <w:p>
            <w:r>
              <w:rPr>
                <w:b/>
                <w:color w:val="FFFFFF"/>
                <w:sz w:val="16"/>
              </w:rPr>
              <w:t>Combined</w:t>
            </w:r>
          </w:p>
        </w:tc>
        <w:tc>
          <w:tcPr>
            <w:tcW w:type="dxa" w:w="1694"/>
            <w:shd w:fill="24476B"/>
          </w:tcPr>
          <w:p>
            <w:r>
              <w:rPr>
                <w:b/>
                <w:color w:val="FFFFFF"/>
                <w:sz w:val="16"/>
              </w:rPr>
              <w:t>Reduction*</w:t>
            </w:r>
          </w:p>
        </w:tc>
      </w:tr>
      <w:tr>
        <w:tc>
          <w:tcPr>
            <w:tcW w:type="dxa" w:w="1694"/>
            <w:shd w:fill="F1F5F9"/>
          </w:tcPr>
          <w:p>
            <w:pPr>
              <w:spacing w:after="20"/>
            </w:pPr>
            <w:r>
              <w:rPr>
                <w:sz w:val="16"/>
              </w:rPr>
              <w:t>FIFO</w:t>
            </w:r>
          </w:p>
        </w:tc>
        <w:tc>
          <w:tcPr>
            <w:tcW w:type="dxa" w:w="1694"/>
            <w:shd w:fill="F1F5F9"/>
          </w:tcPr>
          <w:p>
            <w:pPr>
              <w:spacing w:after="20"/>
            </w:pPr>
            <w:r>
              <w:rPr>
                <w:sz w:val="16"/>
              </w:rPr>
              <w:t>1199.8</w:t>
            </w:r>
          </w:p>
        </w:tc>
        <w:tc>
          <w:tcPr>
            <w:tcW w:type="dxa" w:w="1694"/>
            <w:shd w:fill="F1F5F9"/>
          </w:tcPr>
          <w:p>
            <w:pPr>
              <w:spacing w:after="20"/>
            </w:pPr>
            <w:r>
              <w:rPr>
                <w:sz w:val="16"/>
              </w:rPr>
              <w:t>1206.7</w:t>
            </w:r>
          </w:p>
        </w:tc>
        <w:tc>
          <w:tcPr>
            <w:tcW w:type="dxa" w:w="1694"/>
            <w:shd w:fill="F1F5F9"/>
          </w:tcPr>
          <w:p>
            <w:pPr>
              <w:spacing w:after="20"/>
            </w:pPr>
            <w:r>
              <w:rPr>
                <w:sz w:val="16"/>
              </w:rPr>
              <w:t>1061.2</w:t>
            </w:r>
          </w:p>
        </w:tc>
        <w:tc>
          <w:tcPr>
            <w:tcW w:type="dxa" w:w="1694"/>
            <w:shd w:fill="F1F5F9"/>
          </w:tcPr>
          <w:p>
            <w:pPr>
              <w:spacing w:after="20"/>
            </w:pPr>
            <w:r>
              <w:rPr>
                <w:sz w:val="16"/>
              </w:rPr>
              <w:t>965.8</w:t>
            </w:r>
          </w:p>
        </w:tc>
        <w:tc>
          <w:tcPr>
            <w:tcW w:type="dxa" w:w="1694"/>
            <w:shd w:fill="F1F5F9"/>
          </w:tcPr>
          <w:p>
            <w:pPr>
              <w:spacing w:after="20"/>
            </w:pPr>
            <w:r>
              <w:rPr>
                <w:sz w:val="16"/>
              </w:rPr>
              <w:t>19.5%</w:t>
            </w:r>
          </w:p>
        </w:tc>
      </w:tr>
      <w:tr>
        <w:tc>
          <w:tcPr>
            <w:tcW w:type="dxa" w:w="1694"/>
          </w:tcPr>
          <w:p>
            <w:pPr>
              <w:spacing w:after="20"/>
            </w:pPr>
            <w:r>
              <w:rPr>
                <w:sz w:val="16"/>
              </w:rPr>
              <w:t>LRU</w:t>
            </w:r>
          </w:p>
        </w:tc>
        <w:tc>
          <w:tcPr>
            <w:tcW w:type="dxa" w:w="1694"/>
          </w:tcPr>
          <w:p>
            <w:pPr>
              <w:spacing w:after="20"/>
            </w:pPr>
            <w:r>
              <w:rPr>
                <w:sz w:val="16"/>
              </w:rPr>
              <w:t>1193.1</w:t>
            </w:r>
          </w:p>
        </w:tc>
        <w:tc>
          <w:tcPr>
            <w:tcW w:type="dxa" w:w="1694"/>
          </w:tcPr>
          <w:p>
            <w:pPr>
              <w:spacing w:after="20"/>
            </w:pPr>
            <w:r>
              <w:rPr>
                <w:sz w:val="16"/>
              </w:rPr>
              <w:t>1201.9</w:t>
            </w:r>
          </w:p>
        </w:tc>
        <w:tc>
          <w:tcPr>
            <w:tcW w:type="dxa" w:w="1694"/>
          </w:tcPr>
          <w:p>
            <w:pPr>
              <w:spacing w:after="20"/>
            </w:pPr>
            <w:r>
              <w:rPr>
                <w:sz w:val="16"/>
              </w:rPr>
              <w:t>1050.5</w:t>
            </w:r>
          </w:p>
        </w:tc>
        <w:tc>
          <w:tcPr>
            <w:tcW w:type="dxa" w:w="1694"/>
          </w:tcPr>
          <w:p>
            <w:pPr>
              <w:spacing w:after="20"/>
            </w:pPr>
            <w:r>
              <w:rPr>
                <w:sz w:val="16"/>
              </w:rPr>
              <w:t>963.6</w:t>
            </w:r>
          </w:p>
        </w:tc>
        <w:tc>
          <w:tcPr>
            <w:tcW w:type="dxa" w:w="1694"/>
          </w:tcPr>
          <w:p>
            <w:pPr>
              <w:spacing w:after="20"/>
            </w:pPr>
            <w:r>
              <w:rPr>
                <w:sz w:val="16"/>
              </w:rPr>
              <w:t>19.2%</w:t>
            </w:r>
          </w:p>
        </w:tc>
      </w:tr>
      <w:tr>
        <w:tc>
          <w:tcPr>
            <w:tcW w:type="dxa" w:w="1694"/>
            <w:shd w:fill="F1F5F9"/>
          </w:tcPr>
          <w:p>
            <w:pPr>
              <w:spacing w:after="20"/>
            </w:pPr>
            <w:r>
              <w:rPr>
                <w:sz w:val="16"/>
              </w:rPr>
              <w:t>Clock</w:t>
            </w:r>
          </w:p>
        </w:tc>
        <w:tc>
          <w:tcPr>
            <w:tcW w:type="dxa" w:w="1694"/>
            <w:shd w:fill="F1F5F9"/>
          </w:tcPr>
          <w:p>
            <w:pPr>
              <w:spacing w:after="20"/>
            </w:pPr>
            <w:r>
              <w:rPr>
                <w:sz w:val="16"/>
              </w:rPr>
              <w:t>1197.5</w:t>
            </w:r>
          </w:p>
        </w:tc>
        <w:tc>
          <w:tcPr>
            <w:tcW w:type="dxa" w:w="1694"/>
            <w:shd w:fill="F1F5F9"/>
          </w:tcPr>
          <w:p>
            <w:pPr>
              <w:spacing w:after="20"/>
            </w:pPr>
            <w:r>
              <w:rPr>
                <w:sz w:val="16"/>
              </w:rPr>
              <w:t>1205.5</w:t>
            </w:r>
          </w:p>
        </w:tc>
        <w:tc>
          <w:tcPr>
            <w:tcW w:type="dxa" w:w="1694"/>
            <w:shd w:fill="F1F5F9"/>
          </w:tcPr>
          <w:p>
            <w:pPr>
              <w:spacing w:after="20"/>
            </w:pPr>
            <w:r>
              <w:rPr>
                <w:sz w:val="16"/>
              </w:rPr>
              <w:t>1051.6</w:t>
            </w:r>
          </w:p>
        </w:tc>
        <w:tc>
          <w:tcPr>
            <w:tcW w:type="dxa" w:w="1694"/>
            <w:shd w:fill="F1F5F9"/>
          </w:tcPr>
          <w:p>
            <w:pPr>
              <w:spacing w:after="20"/>
            </w:pPr>
            <w:r>
              <w:rPr>
                <w:sz w:val="16"/>
              </w:rPr>
              <w:t>964.2</w:t>
            </w:r>
          </w:p>
        </w:tc>
        <w:tc>
          <w:tcPr>
            <w:tcW w:type="dxa" w:w="1694"/>
            <w:shd w:fill="F1F5F9"/>
          </w:tcPr>
          <w:p>
            <w:pPr>
              <w:spacing w:after="20"/>
            </w:pPr>
            <w:r>
              <w:rPr>
                <w:sz w:val="16"/>
              </w:rPr>
              <w:t>19.5%</w:t>
            </w:r>
          </w:p>
        </w:tc>
      </w:tr>
      <w:tr>
        <w:tc>
          <w:tcPr>
            <w:tcW w:type="dxa" w:w="1694"/>
          </w:tcPr>
          <w:p>
            <w:pPr>
              <w:spacing w:after="20"/>
            </w:pPr>
            <w:r>
              <w:rPr>
                <w:sz w:val="16"/>
              </w:rPr>
              <w:t>Optimal</w:t>
            </w:r>
          </w:p>
        </w:tc>
        <w:tc>
          <w:tcPr>
            <w:tcW w:type="dxa" w:w="1694"/>
          </w:tcPr>
          <w:p>
            <w:pPr>
              <w:spacing w:after="20"/>
            </w:pPr>
            <w:r>
              <w:rPr>
                <w:sz w:val="16"/>
              </w:rPr>
              <w:t>953.4</w:t>
            </w:r>
          </w:p>
        </w:tc>
        <w:tc>
          <w:tcPr>
            <w:tcW w:type="dxa" w:w="1694"/>
          </w:tcPr>
          <w:p>
            <w:pPr>
              <w:spacing w:after="20"/>
            </w:pPr>
            <w:r>
              <w:rPr>
                <w:sz w:val="16"/>
              </w:rPr>
              <w:t>974.2</w:t>
            </w:r>
          </w:p>
        </w:tc>
        <w:tc>
          <w:tcPr>
            <w:tcW w:type="dxa" w:w="1694"/>
          </w:tcPr>
          <w:p>
            <w:pPr>
              <w:spacing w:after="20"/>
            </w:pPr>
            <w:r>
              <w:rPr>
                <w:sz w:val="16"/>
              </w:rPr>
              <w:t>869.5</w:t>
            </w:r>
          </w:p>
        </w:tc>
        <w:tc>
          <w:tcPr>
            <w:tcW w:type="dxa" w:w="1694"/>
          </w:tcPr>
          <w:p>
            <w:pPr>
              <w:spacing w:after="20"/>
            </w:pPr>
            <w:r>
              <w:rPr>
                <w:sz w:val="16"/>
              </w:rPr>
              <w:t>843.6</w:t>
            </w:r>
          </w:p>
        </w:tc>
        <w:tc>
          <w:tcPr>
            <w:tcW w:type="dxa" w:w="1694"/>
          </w:tcPr>
          <w:p>
            <w:pPr>
              <w:spacing w:after="20"/>
            </w:pPr>
            <w:r>
              <w:rPr>
                <w:sz w:val="16"/>
              </w:rPr>
              <w:t>11.5%</w:t>
            </w:r>
          </w:p>
        </w:tc>
      </w:tr>
    </w:tbl>
    <w:p/>
    <w:p>
      <w:pPr>
        <w:spacing w:after="120"/>
        <w:jc w:val="center"/>
      </w:pPr>
      <w:r>
        <w:rPr>
          <w:i/>
          <w:color w:val="5F7387"/>
          <w:sz w:val="16"/>
        </w:rPr>
        <w:t>Table 1. Mean page faults pooled over seeds and patterns; all runs complete 1,600 references.</w:t>
      </w:r>
    </w:p>
    <w:p>
      <w:pPr>
        <w:jc w:val="center"/>
      </w:pPr>
      <w:r>
        <w:drawing>
          <wp:inline xmlns:a="http://schemas.openxmlformats.org/drawingml/2006/main" xmlns:pic="http://schemas.openxmlformats.org/drawingml/2006/picture">
            <wp:extent cx="6035040" cy="3342201"/>
            <wp:docPr id="4" name="Picture 4"/>
            <wp:cNvGraphicFramePr>
              <a:graphicFrameLocks noChangeAspect="1"/>
            </wp:cNvGraphicFramePr>
            <a:graphic>
              <a:graphicData uri="http://schemas.openxmlformats.org/drawingml/2006/picture">
                <pic:pic>
                  <pic:nvPicPr>
                    <pic:cNvPr id="0" name="overall_ablation_results.png"/>
                    <pic:cNvPicPr/>
                  </pic:nvPicPr>
                  <pic:blipFill>
                    <a:blip r:embed="rId14"/>
                    <a:stretch>
                      <a:fillRect/>
                    </a:stretch>
                  </pic:blipFill>
                  <pic:spPr>
                    <a:xfrm>
                      <a:off x="0" y="0"/>
                      <a:ext cx="6035040" cy="3342201"/>
                    </a:xfrm>
                    <a:prstGeom prst="rect"/>
                  </pic:spPr>
                </pic:pic>
              </a:graphicData>
            </a:graphic>
          </wp:inline>
        </w:drawing>
      </w:r>
    </w:p>
    <w:p>
      <w:pPr>
        <w:spacing w:after="120"/>
        <w:jc w:val="center"/>
      </w:pPr>
      <w:r>
        <w:rPr>
          <w:i/>
          <w:color w:val="5F7387"/>
          <w:sz w:val="16"/>
        </w:rPr>
        <w:t>Figure 4. Adaptive-policy ablation.</w:t>
      </w:r>
    </w:p>
    <w:p>
      <w:r>
        <w:t>Redistribution alone slightly increased mean faults, partly because changing frame ownership can invalidate useful resident pages. Suspension alone kept page-fault totals unchanged because it did not transfer frames. The combined mode reduced pooled faults for all four replacement algorithms in this synthetic experiment.</w:t>
      </w:r>
    </w:p>
    <w:p>
      <w:r>
        <w:br w:type="page"/>
      </w:r>
    </w:p>
    <w:p>
      <w:pPr>
        <w:pStyle w:val="Heading1"/>
      </w:pPr>
      <w:r>
        <w:t>8. Workload-Specific Findings and TLB</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shd w:fill="24476B"/>
          </w:tcPr>
          <w:p>
            <w:r>
              <w:rPr>
                <w:b/>
                <w:color w:val="FFFFFF"/>
                <w:sz w:val="16"/>
              </w:rPr>
              <w:t>Workload</w:t>
            </w:r>
          </w:p>
        </w:tc>
        <w:tc>
          <w:tcPr>
            <w:tcW w:type="dxa" w:w="2541"/>
            <w:shd w:fill="24476B"/>
          </w:tcPr>
          <w:p>
            <w:r>
              <w:rPr>
                <w:b/>
                <w:color w:val="FFFFFF"/>
                <w:sz w:val="16"/>
              </w:rPr>
              <w:t>Baseline LRU</w:t>
            </w:r>
          </w:p>
        </w:tc>
        <w:tc>
          <w:tcPr>
            <w:tcW w:type="dxa" w:w="2541"/>
            <w:shd w:fill="24476B"/>
          </w:tcPr>
          <w:p>
            <w:r>
              <w:rPr>
                <w:b/>
                <w:color w:val="FFFFFF"/>
                <w:sz w:val="16"/>
              </w:rPr>
              <w:t>Combined LRU</w:t>
            </w:r>
          </w:p>
        </w:tc>
        <w:tc>
          <w:tcPr>
            <w:tcW w:type="dxa" w:w="2541"/>
            <w:shd w:fill="24476B"/>
          </w:tcPr>
          <w:p>
            <w:r>
              <w:rPr>
                <w:b/>
                <w:color w:val="FFFFFF"/>
                <w:sz w:val="16"/>
              </w:rPr>
              <w:t>Reduction</w:t>
            </w:r>
          </w:p>
        </w:tc>
      </w:tr>
      <w:tr>
        <w:tc>
          <w:tcPr>
            <w:tcW w:type="dxa" w:w="2541"/>
            <w:shd w:fill="F1F5F9"/>
          </w:tcPr>
          <w:p>
            <w:pPr>
              <w:spacing w:after="20"/>
            </w:pPr>
            <w:r>
              <w:rPr>
                <w:sz w:val="16"/>
              </w:rPr>
              <w:t>phase locality</w:t>
            </w:r>
          </w:p>
        </w:tc>
        <w:tc>
          <w:tcPr>
            <w:tcW w:type="dxa" w:w="2541"/>
            <w:shd w:fill="F1F5F9"/>
          </w:tcPr>
          <w:p>
            <w:pPr>
              <w:spacing w:after="20"/>
            </w:pPr>
            <w:r>
              <w:rPr>
                <w:sz w:val="16"/>
              </w:rPr>
              <w:t>1026.1</w:t>
            </w:r>
          </w:p>
        </w:tc>
        <w:tc>
          <w:tcPr>
            <w:tcW w:type="dxa" w:w="2541"/>
            <w:shd w:fill="F1F5F9"/>
          </w:tcPr>
          <w:p>
            <w:pPr>
              <w:spacing w:after="20"/>
            </w:pPr>
            <w:r>
              <w:rPr>
                <w:sz w:val="16"/>
              </w:rPr>
              <w:t>676.3</w:t>
            </w:r>
          </w:p>
        </w:tc>
        <w:tc>
          <w:tcPr>
            <w:tcW w:type="dxa" w:w="2541"/>
            <w:shd w:fill="F1F5F9"/>
          </w:tcPr>
          <w:p>
            <w:pPr>
              <w:spacing w:after="20"/>
            </w:pPr>
            <w:r>
              <w:rPr>
                <w:sz w:val="16"/>
              </w:rPr>
              <w:t>34.1%</w:t>
            </w:r>
          </w:p>
        </w:tc>
      </w:tr>
      <w:tr>
        <w:tc>
          <w:tcPr>
            <w:tcW w:type="dxa" w:w="2541"/>
          </w:tcPr>
          <w:p>
            <w:pPr>
              <w:spacing w:after="20"/>
            </w:pPr>
            <w:r>
              <w:rPr>
                <w:sz w:val="16"/>
              </w:rPr>
              <w:t>uniform random</w:t>
            </w:r>
          </w:p>
        </w:tc>
        <w:tc>
          <w:tcPr>
            <w:tcW w:type="dxa" w:w="2541"/>
          </w:tcPr>
          <w:p>
            <w:pPr>
              <w:spacing w:after="20"/>
            </w:pPr>
            <w:r>
              <w:rPr>
                <w:sz w:val="16"/>
              </w:rPr>
              <w:t>1498.3</w:t>
            </w:r>
          </w:p>
        </w:tc>
        <w:tc>
          <w:tcPr>
            <w:tcW w:type="dxa" w:w="2541"/>
          </w:tcPr>
          <w:p>
            <w:pPr>
              <w:spacing w:after="20"/>
            </w:pPr>
            <w:r>
              <w:rPr>
                <w:sz w:val="16"/>
              </w:rPr>
              <w:t>1272.7</w:t>
            </w:r>
          </w:p>
        </w:tc>
        <w:tc>
          <w:tcPr>
            <w:tcW w:type="dxa" w:w="2541"/>
          </w:tcPr>
          <w:p>
            <w:pPr>
              <w:spacing w:after="20"/>
            </w:pPr>
            <w:r>
              <w:rPr>
                <w:sz w:val="16"/>
              </w:rPr>
              <w:t>15.1%</w:t>
            </w:r>
          </w:p>
        </w:tc>
      </w:tr>
      <w:tr>
        <w:tc>
          <w:tcPr>
            <w:tcW w:type="dxa" w:w="2541"/>
            <w:shd w:fill="F1F5F9"/>
          </w:tcPr>
          <w:p>
            <w:pPr>
              <w:spacing w:after="20"/>
            </w:pPr>
            <w:r>
              <w:rPr>
                <w:sz w:val="16"/>
              </w:rPr>
              <w:t>sequential scan</w:t>
            </w:r>
          </w:p>
        </w:tc>
        <w:tc>
          <w:tcPr>
            <w:tcW w:type="dxa" w:w="2541"/>
            <w:shd w:fill="F1F5F9"/>
          </w:tcPr>
          <w:p>
            <w:pPr>
              <w:spacing w:after="20"/>
            </w:pPr>
            <w:r>
              <w:rPr>
                <w:sz w:val="16"/>
              </w:rPr>
              <w:t>1600.0</w:t>
            </w:r>
          </w:p>
        </w:tc>
        <w:tc>
          <w:tcPr>
            <w:tcW w:type="dxa" w:w="2541"/>
            <w:shd w:fill="F1F5F9"/>
          </w:tcPr>
          <w:p>
            <w:pPr>
              <w:spacing w:after="20"/>
            </w:pPr>
            <w:r>
              <w:rPr>
                <w:sz w:val="16"/>
              </w:rPr>
              <w:t>1600.0</w:t>
            </w:r>
          </w:p>
        </w:tc>
        <w:tc>
          <w:tcPr>
            <w:tcW w:type="dxa" w:w="2541"/>
            <w:shd w:fill="F1F5F9"/>
          </w:tcPr>
          <w:p>
            <w:pPr>
              <w:spacing w:after="20"/>
            </w:pPr>
            <w:r>
              <w:rPr>
                <w:sz w:val="16"/>
              </w:rPr>
              <w:t>0.0%</w:t>
            </w:r>
          </w:p>
        </w:tc>
      </w:tr>
      <w:tr>
        <w:tc>
          <w:tcPr>
            <w:tcW w:type="dxa" w:w="2541"/>
          </w:tcPr>
          <w:p>
            <w:pPr>
              <w:spacing w:after="20"/>
            </w:pPr>
            <w:r>
              <w:rPr>
                <w:sz w:val="16"/>
              </w:rPr>
              <w:t>bursty hotset</w:t>
            </w:r>
          </w:p>
        </w:tc>
        <w:tc>
          <w:tcPr>
            <w:tcW w:type="dxa" w:w="2541"/>
          </w:tcPr>
          <w:p>
            <w:pPr>
              <w:spacing w:after="20"/>
            </w:pPr>
            <w:r>
              <w:rPr>
                <w:sz w:val="16"/>
              </w:rPr>
              <w:t>966.5</w:t>
            </w:r>
          </w:p>
        </w:tc>
        <w:tc>
          <w:tcPr>
            <w:tcW w:type="dxa" w:w="2541"/>
          </w:tcPr>
          <w:p>
            <w:pPr>
              <w:spacing w:after="20"/>
            </w:pPr>
            <w:r>
              <w:rPr>
                <w:sz w:val="16"/>
              </w:rPr>
              <w:t>680.0</w:t>
            </w:r>
          </w:p>
        </w:tc>
        <w:tc>
          <w:tcPr>
            <w:tcW w:type="dxa" w:w="2541"/>
          </w:tcPr>
          <w:p>
            <w:pPr>
              <w:spacing w:after="20"/>
            </w:pPr>
            <w:r>
              <w:rPr>
                <w:sz w:val="16"/>
              </w:rPr>
              <w:t>29.6%</w:t>
            </w:r>
          </w:p>
        </w:tc>
      </w:tr>
      <w:tr>
        <w:tc>
          <w:tcPr>
            <w:tcW w:type="dxa" w:w="2541"/>
            <w:shd w:fill="F1F5F9"/>
          </w:tcPr>
          <w:p>
            <w:pPr>
              <w:spacing w:after="20"/>
            </w:pPr>
            <w:r>
              <w:rPr>
                <w:sz w:val="16"/>
              </w:rPr>
              <w:t>alternating hotsets</w:t>
            </w:r>
          </w:p>
        </w:tc>
        <w:tc>
          <w:tcPr>
            <w:tcW w:type="dxa" w:w="2541"/>
            <w:shd w:fill="F1F5F9"/>
          </w:tcPr>
          <w:p>
            <w:pPr>
              <w:spacing w:after="20"/>
            </w:pPr>
            <w:r>
              <w:rPr>
                <w:sz w:val="16"/>
              </w:rPr>
              <w:t>874.5</w:t>
            </w:r>
          </w:p>
        </w:tc>
        <w:tc>
          <w:tcPr>
            <w:tcW w:type="dxa" w:w="2541"/>
            <w:shd w:fill="F1F5F9"/>
          </w:tcPr>
          <w:p>
            <w:pPr>
              <w:spacing w:after="20"/>
            </w:pPr>
            <w:r>
              <w:rPr>
                <w:sz w:val="16"/>
              </w:rPr>
              <w:t>589.2</w:t>
            </w:r>
          </w:p>
        </w:tc>
        <w:tc>
          <w:tcPr>
            <w:tcW w:type="dxa" w:w="2541"/>
            <w:shd w:fill="F1F5F9"/>
          </w:tcPr>
          <w:p>
            <w:pPr>
              <w:spacing w:after="20"/>
            </w:pPr>
            <w:r>
              <w:rPr>
                <w:sz w:val="16"/>
              </w:rPr>
              <w:t>32.6%</w:t>
            </w:r>
          </w:p>
        </w:tc>
      </w:tr>
    </w:tbl>
    <w:p/>
    <w:p>
      <w:pPr>
        <w:jc w:val="center"/>
      </w:pPr>
      <w:r>
        <w:drawing>
          <wp:inline xmlns:a="http://schemas.openxmlformats.org/drawingml/2006/main" xmlns:pic="http://schemas.openxmlformats.org/drawingml/2006/picture">
            <wp:extent cx="6035040" cy="3211528"/>
            <wp:docPr id="5" name="Picture 5"/>
            <wp:cNvGraphicFramePr>
              <a:graphicFrameLocks noChangeAspect="1"/>
            </wp:cNvGraphicFramePr>
            <a:graphic>
              <a:graphicData uri="http://schemas.openxmlformats.org/drawingml/2006/picture">
                <pic:pic>
                  <pic:nvPicPr>
                    <pic:cNvPr id="0" name="lru_workload_effects.png"/>
                    <pic:cNvPicPr/>
                  </pic:nvPicPr>
                  <pic:blipFill>
                    <a:blip r:embed="rId15"/>
                    <a:stretch>
                      <a:fillRect/>
                    </a:stretch>
                  </pic:blipFill>
                  <pic:spPr>
                    <a:xfrm>
                      <a:off x="0" y="0"/>
                      <a:ext cx="6035040" cy="3211528"/>
                    </a:xfrm>
                    <a:prstGeom prst="rect"/>
                  </pic:spPr>
                </pic:pic>
              </a:graphicData>
            </a:graphic>
          </wp:inline>
        </w:drawing>
      </w:r>
    </w:p>
    <w:p>
      <w:pPr>
        <w:spacing w:after="120"/>
        <w:jc w:val="center"/>
      </w:pPr>
      <w:r>
        <w:rPr>
          <w:i/>
          <w:color w:val="5F7387"/>
          <w:sz w:val="16"/>
        </w:rPr>
        <w:t>Figure 5. LRU intervention effect by workload; negative values indicate more faults.</w:t>
      </w:r>
    </w:p>
    <w:tbl>
      <w:tblPr>
        <w:tblStyle w:val="LightShading-Accent1"/>
        <w:tblW w:type="auto" w:w="0"/>
        <w:jc w:val="center"/>
        <w:tblLook w:firstColumn="1" w:firstRow="1" w:lastColumn="0" w:lastRow="0" w:noHBand="0" w:noVBand="1" w:val="04A0"/>
      </w:tblPr>
      <w:tblGrid>
        <w:gridCol w:w="5083"/>
        <w:gridCol w:w="5083"/>
      </w:tblGrid>
      <w:tr>
        <w:tc>
          <w:tcPr>
            <w:tcW w:type="dxa" w:w="5083"/>
            <w:shd w:fill="24476B"/>
          </w:tcPr>
          <w:p>
            <w:r>
              <w:rPr>
                <w:b/>
                <w:color w:val="FFFFFF"/>
                <w:sz w:val="16"/>
              </w:rPr>
              <w:t>TLB measure</w:t>
            </w:r>
          </w:p>
        </w:tc>
        <w:tc>
          <w:tcPr>
            <w:tcW w:type="dxa" w:w="5083"/>
            <w:shd w:fill="24476B"/>
          </w:tcPr>
          <w:p>
            <w:r>
              <w:rPr>
                <w:b/>
                <w:color w:val="FFFFFF"/>
                <w:sz w:val="16"/>
              </w:rPr>
              <w:t>Result</w:t>
            </w:r>
          </w:p>
        </w:tc>
      </w:tr>
      <w:tr>
        <w:tc>
          <w:tcPr>
            <w:tcW w:type="dxa" w:w="5083"/>
            <w:shd w:fill="F1F5F9"/>
          </w:tcPr>
          <w:p>
            <w:pPr>
              <w:spacing w:after="20"/>
            </w:pPr>
            <w:r>
              <w:rPr>
                <w:sz w:val="16"/>
              </w:rPr>
              <w:t>Mean table accesses, TLB on</w:t>
            </w:r>
          </w:p>
        </w:tc>
        <w:tc>
          <w:tcPr>
            <w:tcW w:type="dxa" w:w="5083"/>
            <w:shd w:fill="F1F5F9"/>
          </w:tcPr>
          <w:p>
            <w:pPr>
              <w:spacing w:after="20"/>
            </w:pPr>
            <w:r>
              <w:rPr>
                <w:sz w:val="16"/>
              </w:rPr>
              <w:t>2,450.2</w:t>
            </w:r>
          </w:p>
        </w:tc>
      </w:tr>
      <w:tr>
        <w:tc>
          <w:tcPr>
            <w:tcW w:type="dxa" w:w="5083"/>
          </w:tcPr>
          <w:p>
            <w:pPr>
              <w:spacing w:after="20"/>
            </w:pPr>
            <w:r>
              <w:rPr>
                <w:sz w:val="16"/>
              </w:rPr>
              <w:t>Mean table accesses, TLB off</w:t>
            </w:r>
          </w:p>
        </w:tc>
        <w:tc>
          <w:tcPr>
            <w:tcW w:type="dxa" w:w="5083"/>
          </w:tcPr>
          <w:p>
            <w:pPr>
              <w:spacing w:after="20"/>
            </w:pPr>
            <w:r>
              <w:rPr>
                <w:sz w:val="16"/>
              </w:rPr>
              <w:t>2,856.6</w:t>
            </w:r>
          </w:p>
        </w:tc>
      </w:tr>
      <w:tr>
        <w:tc>
          <w:tcPr>
            <w:tcW w:type="dxa" w:w="5083"/>
            <w:shd w:fill="F1F5F9"/>
          </w:tcPr>
          <w:p>
            <w:pPr>
              <w:spacing w:after="20"/>
            </w:pPr>
            <w:r>
              <w:rPr>
                <w:sz w:val="16"/>
              </w:rPr>
              <w:t>Reduction in table accesses</w:t>
            </w:r>
          </w:p>
        </w:tc>
        <w:tc>
          <w:tcPr>
            <w:tcW w:type="dxa" w:w="5083"/>
            <w:shd w:fill="F1F5F9"/>
          </w:tcPr>
          <w:p>
            <w:pPr>
              <w:spacing w:after="20"/>
            </w:pPr>
            <w:r>
              <w:rPr>
                <w:sz w:val="16"/>
              </w:rPr>
              <w:t>14.2%</w:t>
            </w:r>
          </w:p>
        </w:tc>
      </w:tr>
      <w:tr>
        <w:tc>
          <w:tcPr>
            <w:tcW w:type="dxa" w:w="5083"/>
          </w:tcPr>
          <w:p>
            <w:pPr>
              <w:spacing w:after="20"/>
            </w:pPr>
            <w:r>
              <w:rPr>
                <w:sz w:val="16"/>
              </w:rPr>
              <w:t>Page-fault mismatches in matched pairs</w:t>
            </w:r>
          </w:p>
        </w:tc>
        <w:tc>
          <w:tcPr>
            <w:tcW w:type="dxa" w:w="5083"/>
          </w:tcPr>
          <w:p>
            <w:pPr>
              <w:spacing w:after="20"/>
            </w:pPr>
            <w:r>
              <w:rPr>
                <w:sz w:val="16"/>
              </w:rPr>
              <w:t>0 / 200</w:t>
            </w:r>
          </w:p>
        </w:tc>
      </w:tr>
    </w:tbl>
    <w:p/>
    <w:p>
      <w:pPr>
        <w:jc w:val="center"/>
      </w:pPr>
      <w:r>
        <w:drawing>
          <wp:inline xmlns:a="http://schemas.openxmlformats.org/drawingml/2006/main" xmlns:pic="http://schemas.openxmlformats.org/drawingml/2006/picture">
            <wp:extent cx="5212080" cy="3156271"/>
            <wp:docPr id="6" name="Picture 6"/>
            <wp:cNvGraphicFramePr>
              <a:graphicFrameLocks noChangeAspect="1"/>
            </wp:cNvGraphicFramePr>
            <a:graphic>
              <a:graphicData uri="http://schemas.openxmlformats.org/drawingml/2006/picture">
                <pic:pic>
                  <pic:nvPicPr>
                    <pic:cNvPr id="0" name="tlb_effect.png"/>
                    <pic:cNvPicPr/>
                  </pic:nvPicPr>
                  <pic:blipFill>
                    <a:blip r:embed="rId16"/>
                    <a:stretch>
                      <a:fillRect/>
                    </a:stretch>
                  </pic:blipFill>
                  <pic:spPr>
                    <a:xfrm>
                      <a:off x="0" y="0"/>
                      <a:ext cx="5212080" cy="3156271"/>
                    </a:xfrm>
                    <a:prstGeom prst="rect"/>
                  </pic:spPr>
                </pic:pic>
              </a:graphicData>
            </a:graphic>
          </wp:inline>
        </w:drawing>
      </w:r>
    </w:p>
    <w:p>
      <w:pPr>
        <w:spacing w:after="120"/>
        <w:jc w:val="center"/>
      </w:pPr>
      <w:r>
        <w:rPr>
          <w:i/>
          <w:color w:val="5F7387"/>
          <w:sz w:val="16"/>
        </w:rPr>
        <w:t>Figure 6. Translation-table access overhead, TLB enabled vs disabled.</w:t>
      </w:r>
    </w:p>
    <w:p>
      <w:r>
        <w:t>The TLB caches translations rather than page contents. Accordingly, it reduces page-table accesses but should not change whether a page is resident. The paired dataset is checked for page-fault mismatches.</w:t>
      </w:r>
    </w:p>
    <w:p>
      <w:r>
        <w:br w:type="page"/>
      </w:r>
    </w:p>
    <w:p>
      <w:pPr>
        <w:pStyle w:val="Heading1"/>
      </w:pPr>
      <w:r>
        <w:t>9. Reproducibility and Testing</w:t>
      </w:r>
    </w:p>
    <w:p>
      <w:pPr>
        <w:pStyle w:val="ListBullet"/>
        <w:spacing w:after="60"/>
      </w:pPr>
      <w:r>
        <w:t>Install dependencies from requirements.txt in a Python virtual environment.</w:t>
      </w:r>
    </w:p>
    <w:p>
      <w:pPr>
        <w:pStyle w:val="ListBullet"/>
        <w:spacing w:after="60"/>
      </w:pPr>
      <w:r>
        <w:t>Run python -m unittest discover -s tests -v to execute automated tests.</w:t>
      </w:r>
    </w:p>
    <w:p>
      <w:pPr>
        <w:pStyle w:val="ListBullet"/>
        <w:spacing w:after="60"/>
      </w:pPr>
      <w:r>
        <w:t>Run python benchmark.py to regenerate the raw data, grouped summary, and paired analysis.</w:t>
      </w:r>
    </w:p>
    <w:p>
      <w:pPr>
        <w:pStyle w:val="ListBullet"/>
        <w:spacing w:after="60"/>
      </w:pPr>
      <w:r>
        <w:t>Run python docs/generate_figures.py to regenerate chart images and the architecture PNG.</w:t>
      </w:r>
    </w:p>
    <w:p>
      <w:pPr>
        <w:pStyle w:val="ListBullet"/>
        <w:spacing w:after="60"/>
      </w:pPr>
      <w:r>
        <w:t>Run python docs/build_report.py to rebuild the Word report; the GitHub Actions workflow exports it to PDF.</w:t>
      </w:r>
    </w:p>
    <w:p>
      <w:pPr>
        <w:pStyle w:val="Heading2"/>
      </w:pPr>
      <w:r>
        <w:t>Validation coverage</w:t>
      </w:r>
    </w:p>
    <w:p>
      <w:r>
        <w:t>The test suite covers two-level mapping and unmapping, TLB behavior, all replacement algorithms, allocation invariants, address-inspector validation, all workload generators, and independent adaptive switches. Run-level and grouped CSVs expose intermediate data for review.</w:t>
      </w:r>
    </w:p>
    <w:p>
      <w:r>
        <w:br w:type="page"/>
      </w:r>
    </w:p>
    <w:p>
      <w:pPr>
        <w:pStyle w:val="Heading1"/>
      </w:pPr>
      <w:r>
        <w:t>10. Limitations and Conclusion</w:t>
      </w:r>
    </w:p>
    <w:p>
      <w:pPr>
        <w:pStyle w:val="ListBullet"/>
        <w:spacing w:after="60"/>
      </w:pPr>
      <w:r>
        <w:t>Workloads are synthetic, not collected from real applications or operating systems.</w:t>
      </w:r>
    </w:p>
    <w:p>
      <w:pPr>
        <w:pStyle w:val="ListBullet"/>
        <w:spacing w:after="60"/>
      </w:pPr>
      <w:r>
        <w:t>Pressure and CPU utilization are simulated proxies, not host telemetry.</w:t>
      </w:r>
    </w:p>
    <w:p>
      <w:pPr>
        <w:pStyle w:val="ListBullet"/>
        <w:spacing w:after="60"/>
      </w:pPr>
      <w:r>
        <w:t>Prediction and thrashing thresholds are rule-based heuristics.</w:t>
      </w:r>
    </w:p>
    <w:p>
      <w:pPr>
        <w:pStyle w:val="ListBullet"/>
        <w:spacing w:after="60"/>
      </w:pPr>
      <w:r>
        <w:t>Suspension-only retains frame ownership and therefore does not model OS reclamation.</w:t>
      </w:r>
    </w:p>
    <w:p>
      <w:pPr>
        <w:pStyle w:val="ListBullet"/>
        <w:spacing w:after="60"/>
      </w:pPr>
      <w:r>
        <w:t>Redistribution can increase faults, and sequential scans may not benefit from the selected policy.</w:t>
      </w:r>
    </w:p>
    <w:p>
      <w:pPr>
        <w:pStyle w:val="ListBullet"/>
        <w:spacing w:after="60"/>
      </w:pPr>
      <w:r>
        <w:t>Optimal uses future references and is only an oracle baseline.</w:t>
      </w:r>
    </w:p>
    <w:p>
      <w:pPr>
        <w:pStyle w:val="ListBullet"/>
        <w:spacing w:after="60"/>
      </w:pPr>
      <w:r>
        <w:t>Further work should test threshold sensitivity, more seeds, real traces, reclamation-aware suspension, and additional outcomes such as completion time.</w:t>
      </w:r>
    </w:p>
    <w:p>
      <w:pPr>
        <w:pStyle w:val="Heading2"/>
      </w:pPr>
      <w:r>
        <w:t>Conclusion</w:t>
      </w:r>
    </w:p>
    <w:p>
      <w:r>
        <w:t>The project combines memory translation, replacement algorithms, working-set reasoning, and a visible simulation of feedback control. Its main strength is reproducibility: the same workloads can be used for paired comparisons, individual adaptive mechanisms can be isolated, and results are retained as CSV. The experiment shows that coordinated controls can reduce faults for some synthetic workload patterns but not all; the sequential-scan result illustrates why adaptive policies require workload-aware evaluation.</w:t>
      </w:r>
    </w:p>
    <w:p>
      <w:pPr>
        <w:pStyle w:val="Heading2"/>
      </w:pPr>
      <w:r>
        <w:t>Reference basis</w:t>
      </w:r>
    </w:p>
    <w:p>
      <w:r>
        <w:t>Policy terminology follows standard operating-systems concepts for paging, TLBs, FIFO/LRU/Clock replacement, working sets, and thrashing. Quantitative claims in this report are computed from the accompanying CSV files.</w:t>
      </w:r>
    </w:p>
    <w:sectPr w:rsidR="00FC693F" w:rsidRPr="0006063C" w:rsidSect="00034616">
      <w:headerReference w:type="default" r:id="rId9"/>
      <w:footerReference w:type="default" r:id="rId10"/>
      <w:pgSz w:w="12240" w:h="15840"/>
      <w:pgMar w:top="893" w:right="1037" w:bottom="835"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7387"/>
        <w:sz w:val="14"/>
      </w:rPr>
      <w:t>OPERATING SYSTEMS LAB  •  VIRTUAL MEMORY SIMULATOR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733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A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D8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63A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