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t xml:space="preserve">🌊 </w:t>
      </w:r>
      <w:r>
        <w:rPr>
          <w:rFonts w:ascii="Arial" w:hAnsi="Arial"/>
          <w:b/>
          <w:color w:val="0A2540"/>
          <w:sz w:val="38"/>
        </w:rPr>
        <w:t>FloatChat: ARGO Ocean Intelligence Platform</w:t>
      </w:r>
    </w:p>
    <w:p>
      <w:pPr>
        <w:spacing w:before="0" w:after="40"/>
        <w:jc w:val="center"/>
      </w:pPr>
      <w:r>
        <w:rPr>
          <w:rFonts w:ascii="Arial" w:hAnsi="Arial"/>
          <w:b/>
          <w:color w:val="0077ED"/>
          <w:sz w:val="20"/>
        </w:rPr>
        <w:t>Enterprise Oceanographic Telemetry &amp; AI Discovery System • Access Credentials Reference</w:t>
      </w:r>
    </w:p>
    <w:p>
      <w:pPr>
        <w:spacing w:before="0" w:after="120"/>
        <w:jc w:val="center"/>
      </w:pPr>
      <w:r>
        <w:rPr>
          <w:b/>
          <w:sz w:val="17"/>
        </w:rPr>
        <w:t xml:space="preserve">Cloud Web Application: </w:t>
      </w:r>
      <w:r>
        <w:rPr>
          <w:color w:val="0077ED"/>
          <w:sz w:val="17"/>
        </w:rPr>
        <w:t>https://floatchat-argo-ocean-t7cjszmnhgb34rt6jnpgvz.streamlit.app/</w:t>
        <w:br/>
      </w:r>
      <w:r>
        <w:rPr>
          <w:b/>
          <w:sz w:val="17"/>
        </w:rPr>
        <w:t xml:space="preserve">GitHub Source Repository: </w:t>
      </w:r>
      <w:r>
        <w:rPr>
          <w:color w:val="0077ED"/>
          <w:sz w:val="17"/>
        </w:rPr>
        <w:t>https://github.com/adityakittad1/floatchat-argo-ocean</w:t>
      </w:r>
    </w:p>
    <w:tbl>
      <w:tblPr>
        <w:tblW w:type="auto" w:w="0"/>
        <w:jc w:val="center"/>
        <w:tblLook w:firstColumn="1" w:firstRow="1" w:lastColumn="0" w:lastRow="0" w:noHBand="0" w:noVBand="1" w:val="04A0"/>
      </w:tblPr>
      <w:tblGrid>
        <w:gridCol w:w="10800"/>
      </w:tblGrid>
      <w:tr>
        <w:tc>
          <w:tcPr>
            <w:tcW w:type="dxa" w:w="10800"/>
            <w:shd w:fill="F0F7FF"/>
            <w:tcMar>
              <w:top w:w="100" w:type="dxa"/>
              <w:bottom w:w="100" w:type="dxa"/>
              <w:left w:w="150" w:type="dxa"/>
              <w:right w:w="150" w:type="dxa"/>
            </w:tcMar>
          </w:tcPr>
          <w:p>
            <w:pPr>
              <w:spacing w:before="0" w:after="0"/>
            </w:pPr>
            <w:r>
              <w:rPr>
                <w:rFonts w:ascii="Arial" w:hAnsi="Arial"/>
                <w:b/>
                <w:color w:val="0A2540"/>
                <w:sz w:val="17"/>
              </w:rPr>
              <w:t xml:space="preserve">📌 Quick Access Instructions: </w:t>
            </w:r>
            <w:r>
              <w:rPr>
                <w:rFonts w:ascii="Arial" w:hAnsi="Arial"/>
                <w:color w:val="1A202C"/>
                <w:sz w:val="17"/>
              </w:rPr>
              <w:t>Navigate to the cloud URL above or launch locally on port 8501. Enter either the Username or Email Address along with the password. FloatChat automatically initializes an authenticated session with role-tailored feature sets, autonomous MCP SQL tools, and geospatial analytics.</w:t>
            </w:r>
          </w:p>
        </w:tc>
      </w:tr>
    </w:tbl>
    <w:p>
      <w:pPr>
        <w:spacing w:before="100" w:after="40"/>
      </w:pPr>
      <w:r>
        <w:rPr>
          <w:rFonts w:ascii="Arial" w:hAnsi="Arial"/>
          <w:b/>
          <w:color w:val="0A2540"/>
          <w:sz w:val="22"/>
        </w:rPr>
        <w:t>1. PLATFORM AUTHENTICATION MATRIX</w:t>
      </w:r>
    </w:p>
    <w:tbl>
      <w:tblPr>
        <w:tblW w:type="auto" w:w="0"/>
        <w:jc w:val="center"/>
        <w:tblLook w:firstColumn="1" w:firstRow="1" w:lastColumn="0" w:lastRow="0" w:noHBand="0" w:noVBand="1" w:val="04A0"/>
        <w:tblBorders>
          <w:top w:val="single" w:sz="4" w:space="0" w:color="E2E8F0"/>
          <w:bottom w:val="single" w:sz="6" w:space="0" w:color="0077ED"/>
          <w:insideH w:val="single" w:sz="4" w:space="0" w:color="E2E8F0"/>
          <w:insideV w:val="single" w:sz="4" w:space="0" w:color="E2E8F0"/>
        </w:tblBorders>
      </w:tblPr>
      <w:tblGrid>
        <w:gridCol w:w="2700"/>
        <w:gridCol w:w="2700"/>
        <w:gridCol w:w="2700"/>
        <w:gridCol w:w="2700"/>
      </w:tblGrid>
      <w:tr>
        <w:tc>
          <w:tcPr>
            <w:tcW w:type="dxa" w:w="2016"/>
            <w:shd w:fill="0A2540"/>
            <w:tcMar>
              <w:top w:w="90" w:type="dxa"/>
              <w:bottom w:w="90" w:type="dxa"/>
              <w:left w:w="120" w:type="dxa"/>
              <w:right w:w="120" w:type="dxa"/>
            </w:tcMar>
          </w:tcPr>
          <w:p>
            <w:pPr>
              <w:spacing w:before="0" w:after="0"/>
            </w:pPr>
            <w:r>
              <w:rPr>
                <w:rFonts w:ascii="Arial" w:hAnsi="Arial"/>
                <w:b/>
                <w:color w:val="FFFFFF"/>
                <w:sz w:val="17"/>
              </w:rPr>
              <w:t>System Role</w:t>
            </w:r>
          </w:p>
        </w:tc>
        <w:tc>
          <w:tcPr>
            <w:tcW w:type="dxa" w:w="2736"/>
            <w:shd w:fill="0A2540"/>
            <w:tcMar>
              <w:top w:w="90" w:type="dxa"/>
              <w:bottom w:w="90" w:type="dxa"/>
              <w:left w:w="120" w:type="dxa"/>
              <w:right w:w="120" w:type="dxa"/>
            </w:tcMar>
          </w:tcPr>
          <w:p>
            <w:pPr>
              <w:spacing w:before="0" w:after="0"/>
            </w:pPr>
            <w:r>
              <w:rPr>
                <w:rFonts w:ascii="Arial" w:hAnsi="Arial"/>
                <w:b/>
                <w:color w:val="FFFFFF"/>
                <w:sz w:val="17"/>
              </w:rPr>
              <w:t>Login Username / Email</w:t>
            </w:r>
          </w:p>
        </w:tc>
        <w:tc>
          <w:tcPr>
            <w:tcW w:type="dxa" w:w="1584"/>
            <w:shd w:fill="0A2540"/>
            <w:tcMar>
              <w:top w:w="90" w:type="dxa"/>
              <w:bottom w:w="90" w:type="dxa"/>
              <w:left w:w="120" w:type="dxa"/>
              <w:right w:w="120" w:type="dxa"/>
            </w:tcMar>
          </w:tcPr>
          <w:p>
            <w:pPr>
              <w:spacing w:before="0" w:after="0"/>
            </w:pPr>
            <w:r>
              <w:rPr>
                <w:rFonts w:ascii="Arial" w:hAnsi="Arial"/>
                <w:b/>
                <w:color w:val="FFFFFF"/>
                <w:sz w:val="17"/>
              </w:rPr>
              <w:t>Password</w:t>
            </w:r>
          </w:p>
        </w:tc>
        <w:tc>
          <w:tcPr>
            <w:tcW w:type="dxa" w:w="4464"/>
            <w:shd w:fill="0A2540"/>
            <w:tcMar>
              <w:top w:w="90" w:type="dxa"/>
              <w:bottom w:w="90" w:type="dxa"/>
              <w:left w:w="120" w:type="dxa"/>
              <w:right w:w="120" w:type="dxa"/>
            </w:tcMar>
          </w:tcPr>
          <w:p>
            <w:pPr>
              <w:spacing w:before="0" w:after="0"/>
            </w:pPr>
            <w:r>
              <w:rPr>
                <w:rFonts w:ascii="Arial" w:hAnsi="Arial"/>
                <w:b/>
                <w:color w:val="FFFFFF"/>
                <w:sz w:val="17"/>
              </w:rPr>
              <w:t>Access Privileges &amp; Capabilities</w:t>
            </w:r>
          </w:p>
        </w:tc>
      </w:tr>
      <w:tr>
        <w:tc>
          <w:tcPr>
            <w:tcW w:type="dxa" w:w="2016"/>
            <w:shd w:fill="FFFFFF"/>
            <w:tcMar>
              <w:top w:w="80" w:type="dxa"/>
              <w:bottom w:w="80" w:type="dxa"/>
              <w:left w:w="120" w:type="dxa"/>
              <w:right w:w="120" w:type="dxa"/>
            </w:tcMar>
          </w:tcPr>
          <w:p>
            <w:pPr>
              <w:spacing w:before="0" w:after="0"/>
            </w:pPr>
            <w:r>
              <w:rPr>
                <w:rFonts w:ascii="Arial" w:hAnsi="Arial"/>
                <w:b/>
                <w:color w:val="0A2540"/>
                <w:sz w:val="16"/>
              </w:rPr>
              <w:t>Administrator</w:t>
            </w:r>
          </w:p>
        </w:tc>
        <w:tc>
          <w:tcPr>
            <w:tcW w:type="dxa" w:w="2736"/>
            <w:shd w:fill="FFFFFF"/>
            <w:tcMar>
              <w:top w:w="80" w:type="dxa"/>
              <w:bottom w:w="80" w:type="dxa"/>
              <w:left w:w="120" w:type="dxa"/>
              <w:right w:w="120" w:type="dxa"/>
            </w:tcMar>
          </w:tcPr>
          <w:p>
            <w:pPr>
              <w:spacing w:before="0" w:after="0"/>
            </w:pPr>
            <w:r>
              <w:rPr>
                <w:rFonts w:ascii="Arial" w:hAnsi="Arial"/>
                <w:color w:val="1A202C"/>
                <w:sz w:val="16"/>
              </w:rPr>
              <w:t>admin</w:t>
              <w:br/>
              <w:t>(or admin@argo.com)</w:t>
            </w:r>
          </w:p>
        </w:tc>
        <w:tc>
          <w:tcPr>
            <w:tcW w:type="dxa" w:w="1584"/>
            <w:shd w:fill="FFFFFF"/>
            <w:tcMar>
              <w:top w:w="80" w:type="dxa"/>
              <w:bottom w:w="80" w:type="dxa"/>
              <w:left w:w="120" w:type="dxa"/>
              <w:right w:w="120" w:type="dxa"/>
            </w:tcMar>
          </w:tcPr>
          <w:p>
            <w:pPr>
              <w:spacing w:before="0" w:after="0"/>
            </w:pPr>
            <w:r>
              <w:rPr>
                <w:rFonts w:ascii="Courier New" w:hAnsi="Courier New"/>
                <w:b/>
                <w:color w:val="0077ED"/>
                <w:sz w:val="17"/>
              </w:rPr>
              <w:t>admin123</w:t>
            </w:r>
          </w:p>
        </w:tc>
        <w:tc>
          <w:tcPr>
            <w:tcW w:type="dxa" w:w="4464"/>
            <w:shd w:fill="FFFFFF"/>
            <w:tcMar>
              <w:top w:w="80" w:type="dxa"/>
              <w:bottom w:w="80" w:type="dxa"/>
              <w:left w:w="120" w:type="dxa"/>
              <w:right w:w="120" w:type="dxa"/>
            </w:tcMar>
          </w:tcPr>
          <w:p>
            <w:pPr>
              <w:spacing w:before="0" w:after="0"/>
            </w:pPr>
            <w:r>
              <w:rPr>
                <w:rFonts w:ascii="Arial" w:hAnsi="Arial"/>
                <w:color w:val="1A202C"/>
                <w:sz w:val="16"/>
              </w:rPr>
              <w:t>Full administrative authority, direct SQLite schema manager, NetCDF ingestion lab, and telemetry console.</w:t>
            </w:r>
          </w:p>
        </w:tc>
      </w:tr>
      <w:tr>
        <w:tc>
          <w:tcPr>
            <w:tcW w:type="dxa" w:w="2016"/>
            <w:shd w:fill="F7FAFC"/>
            <w:tcMar>
              <w:top w:w="80" w:type="dxa"/>
              <w:bottom w:w="80" w:type="dxa"/>
              <w:left w:w="120" w:type="dxa"/>
              <w:right w:w="120" w:type="dxa"/>
            </w:tcMar>
          </w:tcPr>
          <w:p>
            <w:pPr>
              <w:spacing w:before="0" w:after="0"/>
            </w:pPr>
            <w:r>
              <w:rPr>
                <w:rFonts w:ascii="Arial" w:hAnsi="Arial"/>
                <w:b/>
                <w:color w:val="0A2540"/>
                <w:sz w:val="16"/>
              </w:rPr>
              <w:t>Analyst</w:t>
            </w:r>
          </w:p>
        </w:tc>
        <w:tc>
          <w:tcPr>
            <w:tcW w:type="dxa" w:w="2736"/>
            <w:shd w:fill="F7FAFC"/>
            <w:tcMar>
              <w:top w:w="80" w:type="dxa"/>
              <w:bottom w:w="80" w:type="dxa"/>
              <w:left w:w="120" w:type="dxa"/>
              <w:right w:w="120" w:type="dxa"/>
            </w:tcMar>
          </w:tcPr>
          <w:p>
            <w:pPr>
              <w:spacing w:before="0" w:after="0"/>
            </w:pPr>
            <w:r>
              <w:rPr>
                <w:rFonts w:ascii="Arial" w:hAnsi="Arial"/>
                <w:color w:val="1A202C"/>
                <w:sz w:val="16"/>
              </w:rPr>
              <w:t>analyst</w:t>
              <w:br/>
              <w:t>(or analyst@argo.com)</w:t>
            </w:r>
          </w:p>
        </w:tc>
        <w:tc>
          <w:tcPr>
            <w:tcW w:type="dxa" w:w="1584"/>
            <w:shd w:fill="F7FAFC"/>
            <w:tcMar>
              <w:top w:w="80" w:type="dxa"/>
              <w:bottom w:w="80" w:type="dxa"/>
              <w:left w:w="120" w:type="dxa"/>
              <w:right w:w="120" w:type="dxa"/>
            </w:tcMar>
          </w:tcPr>
          <w:p>
            <w:pPr>
              <w:spacing w:before="0" w:after="0"/>
            </w:pPr>
            <w:r>
              <w:rPr>
                <w:rFonts w:ascii="Courier New" w:hAnsi="Courier New"/>
                <w:b/>
                <w:color w:val="0077ED"/>
                <w:sz w:val="17"/>
              </w:rPr>
              <w:t>analyst123</w:t>
            </w:r>
          </w:p>
        </w:tc>
        <w:tc>
          <w:tcPr>
            <w:tcW w:type="dxa" w:w="4464"/>
            <w:shd w:fill="F7FAFC"/>
            <w:tcMar>
              <w:top w:w="80" w:type="dxa"/>
              <w:bottom w:w="80" w:type="dxa"/>
              <w:left w:w="120" w:type="dxa"/>
              <w:right w:w="120" w:type="dxa"/>
            </w:tcMar>
          </w:tcPr>
          <w:p>
            <w:pPr>
              <w:spacing w:before="0" w:after="0"/>
            </w:pPr>
            <w:r>
              <w:rPr>
                <w:rFonts w:ascii="Arial" w:hAnsi="Arial"/>
                <w:color w:val="1A202C"/>
                <w:sz w:val="16"/>
              </w:rPr>
              <w:t>Interactive geospatial trajectory visualization, cycle analytics, CSV/Excel data export, and statistical summaries.</w:t>
            </w:r>
          </w:p>
        </w:tc>
      </w:tr>
      <w:tr>
        <w:tc>
          <w:tcPr>
            <w:tcW w:type="dxa" w:w="2016"/>
            <w:shd w:fill="FFFFFF"/>
            <w:tcMar>
              <w:top w:w="80" w:type="dxa"/>
              <w:bottom w:w="80" w:type="dxa"/>
              <w:left w:w="120" w:type="dxa"/>
              <w:right w:w="120" w:type="dxa"/>
            </w:tcMar>
          </w:tcPr>
          <w:p>
            <w:pPr>
              <w:spacing w:before="0" w:after="0"/>
            </w:pPr>
            <w:r>
              <w:rPr>
                <w:rFonts w:ascii="Arial" w:hAnsi="Arial"/>
                <w:b/>
                <w:color w:val="0A2540"/>
                <w:sz w:val="16"/>
              </w:rPr>
              <w:t>Researcher</w:t>
            </w:r>
          </w:p>
        </w:tc>
        <w:tc>
          <w:tcPr>
            <w:tcW w:type="dxa" w:w="2736"/>
            <w:shd w:fill="FFFFFF"/>
            <w:tcMar>
              <w:top w:w="80" w:type="dxa"/>
              <w:bottom w:w="80" w:type="dxa"/>
              <w:left w:w="120" w:type="dxa"/>
              <w:right w:w="120" w:type="dxa"/>
            </w:tcMar>
          </w:tcPr>
          <w:p>
            <w:pPr>
              <w:spacing w:before="0" w:after="0"/>
            </w:pPr>
            <w:r>
              <w:rPr>
                <w:rFonts w:ascii="Arial" w:hAnsi="Arial"/>
                <w:color w:val="1A202C"/>
                <w:sz w:val="16"/>
              </w:rPr>
              <w:t>researcher</w:t>
              <w:br/>
              <w:t>(or researcher@argo.com)</w:t>
            </w:r>
          </w:p>
        </w:tc>
        <w:tc>
          <w:tcPr>
            <w:tcW w:type="dxa" w:w="1584"/>
            <w:shd w:fill="FFFFFF"/>
            <w:tcMar>
              <w:top w:w="80" w:type="dxa"/>
              <w:bottom w:w="80" w:type="dxa"/>
              <w:left w:w="120" w:type="dxa"/>
              <w:right w:w="120" w:type="dxa"/>
            </w:tcMar>
          </w:tcPr>
          <w:p>
            <w:pPr>
              <w:spacing w:before="0" w:after="0"/>
            </w:pPr>
            <w:r>
              <w:rPr>
                <w:rFonts w:ascii="Courier New" w:hAnsi="Courier New"/>
                <w:b/>
                <w:color w:val="0077ED"/>
                <w:sz w:val="17"/>
              </w:rPr>
              <w:t>research123</w:t>
            </w:r>
          </w:p>
        </w:tc>
        <w:tc>
          <w:tcPr>
            <w:tcW w:type="dxa" w:w="4464"/>
            <w:shd w:fill="FFFFFF"/>
            <w:tcMar>
              <w:top w:w="80" w:type="dxa"/>
              <w:bottom w:w="80" w:type="dxa"/>
              <w:left w:w="120" w:type="dxa"/>
              <w:right w:w="120" w:type="dxa"/>
            </w:tcMar>
          </w:tcPr>
          <w:p>
            <w:pPr>
              <w:spacing w:before="0" w:after="0"/>
            </w:pPr>
            <w:r>
              <w:rPr>
                <w:rFonts w:ascii="Arial" w:hAnsi="Arial"/>
                <w:color w:val="1A202C"/>
                <w:sz w:val="16"/>
              </w:rPr>
              <w:t>AI Ocean Assistant powered by MCP SQL translation, deep CTD profile queries, and comparative depth models.</w:t>
            </w:r>
          </w:p>
        </w:tc>
      </w:tr>
      <w:tr>
        <w:tc>
          <w:tcPr>
            <w:tcW w:type="dxa" w:w="2016"/>
            <w:shd w:fill="F7FAFC"/>
            <w:tcMar>
              <w:top w:w="80" w:type="dxa"/>
              <w:bottom w:w="80" w:type="dxa"/>
              <w:left w:w="120" w:type="dxa"/>
              <w:right w:w="120" w:type="dxa"/>
            </w:tcMar>
          </w:tcPr>
          <w:p>
            <w:pPr>
              <w:spacing w:before="0" w:after="0"/>
            </w:pPr>
            <w:r>
              <w:rPr>
                <w:rFonts w:ascii="Arial" w:hAnsi="Arial"/>
                <w:b/>
                <w:color w:val="0A2540"/>
                <w:sz w:val="16"/>
              </w:rPr>
              <w:t>Scientist</w:t>
            </w:r>
          </w:p>
        </w:tc>
        <w:tc>
          <w:tcPr>
            <w:tcW w:type="dxa" w:w="2736"/>
            <w:shd w:fill="F7FAFC"/>
            <w:tcMar>
              <w:top w:w="80" w:type="dxa"/>
              <w:bottom w:w="80" w:type="dxa"/>
              <w:left w:w="120" w:type="dxa"/>
              <w:right w:w="120" w:type="dxa"/>
            </w:tcMar>
          </w:tcPr>
          <w:p>
            <w:pPr>
              <w:spacing w:before="0" w:after="0"/>
            </w:pPr>
            <w:r>
              <w:rPr>
                <w:rFonts w:ascii="Arial" w:hAnsi="Arial"/>
                <w:color w:val="1A202C"/>
                <w:sz w:val="16"/>
              </w:rPr>
              <w:t>oceanographer</w:t>
              <w:br/>
              <w:t>(or oceanographer@argo.com)</w:t>
            </w:r>
          </w:p>
        </w:tc>
        <w:tc>
          <w:tcPr>
            <w:tcW w:type="dxa" w:w="1584"/>
            <w:shd w:fill="F7FAFC"/>
            <w:tcMar>
              <w:top w:w="80" w:type="dxa"/>
              <w:bottom w:w="80" w:type="dxa"/>
              <w:left w:w="120" w:type="dxa"/>
              <w:right w:w="120" w:type="dxa"/>
            </w:tcMar>
          </w:tcPr>
          <w:p>
            <w:pPr>
              <w:spacing w:before="0" w:after="0"/>
            </w:pPr>
            <w:r>
              <w:rPr>
                <w:rFonts w:ascii="Courier New" w:hAnsi="Courier New"/>
                <w:b/>
                <w:color w:val="0077ED"/>
                <w:sz w:val="17"/>
              </w:rPr>
              <w:t>ocean123</w:t>
            </w:r>
          </w:p>
        </w:tc>
        <w:tc>
          <w:tcPr>
            <w:tcW w:type="dxa" w:w="4464"/>
            <w:shd w:fill="F7FAFC"/>
            <w:tcMar>
              <w:top w:w="80" w:type="dxa"/>
              <w:bottom w:w="80" w:type="dxa"/>
              <w:left w:w="120" w:type="dxa"/>
              <w:right w:w="120" w:type="dxa"/>
            </w:tcMar>
          </w:tcPr>
          <w:p>
            <w:pPr>
              <w:spacing w:before="0" w:after="0"/>
            </w:pPr>
            <w:r>
              <w:rPr>
                <w:rFonts w:ascii="Arial" w:hAnsi="Arial"/>
                <w:color w:val="1A202C"/>
                <w:sz w:val="16"/>
              </w:rPr>
              <w:t>Biogeochemical sensor diagnostic telemetry, 3D salinity/temperature profiles, and water mass stratification analysis.</w:t>
            </w:r>
          </w:p>
        </w:tc>
      </w:tr>
    </w:tbl>
    <w:p>
      <w:pPr>
        <w:spacing w:before="120" w:after="40"/>
      </w:pPr>
      <w:r>
        <w:rPr>
          <w:rFonts w:ascii="Arial" w:hAnsi="Arial"/>
          <w:b/>
          <w:color w:val="0A2540"/>
          <w:sz w:val="22"/>
        </w:rPr>
        <w:t>2. TECHNICAL ARCHITECTURE &amp; KEY MODULES</w:t>
      </w:r>
    </w:p>
    <w:tbl>
      <w:tblPr>
        <w:tblW w:type="auto" w:w="0"/>
        <w:jc w:val="center"/>
        <w:tblLook w:firstColumn="1" w:firstRow="1" w:lastColumn="0" w:lastRow="0" w:noHBand="0" w:noVBand="1" w:val="04A0"/>
        <w:tblBorders>
          <w:top w:val="single" w:sz="4" w:space="0" w:color="E2E8F0"/>
          <w:bottom w:val="single" w:sz="4" w:space="0" w:color="E2E8F0"/>
          <w:insideH w:val="single" w:sz="4" w:space="0" w:color="E2E8F0"/>
          <w:insideV w:val="single" w:sz="4" w:space="0" w:color="E2E8F0"/>
        </w:tblBorders>
      </w:tblPr>
      <w:tblGrid>
        <w:gridCol w:w="5400"/>
        <w:gridCol w:w="5400"/>
      </w:tblGrid>
      <w:tr>
        <w:tc>
          <w:tcPr>
            <w:tcW w:type="dxa" w:w="5400"/>
            <w:shd w:fill="FFFFFF"/>
            <w:tcMar>
              <w:top w:w="70" w:type="dxa"/>
              <w:bottom w:w="70" w:type="dxa"/>
              <w:left w:w="100" w:type="dxa"/>
              <w:right w:w="100" w:type="dxa"/>
            </w:tcMar>
          </w:tcPr>
          <w:p>
            <w:pPr>
              <w:spacing w:before="0" w:after="0"/>
            </w:pPr>
            <w:r>
              <w:rPr>
                <w:rFonts w:ascii="Arial" w:hAnsi="Arial"/>
                <w:b/>
                <w:color w:val="0A2540"/>
                <w:sz w:val="16"/>
              </w:rPr>
              <w:t>MCP Conversational SQL Engine</w:t>
              <w:br/>
            </w:r>
            <w:r>
              <w:rPr>
                <w:rFonts w:ascii="Arial" w:hAnsi="Arial"/>
                <w:color w:val="4A5568"/>
                <w:sz w:val="15"/>
              </w:rPr>
              <w:t>Translates natural language oceanographic inquiries into optimized SQL queries on argo.db.</w:t>
            </w:r>
          </w:p>
        </w:tc>
        <w:tc>
          <w:tcPr>
            <w:tcW w:type="dxa" w:w="5400"/>
            <w:shd w:fill="FFFFFF"/>
            <w:tcMar>
              <w:top w:w="70" w:type="dxa"/>
              <w:bottom w:w="70" w:type="dxa"/>
              <w:left w:w="100" w:type="dxa"/>
              <w:right w:w="100" w:type="dxa"/>
            </w:tcMar>
          </w:tcPr>
          <w:p>
            <w:pPr>
              <w:spacing w:before="0" w:after="0"/>
            </w:pPr>
            <w:r>
              <w:rPr>
                <w:rFonts w:ascii="Arial" w:hAnsi="Arial"/>
                <w:b/>
                <w:color w:val="0A2540"/>
                <w:sz w:val="16"/>
              </w:rPr>
              <w:t>Geospatial 3D Trajectory Map</w:t>
              <w:br/>
            </w:r>
            <w:r>
              <w:rPr>
                <w:rFonts w:ascii="Arial" w:hAnsi="Arial"/>
                <w:color w:val="4A5568"/>
                <w:sz w:val="15"/>
              </w:rPr>
              <w:t>Global interactive scatter maps tracking ARGO float deployment cycles, surface drift, and park depths.</w:t>
            </w:r>
          </w:p>
        </w:tc>
      </w:tr>
      <w:tr>
        <w:tc>
          <w:tcPr>
            <w:tcW w:type="dxa" w:w="5400"/>
            <w:shd w:fill="FFFFFF"/>
            <w:tcMar>
              <w:top w:w="70" w:type="dxa"/>
              <w:bottom w:w="70" w:type="dxa"/>
              <w:left w:w="100" w:type="dxa"/>
              <w:right w:w="100" w:type="dxa"/>
            </w:tcMar>
          </w:tcPr>
          <w:p>
            <w:pPr>
              <w:spacing w:before="0" w:after="0"/>
            </w:pPr>
            <w:r>
              <w:rPr>
                <w:rFonts w:ascii="Arial" w:hAnsi="Arial"/>
                <w:b/>
                <w:color w:val="0A2540"/>
                <w:sz w:val="16"/>
              </w:rPr>
              <w:t>Interactive CTD Visualizations</w:t>
              <w:br/>
            </w:r>
            <w:r>
              <w:rPr>
                <w:rFonts w:ascii="Arial" w:hAnsi="Arial"/>
                <w:color w:val="4A5568"/>
                <w:sz w:val="15"/>
              </w:rPr>
              <w:t>Dynamic Plotly graphs depicting Pressure vs Temperature &amp; Salinity profiles with downsampling.</w:t>
            </w:r>
          </w:p>
        </w:tc>
        <w:tc>
          <w:tcPr>
            <w:tcW w:type="dxa" w:w="5400"/>
            <w:shd w:fill="FFFFFF"/>
            <w:tcMar>
              <w:top w:w="70" w:type="dxa"/>
              <w:bottom w:w="70" w:type="dxa"/>
              <w:left w:w="100" w:type="dxa"/>
              <w:right w:w="100" w:type="dxa"/>
            </w:tcMar>
          </w:tcPr>
          <w:p>
            <w:pPr>
              <w:spacing w:before="0" w:after="0"/>
            </w:pPr>
            <w:r>
              <w:rPr>
                <w:rFonts w:ascii="Arial" w:hAnsi="Arial"/>
                <w:b/>
                <w:color w:val="0A2540"/>
                <w:sz w:val="16"/>
              </w:rPr>
              <w:t>NetCDF Automated Pipeline</w:t>
              <w:br/>
            </w:r>
            <w:r>
              <w:rPr>
                <w:rFonts w:ascii="Arial" w:hAnsi="Arial"/>
                <w:color w:val="4A5568"/>
                <w:sz w:val="15"/>
              </w:rPr>
              <w:t>Direct binary parser translating Argo .nc profile/tech files into structured relational tables.</w:t>
            </w:r>
          </w:p>
        </w:tc>
      </w:tr>
    </w:tbl>
    <w:p>
      <w:pPr>
        <w:spacing w:before="160" w:after="20"/>
        <w:jc w:val="center"/>
      </w:pPr>
      <w:r>
        <w:rPr>
          <w:rFonts w:ascii="Arial" w:hAnsi="Arial"/>
          <w:b/>
          <w:color w:val="0A2540"/>
          <w:sz w:val="17"/>
        </w:rPr>
        <w:t>Engineered &amp; Developed by: ADITYA KITTAD • GANESH KAPURE • OM JAISWAL</w:t>
      </w:r>
    </w:p>
    <w:p>
      <w:pPr>
        <w:spacing w:before="0" w:after="0"/>
        <w:jc w:val="center"/>
      </w:pPr>
      <w:r>
        <w:rPr>
          <w:rFonts w:ascii="Arial" w:hAnsi="Arial"/>
          <w:color w:val="718096"/>
          <w:sz w:val="15"/>
        </w:rPr>
        <w:t>B.Tech Final Year Minor Project • Department of Civil Engineering &amp; Oceanographic Computing • Release v2.4</w:t>
      </w:r>
    </w:p>
    <w:sectPr w:rsidR="00FC693F" w:rsidRPr="0006063C" w:rsidSect="00034616">
      <w:pgSz w:w="12240" w:h="15840"/>
      <w:pgMar w:top="648" w:right="720" w:bottom="648"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