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4f46e5"/>
  <w:body>
    <w:p>
      <w:pPr>
        <w:spacing w:before="0"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772400" cy="1316293"/>
            <wp:wrapNone/>
            <wp:docPr id="1" name="Picture 1"/>
            <a:graphic xmlns:a="http://schemas.openxmlformats.org/drawingml/2006/main" xmlns:pic="http://schemas.openxmlformats.org/drawingml/2006/picture">
              <a:graphicData uri="http://schemas.openxmlformats.org/drawingml/2006/picture">
                <pic:pic>
                  <pic:nvPicPr>
                    <pic:cNvPr id="0" name="top.png"/>
                    <pic:cNvPicPr/>
                  </pic:nvPicPr>
                  <pic:blipFill>
                    <a:blip r:embed="rId11"/>
                    <a:stretch>
                      <a:fillRect/>
                    </a:stretch>
                  </pic:blipFill>
                  <pic:spPr>
                    <a:xfrm>
                      <a:off x="0" y="0"/>
                      <a:ext cx="7772400" cy="1316293"/>
                    </a:xfrm>
                    <a:prstGeom prst="rect"/>
                  </pic:spPr>
                </pic:pic>
              </a:graphicData>
            </a:graphic>
          </wp:anchor>
        </w:drawing>
      </w:r>
    </w:p>
    <w:p>
      <w:pPr>
        <w:spacing w:before="713" w:after="80"/>
        <w:jc w:val="center"/>
      </w:pPr>
      <w:r>
        <w:rPr>
          <w:rFonts w:ascii="Times New Roman" w:hAnsi="Times New Roman" w:cs="Times New Roman"/>
          <w:b/>
          <w:i w:val="0"/>
          <w:color w:val="00FF00"/>
          <w:sz w:val="18"/>
        </w:rPr>
        <w:t>OFFICE NO. 12, 2ND FLOOR, NO.40 DLF INDUSTRIAL AREA, KIRTI NAGAR, DELHI 110015.</w:t>
        <w:br/>
      </w:r>
      <w:r>
        <w:rPr>
          <w:rFonts w:ascii="Times New Roman" w:hAnsi="Times New Roman" w:cs="Times New Roman"/>
          <w:b/>
          <w:i w:val="0"/>
          <w:color w:val="00FF00"/>
          <w:sz w:val="18"/>
        </w:rPr>
        <w:t xml:space="preserve">Contact No. : </w:t>
      </w:r>
      <w:r>
        <w:rPr>
          <w:rFonts w:ascii="Times New Roman" w:hAnsi="Times New Roman" w:cs="Times New Roman"/>
          <w:b/>
          <w:i w:val="0"/>
          <w:color w:val="2563EB"/>
          <w:sz w:val="18"/>
        </w:rPr>
        <w:t>+91 99871 59986</w:t>
      </w:r>
      <w:r>
        <w:rPr>
          <w:rFonts w:ascii="Times New Roman" w:hAnsi="Times New Roman" w:cs="Times New Roman"/>
          <w:b/>
          <w:i w:val="0"/>
          <w:color w:val="00FF00"/>
          <w:sz w:val="18"/>
        </w:rPr>
        <w:t xml:space="preserve"> | Email : </w:t>
      </w:r>
      <w:r>
        <w:rPr>
          <w:rFonts w:ascii="Times New Roman" w:hAnsi="Times New Roman" w:cs="Times New Roman"/>
          <w:b/>
          <w:i w:val="0"/>
          <w:color w:val="2563EB"/>
          <w:sz w:val="18"/>
        </w:rPr>
        <w:t>info@sgwebapp.com</w:t>
      </w:r>
      <w:r>
        <w:rPr>
          <w:rFonts w:ascii="Times New Roman" w:hAnsi="Times New Roman" w:cs="Times New Roman"/>
          <w:b/>
          <w:i w:val="0"/>
          <w:color w:val="00FF00"/>
          <w:sz w:val="18"/>
        </w:rPr>
        <w:t xml:space="preserve"> | Website : </w:t>
      </w:r>
      <w:r>
        <w:rPr>
          <w:rFonts w:ascii="Times New Roman" w:hAnsi="Times New Roman" w:cs="Times New Roman"/>
          <w:b/>
          <w:i w:val="0"/>
          <w:color w:val="2563EB"/>
          <w:sz w:val="18"/>
        </w:rPr>
        <w:t>www.sgwebapp.com</w:t>
      </w:r>
    </w:p>
    <w:p>
      <w:pPr>
        <w:spacing w:before="80" w:after="80"/>
        <w:ind w:left="-1440" w:right="-1440"/>
        <w:jc w:val="left"/>
        <w:pBdr>
          <w:bottom w:val="single" w:sz="16" w:space="1" w:color="000000"/>
        </w:pBdr>
      </w:pPr>
    </w:p>
    <w:p>
      <w:pPr>
        <w:spacing w:before="240" w:after="480"/>
        <w:jc w:val="center"/>
      </w:pPr>
      <w:r>
        <w:rPr>
          <w:rFonts w:ascii="Times New Roman" w:hAnsi="Times New Roman" w:cs="Times New Roman"/>
          <w:b/>
          <w:i w:val="0"/>
          <w:color w:val="00FF00"/>
          <w:sz w:val="40"/>
        </w:rPr>
        <w:t>DEMO DOCUMENT MASTER TITLE</w:t>
      </w:r>
    </w:p>
    <w:p>
      <w:pPr>
        <w:spacing w:before="80" w:after="120"/>
      </w:pPr>
      <w:r>
        <w:rPr>
          <w:rFonts w:ascii="Times New Roman" w:hAnsi="Times New Roman" w:cs="Times New Roman"/>
          <w:b/>
          <w:i w:val="0"/>
          <w:color w:val="00FF00"/>
          <w:sz w:val="36"/>
        </w:rPr>
        <w:t>1. AI - Section</w:t>
      </w:r>
    </w:p>
    <w:p>
      <w:r>
        <w:rPr>
          <w:rFonts w:ascii="Times New Roman" w:hAnsi="Times New Roman" w:cs="Times New Roman"/>
          <w:b/>
          <w:i w:val="0"/>
          <w:color w:val="00FF00"/>
          <w:sz w:val="40"/>
        </w:rPr>
        <w:t>AI - Section</w:t>
      </w:r>
    </w:p>
    <w:p>
      <w:r>
        <w:rPr>
          <w:rFonts w:ascii="Times New Roman" w:hAnsi="Times New Roman" w:cs="Times New Roman"/>
          <w:b/>
          <w:i w:val="0"/>
          <w:color w:val="00FF00"/>
          <w:sz w:val="40"/>
        </w:rPr>
        <w:t>The Transformative Power of Artificial Intelligence in the Enterprise</w:t>
      </w:r>
    </w:p>
    <w:p>
      <w:pPr>
        <w:spacing w:after="120"/>
        <w:jc w:val="both"/>
      </w:pPr>
      <w:r>
        <w:rPr>
          <w:rFonts w:ascii="Times New Roman" w:hAnsi="Times New Roman" w:cs="Times New Roman"/>
          <w:b w:val="0"/>
          <w:i w:val="0"/>
          <w:color w:val="00FF00"/>
          <w:sz w:val="32"/>
        </w:rPr>
        <w:t>Artificial Intelligence (AI) is rapidly evolving from a futuristic concept to an indispensable strategic asset for modern enterprises. Its diverse applications are reshaping operational efficiencies, decision-making processes, and competitive landscapes.</w:t>
      </w:r>
    </w:p>
    <w:p>
      <w:pPr>
        <w:spacing w:before="280" w:after="80"/>
      </w:pPr>
      <w:r>
        <w:rPr>
          <w:rFonts w:ascii="Times New Roman" w:hAnsi="Times New Roman" w:cs="Times New Roman"/>
          <w:b/>
          <w:i w:val="0"/>
          <w:color w:val="00FF00"/>
          <w:sz w:val="34"/>
        </w:rPr>
        <w:t>Key Aspects of AI:</w:t>
      </w:r>
    </w:p>
    <w:p>
      <w:pPr>
        <w:pStyle w:val="ListBullet"/>
        <w:ind w:left="576"/>
      </w:pPr>
      <w:r>
        <w:rPr>
          <w:rFonts w:ascii="Times New Roman" w:hAnsi="Times New Roman" w:cs="Times New Roman"/>
          <w:b/>
          <w:i w:val="0"/>
          <w:color w:val="00FF00"/>
          <w:sz w:val="32"/>
        </w:rPr>
        <w:t>Foundation for Innovation:</w:t>
      </w:r>
      <w:r>
        <w:rPr>
          <w:rFonts w:ascii="Times New Roman" w:hAnsi="Times New Roman" w:cs="Times New Roman"/>
          <w:b w:val="0"/>
          <w:i w:val="0"/>
          <w:color w:val="00FF00"/>
          <w:sz w:val="32"/>
        </w:rPr>
        <w:t xml:space="preserve"> AI serves as a catalyst for new product development and service offerings.</w:t>
      </w:r>
    </w:p>
    <w:p>
      <w:pPr>
        <w:pStyle w:val="ListBullet"/>
        <w:ind w:left="576"/>
      </w:pPr>
      <w:r>
        <w:rPr>
          <w:rFonts w:ascii="Times New Roman" w:hAnsi="Times New Roman" w:cs="Times New Roman"/>
          <w:b/>
          <w:i w:val="0"/>
          <w:color w:val="00FF00"/>
          <w:sz w:val="32"/>
        </w:rPr>
        <w:t>Automated Insights:</w:t>
      </w:r>
      <w:r>
        <w:rPr>
          <w:rFonts w:ascii="Times New Roman" w:hAnsi="Times New Roman" w:cs="Times New Roman"/>
          <w:b w:val="0"/>
          <w:i w:val="0"/>
          <w:color w:val="00FF00"/>
          <w:sz w:val="32"/>
        </w:rPr>
        <w:t xml:space="preserve"> It excels at processing vast datasets to uncover hidden patterns and actionable insights.</w:t>
      </w:r>
    </w:p>
    <w:p>
      <w:pPr>
        <w:pStyle w:val="ListBullet"/>
        <w:ind w:left="576"/>
      </w:pPr>
      <w:r>
        <w:rPr>
          <w:rFonts w:ascii="Times New Roman" w:hAnsi="Times New Roman" w:cs="Times New Roman"/>
          <w:b/>
          <w:i w:val="0"/>
          <w:color w:val="00FF00"/>
          <w:sz w:val="32"/>
        </w:rPr>
        <w:t>Enhanced Efficiency:</w:t>
      </w:r>
      <w:r>
        <w:rPr>
          <w:rFonts w:ascii="Times New Roman" w:hAnsi="Times New Roman" w:cs="Times New Roman"/>
          <w:b w:val="0"/>
          <w:i w:val="0"/>
          <w:color w:val="00FF00"/>
          <w:sz w:val="32"/>
        </w:rPr>
        <w:t xml:space="preserve"> AI-driven automation streamlines repetitive tasks, freeing human capital for strategic initiatives.</w:t>
      </w:r>
    </w:p>
    <w:p>
      <w:pPr>
        <w:pStyle w:val="ListBullet"/>
        <w:ind w:left="576"/>
      </w:pPr>
      <w:r>
        <w:rPr>
          <w:rFonts w:ascii="Times New Roman" w:hAnsi="Times New Roman" w:cs="Times New Roman"/>
          <w:b/>
          <w:i w:val="0"/>
          <w:color w:val="00FF00"/>
          <w:sz w:val="32"/>
        </w:rPr>
        <w:t>Predictive Analytics:</w:t>
      </w:r>
      <w:r>
        <w:rPr>
          <w:rFonts w:ascii="Times New Roman" w:hAnsi="Times New Roman" w:cs="Times New Roman"/>
          <w:b w:val="0"/>
          <w:i w:val="0"/>
          <w:color w:val="00FF00"/>
          <w:sz w:val="32"/>
        </w:rPr>
        <w:t xml:space="preserve"> AI algorithms forecast future trends, enabling proactive business strategies.</w:t>
      </w:r>
    </w:p>
    <w:p>
      <w:pPr>
        <w:pStyle w:val="ListBullet"/>
        <w:ind w:left="576"/>
      </w:pPr>
      <w:r>
        <w:rPr>
          <w:rFonts w:ascii="Times New Roman" w:hAnsi="Times New Roman" w:cs="Times New Roman"/>
          <w:b/>
          <w:i w:val="0"/>
          <w:color w:val="00FF00"/>
          <w:sz w:val="32"/>
        </w:rPr>
        <w:t>Personalized Experiences:</w:t>
      </w:r>
      <w:r>
        <w:rPr>
          <w:rFonts w:ascii="Times New Roman" w:hAnsi="Times New Roman" w:cs="Times New Roman"/>
          <w:b w:val="0"/>
          <w:i w:val="0"/>
          <w:color w:val="00FF00"/>
          <w:sz w:val="32"/>
        </w:rPr>
        <w:t xml:space="preserve"> It powers hyper-personalized customer interactions and recommendations.</w:t>
      </w:r>
    </w:p>
    <w:p>
      <w:pPr>
        <w:pStyle w:val="ListBullet"/>
        <w:ind w:left="576"/>
      </w:pPr>
      <w:r>
        <w:rPr>
          <w:rFonts w:ascii="Times New Roman" w:hAnsi="Times New Roman" w:cs="Times New Roman"/>
          <w:b/>
          <w:i w:val="0"/>
          <w:color w:val="00FF00"/>
          <w:sz w:val="32"/>
        </w:rPr>
        <w:t>Operational Optimization:</w:t>
      </w:r>
      <w:r>
        <w:rPr>
          <w:rFonts w:ascii="Times New Roman" w:hAnsi="Times New Roman" w:cs="Times New Roman"/>
          <w:b w:val="0"/>
          <w:i w:val="0"/>
          <w:color w:val="00FF00"/>
          <w:sz w:val="32"/>
        </w:rPr>
        <w:t xml:space="preserve"> From supply chain management to resource allocation, AI optimizes complex systems.</w:t>
      </w:r>
    </w:p>
    <w:p>
      <w:pPr>
        <w:pStyle w:val="ListBullet"/>
        <w:ind w:left="576"/>
      </w:pPr>
      <w:r>
        <w:rPr>
          <w:rFonts w:ascii="Times New Roman" w:hAnsi="Times New Roman" w:cs="Times New Roman"/>
          <w:b/>
          <w:i w:val="0"/>
          <w:color w:val="00FF00"/>
          <w:sz w:val="32"/>
        </w:rPr>
        <w:t>Machine Learning Core:</w:t>
      </w:r>
      <w:r>
        <w:rPr>
          <w:rFonts w:ascii="Times New Roman" w:hAnsi="Times New Roman" w:cs="Times New Roman"/>
          <w:b w:val="0"/>
          <w:i w:val="0"/>
          <w:color w:val="00FF00"/>
          <w:sz w:val="32"/>
        </w:rPr>
        <w:t xml:space="preserve"> Deep learning, natural language processing (NLP), and computer vision are key subfields.</w:t>
      </w:r>
    </w:p>
    <w:p>
      <w:pPr>
        <w:pStyle w:val="ListBullet"/>
        <w:ind w:left="576"/>
      </w:pPr>
      <w:r>
        <w:rPr>
          <w:rFonts w:ascii="Times New Roman" w:hAnsi="Times New Roman" w:cs="Times New Roman"/>
          <w:b/>
          <w:i w:val="0"/>
          <w:color w:val="00FF00"/>
          <w:sz w:val="32"/>
        </w:rPr>
        <w:t>Strategic Imperative:</w:t>
      </w:r>
      <w:r>
        <w:rPr>
          <w:rFonts w:ascii="Times New Roman" w:hAnsi="Times New Roman" w:cs="Times New Roman"/>
          <w:b w:val="0"/>
          <w:i w:val="0"/>
          <w:color w:val="00FF00"/>
          <w:sz w:val="32"/>
        </w:rPr>
        <w:t xml:space="preserve"> Adoption of AI is no longer optional but critical for maintaining market relevance.</w:t>
      </w:r>
    </w:p>
    <w:p>
      <w:pPr>
        <w:pStyle w:val="ListBullet"/>
        <w:ind w:left="576"/>
      </w:pPr>
      <w:r>
        <w:rPr>
          <w:rFonts w:ascii="Times New Roman" w:hAnsi="Times New Roman" w:cs="Times New Roman"/>
          <w:b/>
          <w:i w:val="0"/>
          <w:color w:val="00FF00"/>
          <w:sz w:val="32"/>
        </w:rPr>
        <w:t>Data-Driven Decisions:</w:t>
      </w:r>
      <w:r>
        <w:rPr>
          <w:rFonts w:ascii="Times New Roman" w:hAnsi="Times New Roman" w:cs="Times New Roman"/>
          <w:b w:val="0"/>
          <w:i w:val="0"/>
          <w:color w:val="00FF00"/>
          <w:sz w:val="32"/>
        </w:rPr>
        <w:t xml:space="preserve"> AI augments human judgment with empirical, data-backed recommendations.</w:t>
      </w:r>
    </w:p>
    <w:p>
      <w:pPr>
        <w:pStyle w:val="ListBullet"/>
        <w:ind w:left="576"/>
      </w:pPr>
      <w:r>
        <w:rPr>
          <w:rFonts w:ascii="Times New Roman" w:hAnsi="Times New Roman" w:cs="Times New Roman"/>
          <w:b/>
          <w:i w:val="0"/>
          <w:color w:val="00FF00"/>
          <w:sz w:val="32"/>
        </w:rPr>
        <w:t>Ethical Considerations:</w:t>
      </w:r>
      <w:r>
        <w:rPr>
          <w:rFonts w:ascii="Times New Roman" w:hAnsi="Times New Roman" w:cs="Times New Roman"/>
          <w:b w:val="0"/>
          <w:i w:val="0"/>
          <w:color w:val="00FF00"/>
          <w:sz w:val="32"/>
        </w:rPr>
        <w:t xml:space="preserve"> Responsible AI development, fairness, transparency, and data privacy are paramount.</w:t>
      </w:r>
    </w:p>
    <w:p>
      <w:pPr>
        <w:spacing w:before="280" w:after="80"/>
      </w:pPr>
      <w:r>
        <w:rPr>
          <w:rFonts w:ascii="Times New Roman" w:hAnsi="Times New Roman" w:cs="Times New Roman"/>
          <w:b/>
          <w:i w:val="0"/>
          <w:color w:val="00FF00"/>
          <w:sz w:val="34"/>
        </w:rPr>
        <w:t>AI in the Modern Enterprise Landscape</w:t>
      </w:r>
    </w:p>
    <w:p>
      <w:pPr>
        <w:spacing w:after="120"/>
        <w:jc w:val="both"/>
      </w:pPr>
      <w:r>
        <w:rPr>
          <w:rFonts w:ascii="Times New Roman" w:hAnsi="Times New Roman" w:cs="Times New Roman"/>
          <w:b w:val="0"/>
          <w:i w:val="0"/>
          <w:color w:val="00FF00"/>
          <w:sz w:val="32"/>
        </w:rPr>
        <w:t>Artificial Intelligence stands as a pivotal force driving the next wave of digital transformation across global enterprises. Moving beyond theoretical discussions, AI is now embedded in critical business functions, from automating customer service interactions and optimizing supply chains to powering advanced analytics for strategic decision-making. Its ability to process, interpret, and learn from vast quantities of data at unprecedented speeds provides organizations with a significant competitive edge, enabling them to anticipate market shifts, reduce operational costs, and create superior customer experiences. The strategic deployment of AI is no longer a luxury but a fundamental requirement for businesses aiming to remain agile, innovative, and resilient in an increasingly complex and data-rich world.</w:t>
      </w:r>
    </w:p>
    <w:p>
      <w:pPr>
        <w:spacing w:after="120"/>
        <w:jc w:val="both"/>
      </w:pPr>
      <w:r>
        <w:rPr>
          <w:rFonts w:ascii="Times New Roman" w:hAnsi="Times New Roman" w:cs="Times New Roman"/>
          <w:b w:val="0"/>
          <w:i w:val="0"/>
          <w:color w:val="00FF00"/>
          <w:sz w:val="32"/>
        </w:rPr>
        <w:t>The strategic implementation of AI demands a holistic approach, encompassing not only the technological infrastructure but also organizational culture, data governance, and ethical frameworks. Enterprises must invest in developing AI literacy across their workforce, ensuring that human-AI collaboration maximizes productivity and fosters innovation. By thoughtfully integrating AI into core business processes, companies can unlock new levels of efficiency, drive significant revenue growth, and develop highly personalized engagements with their stakeholders. This integration is crucial for cultivating sustainable competitive advantages and ensuring that enterprises can adapt rapidly to future challenges and opportunities presented by an ever-evolving technological landscape.</w:t>
      </w:r>
    </w:p>
    <w:p>
      <w:pPr>
        <w:spacing w:before="280" w:after="80"/>
      </w:pPr>
      <w:r>
        <w:rPr>
          <w:rFonts w:ascii="Times New Roman" w:hAnsi="Times New Roman" w:cs="Times New Roman"/>
          <w:b/>
          <w:i w:val="0"/>
          <w:color w:val="00FF00"/>
          <w:sz w:val="34"/>
        </w:rPr>
        <w:t>Key AI Adoption Statistics (Enterprise Focus)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cs="Times New Roman"/>
                <w:b/>
                <w:i w:val="0"/>
                <w:color w:val="00FF00"/>
                <w:sz w:val="32"/>
              </w:rPr>
              <w:t>Metric</w:t>
            </w:r>
          </w:p>
        </w:tc>
        <w:tc>
          <w:tcPr>
            <w:tcW w:type="dxa" w:w="3120"/>
          </w:tcPr>
          <w:p>
            <w:r>
              <w:rPr>
                <w:rFonts w:ascii="Times New Roman" w:hAnsi="Times New Roman" w:cs="Times New Roman"/>
                <w:b/>
                <w:i w:val="0"/>
                <w:color w:val="00FF00"/>
                <w:sz w:val="32"/>
              </w:rPr>
              <w:t>Value (Approx.)</w:t>
            </w:r>
          </w:p>
        </w:tc>
        <w:tc>
          <w:tcPr>
            <w:tcW w:type="dxa" w:w="3120"/>
          </w:tcPr>
          <w:p>
            <w:r>
              <w:rPr>
                <w:rFonts w:ascii="Times New Roman" w:hAnsi="Times New Roman" w:cs="Times New Roman"/>
                <w:b/>
                <w:i w:val="0"/>
                <w:color w:val="00FF00"/>
                <w:sz w:val="32"/>
              </w:rPr>
              <w:t>Source/Note</w:t>
            </w:r>
          </w:p>
        </w:tc>
      </w:tr>
      <w:tr>
        <w:tc>
          <w:tcPr>
            <w:tcW w:type="dxa" w:w="3120"/>
          </w:tcPr>
          <w:p>
            <w:r>
              <w:rPr>
                <w:rFonts w:ascii="Times New Roman" w:hAnsi="Times New Roman" w:cs="Times New Roman"/>
                <w:b w:val="0"/>
                <w:i w:val="0"/>
                <w:color w:val="00FF00"/>
                <w:sz w:val="32"/>
              </w:rPr>
              <w:t>Global AI Market Size (2024 Est.)</w:t>
            </w:r>
          </w:p>
        </w:tc>
        <w:tc>
          <w:tcPr>
            <w:tcW w:type="dxa" w:w="3120"/>
          </w:tcPr>
          <w:p>
            <w:r>
              <w:rPr>
                <w:rFonts w:ascii="Times New Roman" w:hAnsi="Times New Roman" w:cs="Times New Roman"/>
                <w:b w:val="0"/>
                <w:i w:val="0"/>
                <w:color w:val="00FF00"/>
                <w:sz w:val="32"/>
              </w:rPr>
              <w:t>$550 Billion</w:t>
            </w:r>
          </w:p>
        </w:tc>
        <w:tc>
          <w:tcPr>
            <w:tcW w:type="dxa" w:w="3120"/>
          </w:tcPr>
          <w:p>
            <w:r>
              <w:rPr>
                <w:rFonts w:ascii="Times New Roman" w:hAnsi="Times New Roman" w:cs="Times New Roman"/>
                <w:b w:val="0"/>
                <w:i w:val="0"/>
                <w:color w:val="00FF00"/>
                <w:sz w:val="32"/>
              </w:rPr>
              <w:t>Expected growth driven by enterprise adoption</w:t>
            </w:r>
          </w:p>
        </w:tc>
      </w:tr>
      <w:tr>
        <w:tc>
          <w:tcPr>
            <w:tcW w:type="dxa" w:w="3120"/>
          </w:tcPr>
          <w:p>
            <w:r>
              <w:rPr>
                <w:rFonts w:ascii="Times New Roman" w:hAnsi="Times New Roman" w:cs="Times New Roman"/>
                <w:b w:val="0"/>
                <w:i w:val="0"/>
                <w:color w:val="00FF00"/>
                <w:sz w:val="32"/>
              </w:rPr>
              <w:t>Average ROI from AI Projects</w:t>
            </w:r>
          </w:p>
        </w:tc>
        <w:tc>
          <w:tcPr>
            <w:tcW w:type="dxa" w:w="3120"/>
          </w:tcPr>
          <w:p>
            <w:r>
              <w:rPr>
                <w:rFonts w:ascii="Times New Roman" w:hAnsi="Times New Roman" w:cs="Times New Roman"/>
                <w:b w:val="0"/>
                <w:i w:val="0"/>
                <w:color w:val="00FF00"/>
                <w:sz w:val="32"/>
              </w:rPr>
              <w:t>28%</w:t>
            </w:r>
          </w:p>
        </w:tc>
        <w:tc>
          <w:tcPr>
            <w:tcW w:type="dxa" w:w="3120"/>
          </w:tcPr>
          <w:p>
            <w:r>
              <w:rPr>
                <w:rFonts w:ascii="Times New Roman" w:hAnsi="Times New Roman" w:cs="Times New Roman"/>
                <w:b w:val="0"/>
                <w:i w:val="0"/>
                <w:color w:val="00FF00"/>
                <w:sz w:val="32"/>
              </w:rPr>
              <w:t>Across various industries and use cases</w:t>
            </w:r>
          </w:p>
        </w:tc>
      </w:tr>
      <w:tr>
        <w:tc>
          <w:tcPr>
            <w:tcW w:type="dxa" w:w="3120"/>
          </w:tcPr>
          <w:p>
            <w:r>
              <w:rPr>
                <w:rFonts w:ascii="Times New Roman" w:hAnsi="Times New Roman" w:cs="Times New Roman"/>
                <w:b w:val="0"/>
                <w:i w:val="0"/>
                <w:color w:val="00FF00"/>
                <w:sz w:val="32"/>
              </w:rPr>
              <w:t>Enterprises Implementing AI (2023)</w:t>
            </w:r>
          </w:p>
        </w:tc>
        <w:tc>
          <w:tcPr>
            <w:tcW w:type="dxa" w:w="3120"/>
          </w:tcPr>
          <w:p>
            <w:r>
              <w:rPr>
                <w:rFonts w:ascii="Times New Roman" w:hAnsi="Times New Roman" w:cs="Times New Roman"/>
                <w:b w:val="0"/>
                <w:i w:val="0"/>
                <w:color w:val="00FF00"/>
                <w:sz w:val="32"/>
              </w:rPr>
              <w:t>55%</w:t>
            </w:r>
          </w:p>
        </w:tc>
        <w:tc>
          <w:tcPr>
            <w:tcW w:type="dxa" w:w="3120"/>
          </w:tcPr>
          <w:p>
            <w:r>
              <w:rPr>
                <w:rFonts w:ascii="Times New Roman" w:hAnsi="Times New Roman" w:cs="Times New Roman"/>
                <w:b w:val="0"/>
                <w:i w:val="0"/>
                <w:color w:val="00FF00"/>
                <w:sz w:val="32"/>
              </w:rPr>
              <w:t>Significant increase from prior years</w:t>
            </w:r>
          </w:p>
        </w:tc>
      </w:tr>
      <w:tr>
        <w:tc>
          <w:tcPr>
            <w:tcW w:type="dxa" w:w="3120"/>
          </w:tcPr>
          <w:p>
            <w:r>
              <w:rPr>
                <w:rFonts w:ascii="Times New Roman" w:hAnsi="Times New Roman" w:cs="Times New Roman"/>
                <w:b w:val="0"/>
                <w:i w:val="0"/>
                <w:color w:val="00FF00"/>
                <w:sz w:val="32"/>
              </w:rPr>
              <w:t>Cost Savings via AI Automation</w:t>
            </w:r>
          </w:p>
        </w:tc>
        <w:tc>
          <w:tcPr>
            <w:tcW w:type="dxa" w:w="3120"/>
          </w:tcPr>
          <w:p>
            <w:r>
              <w:rPr>
                <w:rFonts w:ascii="Times New Roman" w:hAnsi="Times New Roman" w:cs="Times New Roman"/>
                <w:b w:val="0"/>
                <w:i w:val="0"/>
                <w:color w:val="00FF00"/>
                <w:sz w:val="32"/>
              </w:rPr>
              <w:t>Up to 30%</w:t>
            </w:r>
          </w:p>
        </w:tc>
        <w:tc>
          <w:tcPr>
            <w:tcW w:type="dxa" w:w="3120"/>
          </w:tcPr>
          <w:p>
            <w:r>
              <w:rPr>
                <w:rFonts w:ascii="Times New Roman" w:hAnsi="Times New Roman" w:cs="Times New Roman"/>
                <w:b w:val="0"/>
                <w:i w:val="0"/>
                <w:color w:val="00FF00"/>
                <w:sz w:val="32"/>
              </w:rPr>
              <w:t>In operational expenses for early adopters</w:t>
            </w:r>
          </w:p>
        </w:tc>
      </w:tr>
      <w:tr>
        <w:tc>
          <w:tcPr>
            <w:tcW w:type="dxa" w:w="3120"/>
          </w:tcPr>
          <w:p>
            <w:r>
              <w:rPr>
                <w:rFonts w:ascii="Times New Roman" w:hAnsi="Times New Roman" w:cs="Times New Roman"/>
                <w:b w:val="0"/>
                <w:i w:val="0"/>
                <w:color w:val="00FF00"/>
                <w:sz w:val="32"/>
              </w:rPr>
              <w:t>AI Investment Increase (YoY)</w:t>
            </w:r>
          </w:p>
        </w:tc>
        <w:tc>
          <w:tcPr>
            <w:tcW w:type="dxa" w:w="3120"/>
          </w:tcPr>
          <w:p>
            <w:r>
              <w:rPr>
                <w:rFonts w:ascii="Times New Roman" w:hAnsi="Times New Roman" w:cs="Times New Roman"/>
                <w:b w:val="0"/>
                <w:i w:val="0"/>
                <w:color w:val="00FF00"/>
                <w:sz w:val="32"/>
              </w:rPr>
              <w:t>25-35%</w:t>
            </w:r>
          </w:p>
        </w:tc>
        <w:tc>
          <w:tcPr>
            <w:tcW w:type="dxa" w:w="3120"/>
          </w:tcPr>
          <w:p>
            <w:r>
              <w:rPr>
                <w:rFonts w:ascii="Times New Roman" w:hAnsi="Times New Roman" w:cs="Times New Roman"/>
                <w:b w:val="0"/>
                <w:i w:val="0"/>
                <w:color w:val="00FF00"/>
                <w:sz w:val="32"/>
              </w:rPr>
              <w:t>Consistent growth in R&amp;D and deployment</w:t>
            </w:r>
          </w:p>
        </w:tc>
      </w:tr>
      <w:tr>
        <w:tc>
          <w:tcPr>
            <w:tcW w:type="dxa" w:w="3120"/>
          </w:tcPr>
          <w:p>
            <w:r>
              <w:rPr>
                <w:rFonts w:ascii="Times New Roman" w:hAnsi="Times New Roman" w:cs="Times New Roman"/>
                <w:b w:val="0"/>
                <w:i w:val="0"/>
                <w:color w:val="00FF00"/>
                <w:sz w:val="32"/>
              </w:rPr>
              <w:t>Improved Decision Making with AI</w:t>
            </w:r>
          </w:p>
        </w:tc>
        <w:tc>
          <w:tcPr>
            <w:tcW w:type="dxa" w:w="3120"/>
          </w:tcPr>
          <w:p>
            <w:r>
              <w:rPr>
                <w:rFonts w:ascii="Times New Roman" w:hAnsi="Times New Roman" w:cs="Times New Roman"/>
                <w:b w:val="0"/>
                <w:i w:val="0"/>
                <w:color w:val="00FF00"/>
                <w:sz w:val="32"/>
              </w:rPr>
              <w:t>60%</w:t>
            </w:r>
          </w:p>
        </w:tc>
        <w:tc>
          <w:tcPr>
            <w:tcW w:type="dxa" w:w="3120"/>
          </w:tcPr>
          <w:p>
            <w:r>
              <w:rPr>
                <w:rFonts w:ascii="Times New Roman" w:hAnsi="Times New Roman" w:cs="Times New Roman"/>
                <w:b w:val="0"/>
                <w:i w:val="0"/>
                <w:color w:val="00FF00"/>
                <w:sz w:val="32"/>
              </w:rPr>
              <w:t>Businesses report better strategic outcomes</w:t>
            </w:r>
          </w:p>
        </w:tc>
      </w:tr>
    </w:tbl>
    <w:p/>
    <w:p>
      <w:pPr>
        <w:spacing w:after="120"/>
        <w:jc w:val="both"/>
      </w:pPr>
      <w:r>
        <w:rPr>
          <w:rFonts w:ascii="Times New Roman" w:hAnsi="Times New Roman" w:cs="Times New Roman"/>
          <w:b/>
          <w:i w:val="0"/>
          <w:color w:val="00FF00"/>
          <w:sz w:val="32"/>
        </w:rPr>
        <w:t>AI is the undeniable engine of future enterprise innovation and efficiency.</w:t>
      </w:r>
      <w:r>
        <w:rPr>
          <w:rFonts w:ascii="Times New Roman" w:hAnsi="Times New Roman" w:cs="Times New Roman"/>
          <w:b/>
          <w:i w:val="0"/>
          <w:color w:val="00FF00"/>
          <w:sz w:val="32"/>
        </w:rPr>
        <w:t>Embrace its power responsibly to unlock unprecedented value.</w:t>
      </w:r>
    </w:p>
    <w:p>
      <w:pPr>
        <w:spacing w:after="120"/>
        <w:jc w:val="both"/>
      </w:pPr>
      <w:r>
        <w:rPr>
          <w:rFonts w:ascii="Times New Roman" w:hAnsi="Times New Roman" w:cs="Times New Roman"/>
          <w:b w:val="0"/>
          <w:i/>
          <w:color w:val="00FF00"/>
          <w:sz w:val="32"/>
        </w:rPr>
        <w:t>The journey with AI is a continuous evolution, requiring adaptability and foresight.</w:t>
      </w:r>
      <w:r>
        <w:rPr>
          <w:rFonts w:ascii="Times New Roman" w:hAnsi="Times New Roman" w:cs="Times New Roman"/>
          <w:b w:val="0"/>
          <w:i/>
          <w:color w:val="00FF00"/>
          <w:sz w:val="32"/>
        </w:rPr>
        <w:t>Prepare your organization to lead, not just participate, in the AI-driven future.</w:t>
      </w:r>
    </w:p>
    <w:p>
      <w:pPr>
        <w:spacing w:before="360" w:after="120"/>
      </w:pPr>
      <w:r>
        <w:rPr>
          <w:rFonts w:ascii="Times New Roman" w:hAnsi="Times New Roman" w:cs="Times New Roman"/>
          <w:b/>
          <w:i w:val="0"/>
          <w:color w:val="00FF00"/>
          <w:sz w:val="36"/>
        </w:rPr>
        <w:t>2. Text Section</w:t>
      </w:r>
    </w:p>
    <w:p>
      <w:pPr>
        <w:spacing w:after="120"/>
        <w:jc w:val="both"/>
      </w:pPr>
      <w:r>
        <w:rPr>
          <w:rFonts w:ascii="Times New Roman" w:hAnsi="Times New Roman" w:cs="Times New Roman"/>
          <w:b w:val="0"/>
          <w:i w:val="0"/>
          <w:color w:val="00FF00"/>
          <w:sz w:val="32"/>
        </w:rPr>
        <w:t>Hello World!</w:t>
        <w:br/>
        <w:t>This is the entered text in the template section.</w:t>
      </w:r>
    </w:p>
    <w:p>
      <w:pPr>
        <w:spacing w:before="80" w:after="80"/>
        <w:ind w:left="0" w:right="0"/>
        <w:jc w:val="left"/>
        <w:pBdr>
          <w:bottom w:val="single" w:sz="4" w:space="1" w:color="000000"/>
        </w:pBdr>
      </w:pPr>
    </w:p>
    <w:p>
      <w:pPr>
        <w:jc w:val="right"/>
      </w:pPr>
      <w:r>
        <w:drawing>
          <wp:inline xmlns:a="http://schemas.openxmlformats.org/drawingml/2006/main" xmlns:pic="http://schemas.openxmlformats.org/drawingml/2006/picture">
            <wp:extent cx="1645920" cy="1111871"/>
            <wp:docPr id="2" name="Picture 2"/>
            <wp:cNvGraphicFramePr>
              <a:graphicFrameLocks noChangeAspect="1"/>
            </wp:cNvGraphicFramePr>
            <a:graphic>
              <a:graphicData uri="http://schemas.openxmlformats.org/drawingml/2006/picture">
                <pic:pic>
                  <pic:nvPicPr>
                    <pic:cNvPr id="0" name="stamp.png"/>
                    <pic:cNvPicPr/>
                  </pic:nvPicPr>
                  <pic:blipFill>
                    <a:blip r:embed="rId12"/>
                    <a:stretch>
                      <a:fillRect/>
                    </a:stretch>
                  </pic:blipFill>
                  <pic:spPr>
                    <a:xfrm>
                      <a:off x="0" y="0"/>
                      <a:ext cx="1645920" cy="1111871"/>
                    </a:xfrm>
                    <a:prstGeom prst="rect"/>
                  </pic:spPr>
                </pic:pic>
              </a:graphicData>
            </a:graphic>
          </wp:inline>
        </w:drawing>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sz w:val="28"/>
      </w:rPr>
      <w:t>Demo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b w:val="0"/>
        <w:i w:val="0"/>
        <w:color w:val="646464"/>
        <w:sz w:val="28"/>
      </w:rPr>
      <w:t>Demo Header</w:t>
    </w:r>
    <w:r>
      <w:drawing>
        <wp:anchor distT="0" distB="0" distL="0" distR="0" simplePos="0" relativeHeight="251658240" behindDoc="1" locked="0" layoutInCell="1" allowOverlap="1">
          <wp:simplePos x="0" y="0"/>
          <wp:positionH relativeFrom="page">
            <wp:posOffset>1143000</wp:posOffset>
          </wp:positionH>
          <wp:positionV relativeFrom="page">
            <wp:posOffset>3200400</wp:posOffset>
          </wp:positionV>
          <wp:extent cx="5486400" cy="5486400"/>
          <wp:wrapNone/>
          <wp:docPr id="1" name="Picture 1"/>
          <a:graphic xmlns:a="http://schemas.openxmlformats.org/drawingml/2006/main" xmlns:pic="http://schemas.openxmlformats.org/drawingml/2006/picture">
            <a:graphicData uri="http://schemas.openxmlformats.org/drawingml/2006/picture">
              <pic:pic>
                <pic:nvPicPr>
                  <pic:cNvPr id="0" name="watermark.png"/>
                  <pic:cNvPicPr/>
                </pic:nvPicPr>
                <pic:blipFill>
                  <a:blip r:embed="rId1"/>
                  <a:stretch>
                    <a:fillRect/>
                  </a:stretch>
                </pic:blipFill>
                <pic:spPr>
                  <a:xfrm>
                    <a:off x="0" y="0"/>
                    <a:ext cx="5486400" cy="54864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