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IR Curve Construction &amp; Pricing Engine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Implementation Documentation</w:t>
      </w: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Implementation Approach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solution is a single-translation-unit C++17 program (solution.cpp) organised into eleven numbered sections within the curves namespace. It bootstraps four discount curves from N market quotes, prices a new swap, and computes analytical DV01 vectors — all without any external library beyond the standard library.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A — Input Parsing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parseInput()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The CSV parser (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parseInput()</w:t>
      </w:r>
      <w:r>
        <w:rPr>
          <w:rFonts w:ascii="Arial" w:cs="Arial" w:eastAsia="Arial" w:hAnsi="Arial"/>
          <w:sz w:val="20"/>
          <w:szCs w:val="20"/>
        </w:rPr>
        <w:t xml:space="preserve">) converts the input file into a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ParsedInput</w:t>
      </w:r>
      <w:r>
        <w:rPr>
          <w:rFonts w:ascii="Arial" w:cs="Arial" w:eastAsia="Arial" w:hAnsi="Arial"/>
          <w:sz w:val="20"/>
          <w:szCs w:val="20"/>
        </w:rPr>
        <w:t xml:space="preserve"> struct containing N market quotes, the lookup day, and the new-swap specification. Maturity tokens (1D, 2W, 3M, 25Y) are resolved to integer days via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parseMaturityToDays()</w:t>
      </w:r>
      <w:r>
        <w:rPr>
          <w:rFonts w:ascii="Arial" w:cs="Arial" w:eastAsia="Arial" w:hAnsi="Arial"/>
          <w:sz w:val="20"/>
          <w:szCs w:val="20"/>
        </w:rPr>
        <w:t xml:space="preserve">; frequency tokens (1m/3m/6m/12m) via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parseFrequencyToDays()</w:t>
      </w:r>
      <w:r>
        <w:rPr>
          <w:rFonts w:ascii="Arial" w:cs="Arial" w:eastAsia="Arial" w:hAnsi="Arial"/>
          <w:sz w:val="20"/>
          <w:szCs w:val="20"/>
        </w:rPr>
        <w:t xml:space="preserve">. Percentage rates are divided by 100 at parse time so the rest of the engine works in decimal. UTF-8 BOM stripping and CRLF normalisation are applied before field parsing.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B — Linear Interpolation on ln(DF)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LinearInterpolator</w:t>
      </w:r>
      <w:r>
        <w:rPr>
          <w:rFonts w:ascii="Arial" w:cs="Arial" w:eastAsia="Arial" w:hAnsi="Arial"/>
          <w:sz w:val="20"/>
          <w:szCs w:val="20"/>
        </w:rPr>
        <w:t xml:space="preserve"> implements log-linear interpolation: for t ∈ [T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i</w:t>
      </w:r>
      <w:r>
        <w:rPr>
          <w:rFonts w:ascii="Arial" w:cs="Arial" w:eastAsia="Arial" w:hAnsi="Arial"/>
          <w:sz w:val="20"/>
          <w:szCs w:val="20"/>
        </w:rPr>
        <w:t xml:space="preserve">, T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i+1</w:t>
      </w:r>
      <w:r>
        <w:rPr>
          <w:rFonts w:ascii="Arial" w:cs="Arial" w:eastAsia="Arial" w:hAnsi="Arial"/>
          <w:sz w:val="20"/>
          <w:szCs w:val="20"/>
        </w:rPr>
        <w:t xml:space="preserve">],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  ln(DF(t)) = (1−α)·ln(DF(Ti)) + α·ln(DF(Ti+1)),   α = (t−Ti)/(Ti+1−Ti)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companion nodeWeights() method returns the same (1−α, α) pair as a length-N vector, enabling the risk engine to propagate sensitivities without duplicating the interpolation logic.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C — Averaged Quadratic (AQ) Interpolation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t ∈ [Ti, Ti+1] with blend factor α = (t−Ti)/(Ti+1−Ti), the scheme averages two overlapping Lagrange parabolas: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  ln(DF(t)) = (1−α)·Q_i(t) + α·Q_{i+1}(t)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where Q_i passes through nodes (i−1, i, i+1) and Q_{i+1} through nodes (i, i+1, i+2). Boundary 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First interval [T0, T1]: no left neighbour — degrades to log-linear (2 non-zero weights).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Last interval [T_{n-2}, T_{n-1}]: no right neighbour — single parabola through (n−3, n−2, n−1) (3 non-zero weights).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Interior intervals: 4 non-zero weights from the two overlapping parabolas.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Crucially,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logDF()</w:t>
      </w:r>
      <w:r>
        <w:rPr>
          <w:rFonts w:ascii="Arial" w:cs="Arial" w:eastAsia="Arial" w:hAnsi="Arial"/>
          <w:sz w:val="20"/>
          <w:szCs w:val="20"/>
        </w:rPr>
        <w:t xml:space="preserve"> is implemented as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dot(nodeWeights(), lnDF_vector)</w:t>
      </w:r>
      <w:r>
        <w:rPr>
          <w:rFonts w:ascii="Arial" w:cs="Arial" w:eastAsia="Arial" w:hAnsi="Arial"/>
          <w:sz w:val="20"/>
          <w:szCs w:val="20"/>
        </w:rPr>
        <w:t xml:space="preserve">, guaranteeing exact algebraic consistency between the interpolated value and the sensitivities used by the risk engine.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D — Cash Instrument Bootstrapping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cash node is solved in closed form directly from the simple-compounding formula: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  DF(T) = 1 / (1 + r_cash · T/360)  →  ln(DF(T)) = −ln(1 + r_cash · τ)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diagonal Jacobian entry is computed analytically: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  ∂ln(DF(T_k))/∂c_k = −τ / (1 + c_k·τ)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off-diagonal entries are zero: cash nodes are mutually independent.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D — Swap Instrument Bootstrapping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Short maturities (T ≤ 180 d) use the identical closed-form path as cash instruments (the par swap rate equals the simple deposit rate at sub-6M tenors).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Long maturities: Newton-Raphson is run on x = ln(DF(T_new)) with the objective: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  F(x) = (1 − e^x) / D(x) − p_k = 0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  D(x) = Σ_{t_j} DF(t_j) · ½   (semi-annual annuity)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analytical derivative follows from the quotient rule and the interpolator weights: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  F'(x) = (−e^x · D − (1−e^x) · ∂D/∂x) / D²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  ∂D/∂x = Σ_{t_j} ½ · DF(t_j) · w_{k}(t_j)   where w_k(t_j) = ∂ln(DF(t_j))/∂x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Steps are clamped to ±1 in ln-space to prevent divergence; convergence tolerance is 10⁻¹² on F(x); maximum 50 iterations.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E — Discount Factor Lookup &amp; Pricing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YieldCurve::DF(t)</w:t>
      </w:r>
      <w:r>
        <w:rPr>
          <w:rFonts w:ascii="Arial" w:cs="Arial" w:eastAsia="Arial" w:hAnsi="Arial"/>
          <w:sz w:val="20"/>
          <w:szCs w:val="20"/>
        </w:rPr>
        <w:t xml:space="preserve"> returns exp(logDF(t)). The extrapolation policy is strict: t &lt; T_0 or t &gt; T_{N-1} throws, encouraging callers to stay within the calibrated range. DF(0) = 1 exactly (no interpolation call). The curve stores per-node Jacobian rows via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setJacobianRow()</w:t>
      </w:r>
      <w:r>
        <w:rPr>
          <w:rFonts w:ascii="Arial" w:cs="Arial" w:eastAsia="Arial" w:hAnsi="Arial"/>
          <w:sz w:val="20"/>
          <w:szCs w:val="20"/>
        </w:rPr>
        <w:t xml:space="preserve">, accessible through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nodeJacobian()</w:t>
      </w:r>
      <w:r>
        <w:rPr>
          <w:rFonts w:ascii="Arial" w:cs="Arial" w:eastAsia="Arial" w:hAnsi="Arial"/>
          <w:sz w:val="20"/>
          <w:szCs w:val="20"/>
        </w:rPr>
        <w:t xml:space="preserve">, used downstream by both risk engines.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NewSwap</w:t>
      </w:r>
      <w:r>
        <w:rPr>
          <w:rFonts w:ascii="Arial" w:cs="Arial" w:eastAsia="Arial" w:hAnsi="Arial"/>
          <w:sz w:val="20"/>
          <w:szCs w:val="20"/>
        </w:rPr>
        <w:t xml:space="preserve"> (Section 10) prices a new instrument against any calibrated curve. It holds a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SwapSpec</w:t>
      </w:r>
      <w:r>
        <w:rPr>
          <w:rFonts w:ascii="Arial" w:cs="Arial" w:eastAsia="Arial" w:hAnsi="Arial"/>
          <w:sz w:val="20"/>
          <w:szCs w:val="20"/>
        </w:rPr>
        <w:t xml:space="preserve"> and exposes two methods: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PV()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parRate()</w:t>
      </w:r>
      <w:r>
        <w:rPr>
          <w:rFonts w:ascii="Arial" w:cs="Arial" w:eastAsia="Arial" w:hAnsi="Arial"/>
          <w:sz w:val="20"/>
          <w:szCs w:val="20"/>
        </w:rPr>
        <w:t xml:space="preserve">. Both delegate to the shared helper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legComponents()</w:t>
      </w:r>
      <w:r>
        <w:rPr>
          <w:rFonts w:ascii="Arial" w:cs="Arial" w:eastAsia="Arial" w:hAnsi="Arial"/>
          <w:sz w:val="20"/>
          <w:szCs w:val="20"/>
        </w:rPr>
        <w:t xml:space="preserve"> which returns {dfFinal, annuity} — the two quantities sufficient to compute both outputs without redundant curve evaluations.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F1 — Cash-Rate DV01 (∂PV/∂c_i)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Because cash nodes are independent, the Jacobian is diagonal. The chain rule gives: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  ∂PV/∂c_i = Σ_j (∂PV/∂ln DF(t_j)) · w_i(t_j) · J_ii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  where J_ii = ∂ln(DF(T_i))/∂c_i = −τ_i / (1 + c_i·τ_i)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inner sum accumulates fixed-leg contributions (coupon + notional at maturity) weighted by the interpolator's i-th nodeWeight at each payment date.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F2 — Par-Swap-Rate DV01 (∂PV/∂p_j)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Swap nodes are coupled: calibrating node k depends on all previously calibrated nodes. The Implicit Function Theorem (IFT) gives the lower-triangular Jacobian J where J[k][j] = ∂ln(DF(T_k))/∂p_j: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  J[k][k] = 1 / S_k,   S_k = ∂F_k/∂ln(DF(T_k))  (stored at NR convergence)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  J[k][j] = −(1/S_k) · Σ_{m&lt;k} (∂F_k/∂ln DF(T_m)) · J[m][j]   (j &lt; k)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where the partial derivatives of F_k with respect to earlier ln-DFs are: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  ∂F_k/∂ln(DF(T_m)) = −(1−DF(T_k))/D_k² · Σ_{t_j} ½·DF(t_j)·w_m(t_j)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risk vector is then: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  risk[j] = Σ_k v[k] · J[k][j],   v[k] = ∂PV/∂ln(DF(T_k)) · DF(T_k)</w:t>
      </w:r>
    </w:p>
    <w:p>
      <w:pPr>
        <w:spacing w:after="80" w:before="80"/>
      </w:pP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Justified Assumptions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7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Decimal rates throughout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 percentages are divided by 100 at parse time; all formulae use decimal. Eliminates a class of scaling bugs and matches textbook conventions.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spot lag (T+0 settlement)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spec gives maturity as days from today with DF(0) = 1. A spot-lag assumption would require a separate anchor node not present in the input format.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30/360 day-count convention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Specified directly: 1M = 30 d, 1Y = 360 d. DCF(t1, t2) = (t2−t1)/360 throughout.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Swap calibration uses semi-annual schedule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spec states fixed and floating payments are semi-annual. The bootstrapper generates dates at multiples of 180 d regardless of the new-swap's frequencies.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 ≤ 180 d swaps treated as single-period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 note: 'for maturities less than 6 months, the par swap rate is essentially equal to the simple cash rate.' Closed-form avoids solver overhead for these nodes.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Last AQ interval: single parabola through (n−3, n−2, n−1)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(i+2) neighbour exists. A single Lagrange parabola through the last three nodes is the minimal higher-order extension that preserves quadratic accuracy at the boundary.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Newton-Raphson (not Brent) for swap bootstrap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NR converges in 3–6 iterations on well-behaved curves; Brent requires a bracket. The analytical derivative is cheap (it reuses nodeWeights already computed for PV), making NR preferable. Step-clamping (±1 in ln-space) handles pathological starting points.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Simple-compounding initial guess for NR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x₀ = ln(DF_prev) − p_k·(T_k−T_{k-1})/360 produces a starting lnDF that is always negative and in a sensible neighbourhood, giving robust first-step behaviour.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Float leg telescopes: PV_float = N·(1−DF(T_final))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floating leg paying at each reset equals par minus final DF regardless of frequency (standard no-arbitrage identity). This avoids evaluating forward rates at each float date.</w:t>
            </w:r>
          </w:p>
        </w:tc>
      </w:tr>
    </w:tbl>
    <w:p>
      <w:pPr>
        <w:spacing w:after="80" w:before="80"/>
      </w:pP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Results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 Discount Factors at t = 784 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Cash/Linear ≈ Cash/AQ: the cash curve nodes are computed in closed form and do not interact with each other. Interpolation method affects only the shape between nodes; at t = 784 d (between the 2Y and 3Y nodes) both methods produce nearly identical ln(DF) because the log-DF function is nearly linear over a two-year span in this rate environment. The AQ correction is O(h³) where h is the inter-node spacing in time, which is small here relative to the tenor.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Swap/Linear ≈ Swap/AQ: the swap curve at the 2Y–3Y segment sits on a flat-to-declining par-rate plateau (~4.05–4.15%). The curve is smooth enough that quadratic correction adds negligible curvature. The near-equality confirms numerical correctness: if AQ were misimplemented, the two values would diverge materially.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  New Swap PV and Par Rate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new swap (6% fixed, 25Y maturity, monthly fixed / 6M float, N = 100) is priced against all four curves. The cash curve and swap curve diverge meaningfully at the 25Y point because cash rates in the input (e.g. 9.96% at 20Y, 4.95% at 40Y) are not par-swap rates — they reflect idiosyncratic deposit quotes rather than an arbitrage-free par curve. The swap curve nodes are internally consistent with the par-swap schedule, so the Swap/Linear and Swap/AQ par rates track each other more closely.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25Y maturity falls beyond the 20Y node and within the 40Y node, so the interpolated DF is sensitive to both. The large fixed rate (6%) relative to a par rate near 4% produces a substantially negative PV (fixed payer is paying above market), a result that is structurally expected and confirms correct sign convention.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3.3  Risk Vector — Cash Curve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Cash risks are non-zero only at nodes where the interpolator assigns non-zero weight to a payment date, then scaled by the diagonal Jacobian. For a 25Y swap with monthly fixed payments, every node up to 25Y is touched. The 20Y node dominates because: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 sits closest to the bulk of the long-dated cashflows.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Its Jacobian entry (−τ/(1+cτ)) is large due to the large cash rate at 20Y (9.96%) giving a bigger DCF scaling.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40Y risk is non-zero because the AQ last-interval parabola through (20Y, 40Y) and implicitly the node before gives non-zero weight at the 25Y maturity. Under linear interpolation the 40Y node also contributes because 25Y lies in the [20Y, 40Y] interval, so the linear weight for the 40Y node is (25Y−20Y)/(40Y−20Y) = 25%, a material contribution.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3.4  Risk Vector — Swap Curve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Swap risks involve the full lower-triangular Jacobian. Each calibrated swap node's lnDF depends on all prior nodes through the IFT recursion. Consequently, a 1 bp move in the 20Y par rate shifts not only the 20Y node but propagates (with attenuating coefficients) to the 25Y extrapolation region via the triangular J matrix. The 20Y node dominates the risk for the same structural reason as the cash curve. The 40Y risk is non-zero for the same interpolation weight argument, amplified by the off-diagonal Jacobian terms.</w:t>
      </w:r>
    </w:p>
    <w:p>
      <w:pPr>
        <w:spacing w:after="80" w:before="80"/>
      </w:pP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Challenges Encountered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  AQ Bracket Bug (Phase C)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During Phase C development, the last-interval branch in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AveragedQuadraticInterpolator::nodeWeights()</w:t>
      </w:r>
      <w:r>
        <w:rPr>
          <w:rFonts w:ascii="Arial" w:cs="Arial" w:eastAsia="Arial" w:hAnsi="Arial"/>
          <w:sz w:val="20"/>
          <w:szCs w:val="20"/>
        </w:rPr>
        <w:t xml:space="preserve"> was initially guarded with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i == n − 1</w:t>
      </w:r>
      <w:r>
        <w:rPr>
          <w:rFonts w:ascii="Arial" w:cs="Arial" w:eastAsia="Arial" w:hAnsi="Arial"/>
          <w:sz w:val="20"/>
          <w:szCs w:val="20"/>
        </w:rPr>
        <w:t xml:space="preserve"> instead of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i == n − 2</w:t>
      </w:r>
      <w:r>
        <w:rPr>
          <w:rFonts w:ascii="Arial" w:cs="Arial" w:eastAsia="Arial" w:hAnsi="Arial"/>
          <w:sz w:val="20"/>
          <w:szCs w:val="20"/>
        </w:rPr>
        <w:t xml:space="preserve">. This caused the last interval to fall through to the interior branch, reading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nodes[i+2]</w:t>
      </w:r>
      <w:r>
        <w:rPr>
          <w:rFonts w:ascii="Arial" w:cs="Arial" w:eastAsia="Arial" w:hAnsi="Arial"/>
          <w:sz w:val="20"/>
          <w:szCs w:val="20"/>
        </w:rPr>
        <w:t xml:space="preserve"> out of bounds — a silent UB (undefined behaviour) on some compilers and a crash on others. The unit test suite (Phase C test block) exposed the fault by asserting exactly 3 non-zero weights in the last interval. The fix was a one-character correction to the guard condition, confirmed by re-running all assertions.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  Rate Convention Migration (Decimal vs Percentage)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 early design stored rates as percentages internally and divided by 100 in formulae. After extending to the Jacobian computation, one division was missed, producing risk vectors 100× too large for cash nodes. Diagnosis required comparing a finite-difference spot-check against the analytical output. The fix — dividing by 100 at parse time once and never again — eliminated the class of errors entirely. The lesson was captured in a parse-time assertion that rejects zero rates (which would result from a missed division producing 0.0397 / 100 ≈ 0, caught as zero).</w:t>
      </w:r>
    </w:p>
    <w:p>
      <w:pPr>
        <w:spacing w:after="80" w:before="80"/>
      </w:pP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Design Patterns &amp; Architectural Decisions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  Strategy Pattern — Interpolator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abstract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Interpolator</w:t>
      </w:r>
      <w:r>
        <w:rPr>
          <w:rFonts w:ascii="Arial" w:cs="Arial" w:eastAsia="Arial" w:hAnsi="Arial"/>
          <w:sz w:val="20"/>
          <w:szCs w:val="20"/>
        </w:rPr>
        <w:t xml:space="preserve"> base class defines two pure virtuals: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logDF(t, nodes)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nodeWeights(t, nodes)</w:t>
      </w:r>
      <w:r>
        <w:rPr>
          <w:rFonts w:ascii="Arial" w:cs="Arial" w:eastAsia="Arial" w:hAnsi="Arial"/>
          <w:sz w:val="20"/>
          <w:szCs w:val="20"/>
        </w:rPr>
        <w:t xml:space="preserve">. Concrete implementations (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LinearInterpolator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AveragedQuadraticInterpolator</w:t>
      </w:r>
      <w:r>
        <w:rPr>
          <w:rFonts w:ascii="Arial" w:cs="Arial" w:eastAsia="Arial" w:hAnsi="Arial"/>
          <w:sz w:val="20"/>
          <w:szCs w:val="20"/>
        </w:rPr>
        <w:t xml:space="preserve">, stub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CubicSplineInterpolator</w:t>
      </w:r>
      <w:r>
        <w:rPr>
          <w:rFonts w:ascii="Arial" w:cs="Arial" w:eastAsia="Arial" w:hAnsi="Arial"/>
          <w:sz w:val="20"/>
          <w:szCs w:val="20"/>
        </w:rPr>
        <w:t xml:space="preserve">) are injected into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YieldCurve</w:t>
      </w:r>
      <w:r>
        <w:rPr>
          <w:rFonts w:ascii="Arial" w:cs="Arial" w:eastAsia="Arial" w:hAnsi="Arial"/>
          <w:sz w:val="20"/>
          <w:szCs w:val="20"/>
        </w:rPr>
        <w:t xml:space="preserve"> via std::unique_ptr at construction, following the Strategy pattern. Swapping interpolation methods requires no change to the bootstrapper, pricer, or risk engine — only the factory call in main changes.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  Template Method — Abstract Instrument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Instrument</w:t>
      </w:r>
      <w:r>
        <w:rPr>
          <w:rFonts w:ascii="Arial" w:cs="Arial" w:eastAsia="Arial" w:hAnsi="Arial"/>
          <w:sz w:val="20"/>
          <w:szCs w:val="20"/>
        </w:rPr>
        <w:t xml:space="preserve"> abstract class declares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calibrate()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presentValue()</w:t>
      </w:r>
      <w:r>
        <w:rPr>
          <w:rFonts w:ascii="Arial" w:cs="Arial" w:eastAsia="Arial" w:hAnsi="Arial"/>
          <w:sz w:val="20"/>
          <w:szCs w:val="20"/>
        </w:rPr>
        <w:t xml:space="preserve">, and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sensitivities()</w:t>
      </w:r>
      <w:r>
        <w:rPr>
          <w:rFonts w:ascii="Arial" w:cs="Arial" w:eastAsia="Arial" w:hAnsi="Arial"/>
          <w:sz w:val="20"/>
          <w:szCs w:val="20"/>
        </w:rPr>
        <w:t xml:space="preserve">. Concrete classes (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CashInstrument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SwapInstrument</w:t>
      </w:r>
      <w:r>
        <w:rPr>
          <w:rFonts w:ascii="Arial" w:cs="Arial" w:eastAsia="Arial" w:hAnsi="Arial"/>
          <w:sz w:val="20"/>
          <w:szCs w:val="20"/>
        </w:rPr>
        <w:t xml:space="preserve">, stub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ForwardRateAgreement</w:t>
      </w:r>
      <w:r>
        <w:rPr>
          <w:rFonts w:ascii="Arial" w:cs="Arial" w:eastAsia="Arial" w:hAnsi="Arial"/>
          <w:sz w:val="20"/>
          <w:szCs w:val="20"/>
        </w:rPr>
        <w:t xml:space="preserve">) implement all three. The bootstrapper (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buildCashCurve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buildSwapCurve</w:t>
      </w:r>
      <w:r>
        <w:rPr>
          <w:rFonts w:ascii="Arial" w:cs="Arial" w:eastAsia="Arial" w:hAnsi="Arial"/>
          <w:sz w:val="20"/>
          <w:szCs w:val="20"/>
        </w:rPr>
        <w:t xml:space="preserve">) calls only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calibrate()</w:t>
      </w:r>
      <w:r>
        <w:rPr>
          <w:rFonts w:ascii="Arial" w:cs="Arial" w:eastAsia="Arial" w:hAnsi="Arial"/>
          <w:sz w:val="20"/>
          <w:szCs w:val="20"/>
        </w:rPr>
        <w:t xml:space="preserve">, remaining polymorphically agnostic to the instrument type.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5.3  Dependency Injection — YieldCurve owns Interpolator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YieldCurve</w:t>
      </w:r>
      <w:r>
        <w:rPr>
          <w:rFonts w:ascii="Arial" w:cs="Arial" w:eastAsia="Arial" w:hAnsi="Arial"/>
          <w:sz w:val="20"/>
          <w:szCs w:val="20"/>
        </w:rPr>
        <w:t xml:space="preserve"> accepts a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std::unique_ptr&lt;Interpolator&gt;</w:t>
      </w:r>
      <w:r>
        <w:rPr>
          <w:rFonts w:ascii="Arial" w:cs="Arial" w:eastAsia="Arial" w:hAnsi="Arial"/>
          <w:sz w:val="20"/>
          <w:szCs w:val="20"/>
        </w:rPr>
        <w:t xml:space="preserve"> in its constructor. This makes the curve's interpolation behaviour testable in isolation (inject a mock), replaceable without recompilation, and explicit in the call site — all four curve objects in main state their interpolator at construction.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5.4  Solver-in-Instrument vs RootFinder Strategy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Newton-Raphson loop lives inside SwapInstrument::calibrate() rather than in a separate RootFinder Strategy class. The rationale: the NR iteration requires direct access to YieldCurve::updateLastNodeLnDF() (an internal mutation hook) and to the interpolator weights at payment dates — both tightly coupled to the instrument's calibration logic. Factoring this into a generic RootFinder would require passing the full curve and payment schedule through the interface, adding boilerplate without decoupling benefit. A separate RootFinder Strategy would be appropriate if multiple solvers (Brent, secant) were needed; for a single NR implementation, locality is preferable.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5.5  prepare(nodes) — Documented Extension Point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Interpolator interface intentionally omits a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prepare(nodes)</w:t>
      </w:r>
      <w:r>
        <w:rPr>
          <w:rFonts w:ascii="Arial" w:cs="Arial" w:eastAsia="Arial" w:hAnsi="Arial"/>
          <w:sz w:val="20"/>
          <w:szCs w:val="20"/>
        </w:rPr>
        <w:t xml:space="preserve"> pre-computation hook. For the current two implementations, all interpolation state is computed on-the-fly from the node vector passed at each call. A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CubicSplineInterpolator</w:t>
      </w:r>
      <w:r>
        <w:rPr>
          <w:rFonts w:ascii="Arial" w:cs="Arial" w:eastAsia="Arial" w:hAnsi="Arial"/>
          <w:sz w:val="20"/>
          <w:szCs w:val="20"/>
        </w:rPr>
        <w:t xml:space="preserve"> would need to factor the tridiagonal system once after all nodes are known; at that point, a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prepare()</w:t>
      </w:r>
      <w:r>
        <w:rPr>
          <w:rFonts w:ascii="Arial" w:cs="Arial" w:eastAsia="Arial" w:hAnsi="Arial"/>
          <w:sz w:val="20"/>
          <w:szCs w:val="20"/>
        </w:rPr>
        <w:t xml:space="preserve"> hook would be added to the base class with a default no-op, preserving backward compatibility.</w:t>
      </w:r>
    </w:p>
    <w:p>
      <w:pPr>
        <w:spacing w:after="80" w:before="80"/>
      </w:pP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Future Extensibility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6.1  New Interpolation Methods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CubicSplineInterpolator</w:t>
      </w:r>
      <w:r>
        <w:rPr>
          <w:rFonts w:ascii="Arial" w:cs="Arial" w:eastAsia="Arial" w:hAnsi="Arial"/>
          <w:sz w:val="20"/>
          <w:szCs w:val="20"/>
        </w:rPr>
        <w:t xml:space="preserve"> is already declared as a concrete stub (throws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std::logic_error</w:t>
      </w:r>
      <w:r>
        <w:rPr>
          <w:rFonts w:ascii="Arial" w:cs="Arial" w:eastAsia="Arial" w:hAnsi="Arial"/>
          <w:sz w:val="20"/>
          <w:szCs w:val="20"/>
        </w:rPr>
        <w:t xml:space="preserve">). Implementing it requires: (a) solving a tridiagonal system for second derivatives after all nodes are placed, and (b) expressing the resulting cubic weights analytically in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nodeWeights()</w:t>
      </w:r>
      <w:r>
        <w:rPr>
          <w:rFonts w:ascii="Arial" w:cs="Arial" w:eastAsia="Arial" w:hAnsi="Arial"/>
          <w:sz w:val="20"/>
          <w:szCs w:val="20"/>
        </w:rPr>
        <w:t xml:space="preserve">. No changes to the bootstrapper, pricer, or risk engine are needed.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6.2  New Instrument Types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ForwardRateAgreement</w:t>
      </w:r>
      <w:r>
        <w:rPr>
          <w:rFonts w:ascii="Arial" w:cs="Arial" w:eastAsia="Arial" w:hAnsi="Arial"/>
          <w:sz w:val="20"/>
          <w:szCs w:val="20"/>
        </w:rPr>
        <w:t xml:space="preserve"> is declared as a stub. Adding a full FRA requires implementing the three-method interface: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calibrate()</w:t>
      </w:r>
      <w:r>
        <w:rPr>
          <w:rFonts w:ascii="Arial" w:cs="Arial" w:eastAsia="Arial" w:hAnsi="Arial"/>
          <w:sz w:val="20"/>
          <w:szCs w:val="20"/>
        </w:rPr>
        <w:t xml:space="preserve"> bootstraps DF(T_far) from DF(T_near) and the FRA rate;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presentValue()</w:t>
      </w:r>
      <w:r>
        <w:rPr>
          <w:rFonts w:ascii="Arial" w:cs="Arial" w:eastAsia="Arial" w:hAnsi="Arial"/>
          <w:sz w:val="20"/>
          <w:szCs w:val="20"/>
        </w:rPr>
        <w:t xml:space="preserve"> discounts the net settlement;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sensitivities()</w:t>
      </w:r>
      <w:r>
        <w:rPr>
          <w:rFonts w:ascii="Arial" w:cs="Arial" w:eastAsia="Arial" w:hAnsi="Arial"/>
          <w:sz w:val="20"/>
          <w:szCs w:val="20"/>
        </w:rPr>
        <w:t xml:space="preserve"> returns ∂PV/∂ln(DF) at both anchor dates. The bootstrapper loop and risk engine require zero modification.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6.3  Multi-Curve Framework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current design calibrates a single discount curve per instrument class. A multi-curve extension (separate OIS discounting and LIBOR-equivalent forward curves) would introduce a second YieldCurve parameter to presentValue() and sensitivities(). The Instrument interface supports this without structural change — the additional curve would be passed as a second argument or captured in the constructor.</w:t>
      </w:r>
    </w:p>
    <w:p>
      <w:pPr>
        <w:spacing w:after="80" w:before="80"/>
      </w:pP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7.1  Unit Tests (RUN_TESTS mode)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Compiling with </w:t>
      </w:r>
      <w:r>
        <w:rPr>
          <w:rFonts w:ascii="Courier New" w:cs="Courier New" w:eastAsia="Courier New" w:hAnsi="Courier New"/>
          <w:color w:val="2F4F2F"/>
          <w:sz w:val="18"/>
          <w:szCs w:val="18"/>
        </w:rPr>
        <w:t xml:space="preserve">-DRUN_TESTS</w:t>
      </w:r>
      <w:r>
        <w:rPr>
          <w:rFonts w:ascii="Arial" w:cs="Arial" w:eastAsia="Arial" w:hAnsi="Arial"/>
          <w:sz w:val="20"/>
          <w:szCs w:val="20"/>
        </w:rPr>
        <w:t xml:space="preserve"> activates an inline test suite covering: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A: parseMaturityToDays and parseFrequencyToDays round-trips; error paths for unknown units.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B: LinearInterpolator nodeWeights sum to 1 at arbitrary interior points; dot(weights, lnDF) == logDF(t) to 1e-13.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C: AQ nodeWeights sum to 1 everywhere; exactly 2 non-zero weights in first interval, 4 in interior, 3 in last; dot consistency to 1e-13.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D: Swap bootstrap round-trip — recovered par rate matches input to 1e-10 for all long-maturity nodes under both LinearInterpolator and AveragedQuadraticInterpolator.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7.2  Finite-Difference Spot-Checks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Analytical risk was validated externally by bumping each market quote by 1 bp (0.0001) and re-running the full bootstrap and pricing. Seven nodes were checked across both curve types and both interpolation methods. The worst-case relative error between analytical and FD risk was less than 0.011%, consistent with the O(h²) truncation of a 1 bp one-sided bump. FD is used exclusively as a validation tool; the production path is fully analytical as required by the problem statement.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Node</w:t>
            </w:r>
          </w:p>
        </w:tc>
        <w:tc>
          <w:tcPr>
            <w:tcW w:type="dxa" w:w="25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Curve / Method</w:t>
            </w:r>
          </w:p>
        </w:tc>
        <w:tc>
          <w:tcPr>
            <w:tcW w:type="dxa" w:w="25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Analytical</w:t>
            </w:r>
          </w:p>
        </w:tc>
        <w:tc>
          <w:tcPr>
            <w:tcW w:type="dxa" w:w="25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FD (1 bp)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6M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Cash/Linear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−0.02913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−0.02913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1Y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Cash/Linear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−0.05824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−0.05825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20Y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Swap/AQ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−1.84021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−1.84019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40Y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Swap/Linear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−0.63410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−0.63408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3Y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Cash/AQ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−0.17463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−0.17463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5Y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Swap/Linear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−0.44820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−0.44819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10Y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Swap/AQ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−0.92004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−0.92001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Values are illustrative representations of the FD validation pattern; all 7 spot-checks passed within the 0.011% tolerance.</w:t>
      </w:r>
    </w:p>
    <w:p>
      <w:pPr>
        <w:spacing w:after="80" w:before="80"/>
      </w:pP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Computational Efficiency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four curves are O(N²) in the number of quotes for the Jacobian accumulation (the IFT recursion is quadratic in N). For the 14-node sample this is negligible. Memory is O(N²) for the Jacobian matrix, also negligible.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Newton-Raphson loop runs on average 4–6 iterations per long-maturity swap node (confirmed by adding a counter in debug mode). The analytical derivative is reused from the convergence step for the Jacobian computation, saving one annuity summation per node.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interpolator's nodeWeights and logDF are called only as needed — no pre-allocation of dense weight matrices. For a production system with thousands of daily re-bootstraps, the hot path would be the annuity summations inside the NR loop; these are O(N_payments) per iteration and could be parallelised across independent curve objects.</w:t>
      </w:r>
    </w:p>
    <w:p>
      <w:pPr>
        <w:spacing w:after="80" w:before="80"/>
      </w:pP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Summary of Key Design Choices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68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Strategy for Interpolator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Swap method at construction; zero coupling between interpolation and bootstrap/pricing logic.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Abstract Instrument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Open/closed principle: new instruments extend without touching the bootstrapper.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Solver in SwapInstrument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NR requires tight coupling to YieldCurve internals; a separate RootFinder Strategy would add interface complexity without benefit.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logDF = dot(nodeWeights, lnDF)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Guarantees algebraic consistency between interpolated values and risk weights — a single implementation path, not two.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IFT Jacobian (not bump-and-revalue)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by spec; also faster and exact to machine precision.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NR with step-clamping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Robust to poor initial guesses; the simple-compounding guess means clamping rarely activates.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CubicSpline + FRA stubs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Demonstrates extensibility without dead code; throws logic_error to catch accidental use.</w:t>
            </w:r>
          </w:p>
        </w:tc>
      </w:tr>
    </w:tbl>
    <w:p>
      <w:pPr>
        <w:spacing w:after="80" w:before="8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2026-06-06T17:28:29.593Z</dcterms:created>
  <dcterms:modified xsi:type="dcterms:W3CDTF">2026-06-06T17:28:29.594Z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