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365D"/>
          <w:sz w:val="48"/>
        </w:rPr>
        <w:t>Evansh Services — System Security Architecture</w:t>
      </w:r>
    </w:p>
    <w:p>
      <w:pPr>
        <w:spacing w:after="400"/>
      </w:pPr>
      <w:r>
        <w:rPr>
          <w:rFonts w:ascii="Calibri" w:hAnsi="Calibri"/>
          <w:color w:val="4A5568"/>
          <w:sz w:val="26"/>
        </w:rPr>
        <w:t>Comprehensive Technical Security Architecture, Threat Mitigation &amp; Hardening Specification</w:t>
      </w:r>
    </w:p>
    <w:p>
      <w:pPr>
        <w:pStyle w:val="Heading1"/>
        <w:spacing w:before="280" w:after="120"/>
      </w:pPr>
      <w:r>
        <w:rPr>
          <w:rFonts w:ascii="Calibri" w:hAnsi="Calibri"/>
          <w:color w:val="1A365D"/>
        </w:rPr>
        <w:t>1. Executive Summary &amp; Purpose</w:t>
      </w:r>
    </w:p>
    <w:p>
      <w:pPr>
        <w:spacing w:after="240"/>
      </w:pPr>
      <w:r>
        <w:rPr>
          <w:rFonts w:ascii="Calibri" w:hAnsi="Calibri"/>
          <w:color w:val="2D3748"/>
          <w:sz w:val="21"/>
        </w:rPr>
        <w:t>This document provides an exhaustive, production-grade review of the security posture, defensive implementations, and threat mitigations deployed across Evansh Services. The platform comprises a Next.js App Router frontend, an Express/BFF (Backend-For-Frontend) orchestration service, a FastAPI microservice pipeline for media processing, Appwrite Cloud backend services, and dedicated Linux host infrastructure.</w:t>
        <w:br/>
        <w:br/>
        <w:t>Every countermeasure detailed herein addresses concrete attack vectors, findings from static code analysis (GitHub CodeQL), OWASP Top 10 vulnerabilities, and security audit checklists.</w:t>
      </w:r>
    </w:p>
    <w:p>
      <w:pPr>
        <w:pStyle w:val="Heading1"/>
        <w:spacing w:before="280" w:after="160"/>
      </w:pPr>
      <w:r>
        <w:rPr>
          <w:rFonts w:ascii="Calibri" w:hAnsi="Calibri"/>
          <w:color w:val="1A365D"/>
        </w:rPr>
        <w:t>2. Threat Mitigation Matrix: What Was Done &amp; How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Threat Category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Risk Description</w:t>
            </w:r>
          </w:p>
        </w:tc>
        <w:tc>
          <w:tcPr>
            <w:tcW w:type="dxa" w:w="244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What Was Done</w:t>
            </w:r>
          </w:p>
        </w:tc>
        <w:tc>
          <w:tcPr>
            <w:tcW w:type="dxa" w:w="288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How It Was Done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7"/>
              </w:rPr>
              <w:t>Authentication &amp; Authorization (RBAC)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Unauthorized access to protected APIs; privilege escalation to administrative controls.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Enforced dual-mode identity verification (Bearer JWT or Appwrite Session Cookie) and strict role-based access control.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Centralized in bff/src/middleware/auth.ts. The requireAuth middleware verifies the JWT or session token directly against Appwrite. The requireAdmin middleware chains requireAuth and ensures the verified account matches the server-configured admin email.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7"/>
              </w:rPr>
              <w:t>Cross-Site Scripting (XSS) &amp; DOM Injection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Malicious URLs (e.g., javascript:, data: URIs with scripts) executed via image rendering in admin screens.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Enforced protocol allowlisting and migrated from unvalidated &lt;img&gt; tags to Next.js isolated &lt;Image&gt; components.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Implemented sanitizeImageUrl() in src/lib/utils.ts, restricting schemes to http:, https:, blob:, or data:image/. Resolved CodeQL Alert #1 ('DOM text reinterpreted as HTML') across Courses and Services admin views.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7"/>
              </w:rPr>
              <w:t>HTML Injection &amp; Email Spoofing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Attacker injecting raw HTML or script tags via user-submitted contact forms rendered in admin notifications or email replies.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Mandatory entity sanitization and character escaping of all untrusted content before generating HTML email templates.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Centralized escapeHtml() in bff/src/lib/html.ts to convert &amp;, &lt;, &gt;, ", and ' into safe HTML entities. Applied across public contact submission and admin direct-reply routes.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7"/>
              </w:rPr>
              <w:t>DDoS &amp; Brute Force Attacks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Endpoint flooding, spam flooding of contact inboxes, compute and resource exhaustion.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Implemented layered window-based rate limiting tailored by route sensitivity.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Configured express-rate-limit in bff/src/middleware/rateLimiter.ts with standard RFC headers: Public API (60 req/min), Admin API (120 req/min), and Contact Submissions (5 req/15 min).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7"/>
              </w:rPr>
              <w:t>Clickjacking, MIME Sniffing &amp; Header Hardening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UI redressing (clickjacking), MIME-type confusion attacks, and unencrypted transport vulnerabilities.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Enforced comprehensive HTTP security headers via Helmet and strict origin policies.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Configured Helmet in bff/src/server.ts: X-Frame-Options: DENY, X-Content-Type-Options: nosniff, HSTS enabled for 1 year with subdomains and preload, and an explicit Permissions-Policy header.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7"/>
              </w:rPr>
              <w:t>Cross-Origin Resource Sharing (CORS) Exploits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Unauthorized third-party web applications executing authenticated requests against backend APIs.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Restricted CORS to explicit environment allowlists with credentials handling.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Enforced in bff/src/server.ts and validated at startup via bff/src/config/env.ts. Wildcard origins are rejected; production halts if ALLOWED_ORIGINS is unspecified.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7"/>
              </w:rPr>
              <w:t>Unvalidated Input &amp; Schema Pollution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Malformed payloads, unexpected data types, and buffer overflow attempts.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Strict schema validation on every inbound request and JSON payload size restrictions.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Used Zod schemas (e.g., contactSchema) validating every attribute format, length, and pattern before reaching business logic. Restricted Express body parser to 10MB.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7"/>
              </w:rPr>
              <w:t>Malicious File Uploads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Executable scripts, reverse shell uploads, and local file storage exhaustion.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In-memory processing, strict size thresholds, and service token isolation.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Configured multer with memoryStorage and a 2MB size limit in bff/src/routes/admin/media.ts. Files are buffered in RAM and forwarded to the FastAPI pipeline via internal X-Service-Token authentication.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7"/>
              </w:rPr>
              <w:t>CI/CD Supply Chain Hijacking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Compromised GitHub Action tags pointing to modified, malicious third-party code.</w:t>
            </w:r>
          </w:p>
        </w:tc>
        <w:tc>
          <w:tcPr>
            <w:tcW w:type="dxa" w:w="244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Locked all external GitHub Actions to immutable full 40-character commit SHA hashes.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Updated .github/workflows/docker-publish.yml, replacing mutable tags with fixed commit SHAs for actions/checkout, docker/login-action, and docker/build-push-action.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7"/>
              </w:rPr>
              <w:t>Host &amp; SSH Infrastructure Compromise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Brute-force SSH guessing, obsolete cryptographic ciphers, and unmonitored root access.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Automated system-level SSH configuration hardening and Fail2Ban jail deployment.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7"/>
              </w:rPr>
              <w:t>Created pipeline/ssh-hardening/harden-ssh.sh and drop-in 99-evansh-hardening.conf: disabled root login, disabled password authentication (public keys only), limited auth tries to 3, and enforced modern ciphers (chacha20-poly1305, aes256-gcm).</w:t>
            </w:r>
          </w:p>
        </w:tc>
      </w:tr>
    </w:tbl>
    <w:p>
      <w:pPr>
        <w:spacing w:after="280"/>
      </w:pPr>
    </w:p>
    <w:p>
      <w:pPr>
        <w:pStyle w:val="Heading1"/>
        <w:spacing w:before="320" w:after="120"/>
      </w:pPr>
      <w:r>
        <w:rPr>
          <w:rFonts w:ascii="Calibri" w:hAnsi="Calibri"/>
          <w:color w:val="1A365D"/>
        </w:rPr>
        <w:t>3. Layer-by-Layer Architectural Security Controls</w:t>
      </w:r>
    </w:p>
    <w:p>
      <w:pPr>
        <w:pStyle w:val="Heading2"/>
        <w:spacing w:before="200" w:after="80"/>
      </w:pPr>
      <w:r>
        <w:rPr>
          <w:rFonts w:ascii="Calibri" w:hAnsi="Calibri"/>
          <w:color w:val="2B6CB0"/>
        </w:rPr>
        <w:t>Layer 1: Frontend (Next.js App Router)</w:t>
      </w:r>
    </w:p>
    <w:p>
      <w:pPr>
        <w:pStyle w:val="ListBullet"/>
        <w:spacing w:after="60"/>
      </w:pPr>
      <w:r>
        <w:rPr>
          <w:rFonts w:ascii="Calibri" w:hAnsi="Calibri"/>
          <w:b/>
          <w:color w:val="1A365D"/>
          <w:sz w:val="19"/>
        </w:rPr>
        <w:t xml:space="preserve">Image Protocol Sanitization: </w:t>
      </w:r>
      <w:r>
        <w:rPr>
          <w:rFonts w:ascii="Calibri" w:hAnsi="Calibri"/>
          <w:color w:val="2D3748"/>
          <w:sz w:val="19"/>
        </w:rPr>
        <w:t>All image URLs supplied to administrative panels pass through sanitizeImageUrl(), guaranteeing that script-bearing URIs cannot execute in the browser DOM.</w:t>
      </w:r>
    </w:p>
    <w:p>
      <w:pPr>
        <w:pStyle w:val="ListBullet"/>
        <w:spacing w:after="60"/>
      </w:pPr>
      <w:r>
        <w:rPr>
          <w:rFonts w:ascii="Calibri" w:hAnsi="Calibri"/>
          <w:b/>
          <w:color w:val="1A365D"/>
          <w:sz w:val="19"/>
        </w:rPr>
        <w:t xml:space="preserve">Client-Side Authentication State: </w:t>
      </w:r>
      <w:r>
        <w:rPr>
          <w:rFonts w:ascii="Calibri" w:hAnsi="Calibri"/>
          <w:color w:val="2D3748"/>
          <w:sz w:val="19"/>
        </w:rPr>
        <w:t>Auth state is coordinated through Appwrite client instances without storing sensitive administrative API keys or database master credentials in browser code.</w:t>
      </w:r>
    </w:p>
    <w:p>
      <w:pPr>
        <w:pStyle w:val="ListBullet"/>
        <w:spacing w:after="60"/>
      </w:pPr>
      <w:r>
        <w:rPr>
          <w:rFonts w:ascii="Calibri" w:hAnsi="Calibri"/>
          <w:b/>
          <w:color w:val="1A365D"/>
          <w:sz w:val="19"/>
        </w:rPr>
        <w:t xml:space="preserve">Fail-Safe Global Error Boundary: </w:t>
      </w:r>
      <w:r>
        <w:rPr>
          <w:rFonts w:ascii="Calibri" w:hAnsi="Calibri"/>
          <w:color w:val="2D3748"/>
          <w:sz w:val="19"/>
        </w:rPr>
        <w:t>Centralized global-error.tsx prevents production stack traces or backend internals from leaking to end users during unexpected exceptions.</w:t>
      </w:r>
    </w:p>
    <w:p>
      <w:pPr>
        <w:pStyle w:val="Heading2"/>
        <w:spacing w:before="200" w:after="80"/>
      </w:pPr>
      <w:r>
        <w:rPr>
          <w:rFonts w:ascii="Calibri" w:hAnsi="Calibri"/>
          <w:color w:val="2B6CB0"/>
        </w:rPr>
        <w:t>Layer 2: BFF &amp; API Gateway (Express)</w:t>
      </w:r>
    </w:p>
    <w:p>
      <w:pPr>
        <w:pStyle w:val="ListBullet"/>
        <w:spacing w:after="60"/>
      </w:pPr>
      <w:r>
        <w:rPr>
          <w:rFonts w:ascii="Calibri" w:hAnsi="Calibri"/>
          <w:b/>
          <w:color w:val="1A365D"/>
          <w:sz w:val="19"/>
        </w:rPr>
        <w:t xml:space="preserve">Zero-Trust Route Guarding: </w:t>
      </w:r>
      <w:r>
        <w:rPr>
          <w:rFonts w:ascii="Calibri" w:hAnsi="Calibri"/>
          <w:color w:val="2D3748"/>
          <w:sz w:val="19"/>
        </w:rPr>
        <w:t>Administrative routes are partitioned under /api/admin/* and protected by requireAdmin middleware, verifying identity against the Appwrite server SDK before execution.</w:t>
      </w:r>
    </w:p>
    <w:p>
      <w:pPr>
        <w:pStyle w:val="ListBullet"/>
        <w:spacing w:after="60"/>
      </w:pPr>
      <w:r>
        <w:rPr>
          <w:rFonts w:ascii="Calibri" w:hAnsi="Calibri"/>
          <w:b/>
          <w:color w:val="1A365D"/>
          <w:sz w:val="19"/>
        </w:rPr>
        <w:t xml:space="preserve">Defense-in-Depth Headers: </w:t>
      </w:r>
      <w:r>
        <w:rPr>
          <w:rFonts w:ascii="Calibri" w:hAnsi="Calibri"/>
          <w:color w:val="2D3748"/>
          <w:sz w:val="19"/>
        </w:rPr>
        <w:t>Helmet applies strict CSP directives, Frameguard (DENY), HSTS with preload, and permissions policy restrictions against camera, microphone, and geolocation.</w:t>
      </w:r>
    </w:p>
    <w:p>
      <w:pPr>
        <w:pStyle w:val="ListBullet"/>
        <w:spacing w:after="60"/>
      </w:pPr>
      <w:r>
        <w:rPr>
          <w:rFonts w:ascii="Calibri" w:hAnsi="Calibri"/>
          <w:b/>
          <w:color w:val="1A365D"/>
          <w:sz w:val="19"/>
        </w:rPr>
        <w:t xml:space="preserve">Config Schema Fail-Fast: </w:t>
      </w:r>
      <w:r>
        <w:rPr>
          <w:rFonts w:ascii="Calibri" w:hAnsi="Calibri"/>
          <w:color w:val="2D3748"/>
          <w:sz w:val="19"/>
        </w:rPr>
        <w:t>BFF startup triggers Zod validation in config/env.ts, preventing the application from running with missing or insecure configuration.</w:t>
      </w:r>
    </w:p>
    <w:p>
      <w:pPr>
        <w:pStyle w:val="Heading2"/>
        <w:spacing w:before="200" w:after="80"/>
      </w:pPr>
      <w:r>
        <w:rPr>
          <w:rFonts w:ascii="Calibri" w:hAnsi="Calibri"/>
          <w:color w:val="2B6CB0"/>
        </w:rPr>
        <w:t>Layer 3: Microservice Pipeline (FastAPI)</w:t>
      </w:r>
    </w:p>
    <w:p>
      <w:pPr>
        <w:pStyle w:val="ListBullet"/>
        <w:spacing w:after="60"/>
      </w:pPr>
      <w:r>
        <w:rPr>
          <w:rFonts w:ascii="Calibri" w:hAnsi="Calibri"/>
          <w:b/>
          <w:color w:val="1A365D"/>
          <w:sz w:val="19"/>
        </w:rPr>
        <w:t xml:space="preserve">Service-to-Service Token Auth: </w:t>
      </w:r>
      <w:r>
        <w:rPr>
          <w:rFonts w:ascii="Calibri" w:hAnsi="Calibri"/>
          <w:color w:val="2D3748"/>
          <w:sz w:val="19"/>
        </w:rPr>
        <w:t>FastAPI endpoints are isolated from direct public routing and require an internal X-Service-Token header for all operations.</w:t>
      </w:r>
    </w:p>
    <w:p>
      <w:pPr>
        <w:pStyle w:val="ListBullet"/>
        <w:spacing w:after="60"/>
      </w:pPr>
      <w:r>
        <w:rPr>
          <w:rFonts w:ascii="Calibri" w:hAnsi="Calibri"/>
          <w:b/>
          <w:color w:val="1A365D"/>
          <w:sz w:val="19"/>
        </w:rPr>
        <w:t xml:space="preserve">Timeout Protection: </w:t>
      </w:r>
      <w:r>
        <w:rPr>
          <w:rFonts w:ascii="Calibri" w:hAnsi="Calibri"/>
          <w:color w:val="2D3748"/>
          <w:sz w:val="19"/>
        </w:rPr>
        <w:t>Upstream requests from the BFF to FastAPI utilize 10-second timeout controllers to guard against hanging connections and resource starvation.</w:t>
      </w:r>
    </w:p>
    <w:p>
      <w:pPr>
        <w:pStyle w:val="Heading2"/>
        <w:spacing w:before="200" w:after="80"/>
      </w:pPr>
      <w:r>
        <w:rPr>
          <w:rFonts w:ascii="Calibri" w:hAnsi="Calibri"/>
          <w:color w:val="2B6CB0"/>
        </w:rPr>
        <w:t>Layer 4: Host &amp; Infrastructure Hardening</w:t>
      </w:r>
    </w:p>
    <w:p>
      <w:pPr>
        <w:pStyle w:val="ListBullet"/>
        <w:spacing w:after="60"/>
      </w:pPr>
      <w:r>
        <w:rPr>
          <w:rFonts w:ascii="Calibri" w:hAnsi="Calibri"/>
          <w:b/>
          <w:color w:val="1A365D"/>
          <w:sz w:val="19"/>
        </w:rPr>
        <w:t xml:space="preserve">OpenSSH Hardening: </w:t>
      </w:r>
      <w:r>
        <w:rPr>
          <w:rFonts w:ascii="Calibri" w:hAnsi="Calibri"/>
          <w:color w:val="2D3748"/>
          <w:sz w:val="19"/>
        </w:rPr>
        <w:t>Standardized drop-in configuration (99-evansh-hardening.conf) enforces key-only authentication, disables root login, and limits auth attempts to 3.</w:t>
      </w:r>
    </w:p>
    <w:p>
      <w:pPr>
        <w:pStyle w:val="ListBullet"/>
        <w:spacing w:after="60"/>
      </w:pPr>
      <w:r>
        <w:rPr>
          <w:rFonts w:ascii="Calibri" w:hAnsi="Calibri"/>
          <w:b/>
          <w:color w:val="1A365D"/>
          <w:sz w:val="19"/>
        </w:rPr>
        <w:t xml:space="preserve">Fail2Ban Integration: </w:t>
      </w:r>
      <w:r>
        <w:rPr>
          <w:rFonts w:ascii="Calibri" w:hAnsi="Calibri"/>
          <w:color w:val="2D3748"/>
          <w:sz w:val="19"/>
        </w:rPr>
        <w:t>Automated monitoring and jail rules ban brute-force offenders attempting SSH or service access.</w:t>
      </w:r>
    </w:p>
    <w:p>
      <w:pPr>
        <w:pStyle w:val="ListBullet"/>
        <w:spacing w:after="60"/>
      </w:pPr>
      <w:r>
        <w:rPr>
          <w:rFonts w:ascii="Calibri" w:hAnsi="Calibri"/>
          <w:b/>
          <w:color w:val="1A365D"/>
          <w:sz w:val="19"/>
        </w:rPr>
        <w:t xml:space="preserve">Supply Chain SHA Pinning: </w:t>
      </w:r>
      <w:r>
        <w:rPr>
          <w:rFonts w:ascii="Calibri" w:hAnsi="Calibri"/>
          <w:color w:val="2D3748"/>
          <w:sz w:val="19"/>
        </w:rPr>
        <w:t>All CI/CD GitHub Actions are locked to immutable commit SHAs, mitigating tag-mutation supply chain attacks.</w:t>
      </w:r>
    </w:p>
    <w:p>
      <w:pPr>
        <w:pStyle w:val="Heading1"/>
        <w:spacing w:before="320" w:after="120"/>
      </w:pPr>
      <w:r>
        <w:rPr>
          <w:rFonts w:ascii="Calibri" w:hAnsi="Calibri"/>
          <w:color w:val="1A365D"/>
        </w:rPr>
        <w:t>4. Verification, Auditing &amp; Operational Protocols</w:t>
      </w:r>
    </w:p>
    <w:p>
      <w:pPr>
        <w:spacing w:after="240"/>
      </w:pPr>
      <w:r>
        <w:rPr>
          <w:rFonts w:ascii="Calibri" w:hAnsi="Calibri"/>
          <w:color w:val="2D3748"/>
          <w:sz w:val="19"/>
        </w:rPr>
        <w:t>To maintain this security posture throughout continuous integration and deployment, the following operational standards are actively enforced:</w:t>
        <w:br/>
        <w:t>• Dependency Auditing: Regular automated runs of npm audit (root and BFF) and pip-audit (pipeline) to detect and resolve upstream vulnerabilities.</w:t>
        <w:br/>
        <w:t>• Static Analysis: Mandatory GitHub CodeQL workflow on all pull requests targeting main to intercept unsafe DOM manipulations and secret leaks.</w:t>
        <w:br/>
        <w:t>• Secret Hygiene: Environment variable isolation preventing commits of .env files and API keys to source control.</w:t>
        <w:br/>
        <w:t>• Server Verification: Dedicated SSH syntax and runtime parameter checks (sshd -t and sshd -T) prior to daemon reloading on target hosts.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