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888888"/>
          <w:sz w:val="28"/>
          <w:szCs w:val="28"/>
          <w:rtl w:val="0"/>
        </w:rPr>
        <w:t xml:space="preserve">FINAL PROJECT REPORT</w:t>
      </w:r>
      <w:r w:rsidDel="00000000" w:rsidR="00000000" w:rsidRPr="00000000">
        <w:rPr>
          <w:rtl w:val="0"/>
        </w:rPr>
      </w:r>
    </w:p>
    <w:p w:rsidR="00000000" w:rsidDel="00000000" w:rsidP="00000000" w:rsidRDefault="00000000" w:rsidRPr="00000000" w14:paraId="00000003">
      <w:pPr>
        <w:pBdr>
          <w:bottom w:color="2e75b6" w:space="6" w:sz="12" w:val="single"/>
        </w:pBdr>
        <w:spacing w:after="160" w:before="0" w:lineRule="auto"/>
        <w:jc w:val="center"/>
        <w:rPr/>
      </w:pPr>
      <w:r w:rsidDel="00000000" w:rsidR="00000000" w:rsidRPr="00000000">
        <w:rPr>
          <w:rFonts w:ascii="Arial" w:cs="Arial" w:eastAsia="Arial" w:hAnsi="Arial"/>
          <w:b w:val="1"/>
          <w:bCs w:val="1"/>
          <w:color w:val="1f4e79"/>
          <w:sz w:val="52"/>
          <w:szCs w:val="52"/>
          <w:rtl w:val="0"/>
        </w:rPr>
        <w:t xml:space="preserve">Loan Default Risk Analysis &amp;</w:t>
      </w:r>
      <w:r w:rsidDel="00000000" w:rsidR="00000000" w:rsidRPr="00000000">
        <w:rPr>
          <w:rtl w:val="0"/>
        </w:rPr>
      </w:r>
    </w:p>
    <w:p w:rsidR="00000000" w:rsidDel="00000000" w:rsidP="00000000" w:rsidRDefault="00000000" w:rsidRPr="00000000" w14:paraId="00000004">
      <w:pPr>
        <w:spacing w:after="240" w:before="80" w:lineRule="auto"/>
        <w:jc w:val="center"/>
        <w:rPr/>
      </w:pPr>
      <w:r w:rsidDel="00000000" w:rsidR="00000000" w:rsidRPr="00000000">
        <w:rPr>
          <w:rFonts w:ascii="Arial" w:cs="Arial" w:eastAsia="Arial" w:hAnsi="Arial"/>
          <w:b w:val="1"/>
          <w:bCs w:val="1"/>
          <w:color w:val="1f4e79"/>
          <w:sz w:val="52"/>
          <w:szCs w:val="52"/>
          <w:rtl w:val="0"/>
        </w:rPr>
        <w:t xml:space="preserve">Applicant Risk Segmentation</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color w:val="555555"/>
          <w:sz w:val="22"/>
          <w:szCs w:val="22"/>
          <w:rtl w:val="0"/>
        </w:rPr>
        <w:t xml:space="preserve">Sector: Banking &amp; Financial Services  |  Group: 17 (Section B)</w:t>
      </w:r>
      <w:r w:rsidDel="00000000" w:rsidR="00000000" w:rsidRPr="00000000">
        <w:rPr>
          <w:rtl w:val="0"/>
        </w:rPr>
      </w:r>
    </w:p>
    <w:p w:rsidR="00000000" w:rsidDel="00000000" w:rsidP="00000000" w:rsidRDefault="00000000" w:rsidRPr="00000000" w14:paraId="00000006">
      <w:pPr>
        <w:spacing w:after="400" w:before="0" w:lineRule="auto"/>
        <w:jc w:val="center"/>
        <w:rPr/>
      </w:pPr>
      <w:r w:rsidDel="00000000" w:rsidR="00000000" w:rsidRPr="00000000">
        <w:rPr>
          <w:rFonts w:ascii="Arial" w:cs="Arial" w:eastAsia="Arial" w:hAnsi="Arial"/>
          <w:color w:val="555555"/>
          <w:sz w:val="22"/>
          <w:szCs w:val="22"/>
          <w:rtl w:val="0"/>
        </w:rPr>
        <w:t xml:space="preserve">Faculty/Institute: Newton School of Technology</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tl w:val="0"/>
        </w:rPr>
      </w:r>
    </w:p>
    <w:tbl>
      <w:tblPr>
        <w:tblStyle w:val="Table1"/>
        <w:tblpPr w:leftFromText="180" w:rightFromText="180" w:topFromText="180" w:bottomFromText="180" w:vertAnchor="text" w:horzAnchor="text" w:tblpX="1410" w:tblpY="1585.2148437500005"/>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tblGridChange w:id="0">
          <w:tblGrid>
            <w:gridCol w:w="3600"/>
            <w:gridCol w:w="360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8">
            <w:pPr>
              <w:jc w:val="center"/>
              <w:rPr/>
            </w:pPr>
            <w:r w:rsidDel="00000000" w:rsidR="00000000" w:rsidRPr="00000000">
              <w:rPr>
                <w:b w:val="1"/>
                <w:bCs w:val="1"/>
                <w:color w:val="ffffff"/>
                <w:sz w:val="20"/>
                <w:szCs w:val="20"/>
                <w:rtl w:val="0"/>
              </w:rPr>
              <w:t xml:space="preserve">Team Member</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9">
            <w:pPr>
              <w:jc w:val="center"/>
              <w:rPr/>
            </w:pPr>
            <w:r w:rsidDel="00000000" w:rsidR="00000000" w:rsidRPr="00000000">
              <w:rPr>
                <w:b w:val="1"/>
                <w:bCs w:val="1"/>
                <w:color w:val="ffffff"/>
                <w:sz w:val="20"/>
                <w:szCs w:val="20"/>
                <w:rtl w:val="0"/>
              </w:rPr>
              <w:t xml:space="preserve">Role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sz w:val="20"/>
                <w:szCs w:val="20"/>
                <w:rtl w:val="0"/>
              </w:rPr>
              <w:t xml:space="preserve">Aditya Mathur</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0"/>
                <w:szCs w:val="20"/>
                <w:rtl w:val="0"/>
              </w:rPr>
              <w:t xml:space="preserve">Project Lead &amp; PPT</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sz w:val="20"/>
                <w:szCs w:val="20"/>
                <w:rtl w:val="0"/>
              </w:rPr>
              <w:t xml:space="preserve">Arhan Alam</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0"/>
                <w:szCs w:val="20"/>
                <w:rtl w:val="0"/>
              </w:rPr>
              <w:t xml:space="preserve">Data Lead</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sz w:val="20"/>
                <w:szCs w:val="20"/>
                <w:rtl w:val="0"/>
              </w:rPr>
              <w:t xml:space="preserve">Krishiv</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0"/>
                <w:szCs w:val="20"/>
                <w:rtl w:val="0"/>
              </w:rPr>
              <w:t xml:space="preserve">Analysis Lead</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sz w:val="20"/>
                <w:szCs w:val="20"/>
                <w:rtl w:val="0"/>
              </w:rPr>
              <w:t xml:space="preserve">Somraj Nandi</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Dashboard Lead</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sz w:val="20"/>
                <w:szCs w:val="20"/>
                <w:rtl w:val="0"/>
              </w:rPr>
              <w:t xml:space="preserve">Divyanshu Singh</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Quality Lead &amp; Report Writer</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Drishti Jha</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Strategy Lead</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 Executive Summary</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This report presents a comprehensive analysis of loan default risk across 14,699 consumer loan applications in the banking and financial services sector. The primary objective was to identify high-risk applicants before loan approval using data-driven financial and demographic indicators.</w:t>
      </w:r>
      <w:r w:rsidDel="00000000" w:rsidR="00000000" w:rsidRPr="00000000">
        <w:rPr>
          <w:rtl w:val="0"/>
        </w:rPr>
      </w:r>
    </w:p>
    <w:p w:rsidR="00000000" w:rsidDel="00000000" w:rsidP="00000000" w:rsidRDefault="00000000" w:rsidRPr="00000000" w14:paraId="00000019">
      <w:pPr>
        <w:spacing w:after="120" w:before="0" w:lineRule="auto"/>
        <w:rPr/>
      </w:pP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analysis pipeline included KPI calculation, pivot table exploration, interactive dashboard design, and a structured risk segmentation framework. Findings consistently highlight credit grade, debt-to-income (DTI) ratio, and annual income as the three most powerful predictors of loan default.</w:t>
      </w:r>
      <w:r w:rsidDel="00000000" w:rsidR="00000000" w:rsidRPr="00000000">
        <w:rPr>
          <w:rtl w:val="0"/>
        </w:rPr>
      </w:r>
    </w:p>
    <w:p w:rsidR="00000000" w:rsidDel="00000000" w:rsidP="00000000" w:rsidRDefault="00000000" w:rsidRPr="00000000" w14:paraId="0000001B">
      <w:pPr>
        <w:spacing w:after="120" w:before="0" w:lineRule="auto"/>
        <w:rPr/>
      </w:pP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Key headline metrics from the dataset are summarized below:</w:t>
      </w:r>
      <w:r w:rsidDel="00000000" w:rsidR="00000000" w:rsidRPr="00000000">
        <w:rPr>
          <w:rtl w:val="0"/>
        </w:rPr>
      </w:r>
    </w:p>
    <w:p w:rsidR="00000000" w:rsidDel="00000000" w:rsidP="00000000" w:rsidRDefault="00000000" w:rsidRPr="00000000" w14:paraId="0000001D">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4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color w:val="444444"/>
                <w:sz w:val="18"/>
                <w:szCs w:val="18"/>
                <w:rtl w:val="0"/>
              </w:rPr>
              <w:t xml:space="preserve">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4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color w:val="444444"/>
                <w:sz w:val="18"/>
                <w:szCs w:val="18"/>
                <w:rtl w:val="0"/>
              </w:rPr>
              <w:t xml:space="preserve">Total Loans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4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color w:val="444444"/>
                <w:sz w:val="18"/>
                <w:szCs w:val="18"/>
                <w:rtl w:val="0"/>
              </w:rPr>
              <w:t xml:space="preserve">Avg Risk Score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4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4e79"/>
                <w:sz w:val="32"/>
                <w:szCs w:val="32"/>
                <w:rtl w:val="0"/>
              </w:rPr>
              <w:t xml:space="preserve">14.88%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4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1f4e79"/>
                <w:sz w:val="32"/>
                <w:szCs w:val="32"/>
                <w:rtl w:val="0"/>
              </w:rPr>
              <w:t xml:space="preserve">14,699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4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f4e79"/>
                <w:sz w:val="32"/>
                <w:szCs w:val="32"/>
                <w:rtl w:val="0"/>
              </w:rPr>
              <w:t xml:space="preserve">9.11</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4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color w:val="444444"/>
                <w:sz w:val="18"/>
                <w:szCs w:val="18"/>
                <w:rtl w:val="0"/>
              </w:rPr>
              <w:t xml:space="preserve">Avg Loan Amount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4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color w:val="444444"/>
                <w:sz w:val="18"/>
                <w:szCs w:val="18"/>
                <w:rtl w:val="0"/>
              </w:rPr>
              <w:t xml:space="preserve">Average DTI</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6e4f0" w:val="clear"/>
            <w:tcMar>
              <w:top w:w="80.0" w:type="dxa"/>
              <w:left w:w="120.0" w:type="dxa"/>
              <w:bottom w:w="4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color w:val="444444"/>
                <w:sz w:val="18"/>
                <w:szCs w:val="18"/>
                <w:rtl w:val="0"/>
              </w:rPr>
              <w:t xml:space="preserve">Average Income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4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1f4e79"/>
                <w:sz w:val="32"/>
                <w:szCs w:val="32"/>
                <w:rtl w:val="0"/>
              </w:rPr>
              <w:t xml:space="preserve">$15,023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4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1f4e79"/>
                <w:sz w:val="32"/>
                <w:szCs w:val="32"/>
                <w:rtl w:val="0"/>
              </w:rPr>
              <w:t xml:space="preserve">18.82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4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1f4e79"/>
                <w:sz w:val="32"/>
                <w:szCs w:val="32"/>
                <w:rtl w:val="0"/>
              </w:rPr>
              <w:t xml:space="preserve">$75,031</w:t>
            </w:r>
            <w:r w:rsidDel="00000000" w:rsidR="00000000" w:rsidRPr="00000000">
              <w:rPr>
                <w:rtl w:val="0"/>
              </w:rPr>
            </w:r>
          </w:p>
        </w:tc>
      </w:tr>
    </w:tbl>
    <w:p w:rsidR="00000000" w:rsidDel="00000000" w:rsidP="00000000" w:rsidRDefault="00000000" w:rsidRPr="00000000" w14:paraId="0000002A">
      <w:pPr>
        <w:spacing w:after="120" w:before="0" w:lineRule="auto"/>
        <w:rPr/>
      </w:pPr>
      <w:r w:rsidDel="00000000" w:rsidR="00000000" w:rsidRPr="00000000">
        <w:rPr>
          <w:rtl w:val="0"/>
        </w:rPr>
      </w:r>
    </w:p>
    <w:p w:rsidR="00000000" w:rsidDel="00000000" w:rsidP="00000000" w:rsidRDefault="00000000" w:rsidRPr="00000000" w14:paraId="0000002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analysis reveals tha\t borrowers in credit grades E–G represent a disproportionate share of total defaults, and that applicants with DTI above 35% exhibit nearly 3× the default rate of those below 20%. These insights underpin a practical Risk Segmentation Model that enables financial institutions to classify applicants into Low, Medium, and High risk tiers — with projected savings of approximately $7.1 million through targeted approval controls.</w:t>
      </w:r>
      <w:r w:rsidDel="00000000" w:rsidR="00000000" w:rsidRPr="00000000">
        <w:rPr>
          <w:rtl w:val="0"/>
        </w:rPr>
      </w:r>
    </w:p>
    <w:p w:rsidR="00000000" w:rsidDel="00000000" w:rsidP="00000000" w:rsidRDefault="00000000" w:rsidRPr="00000000" w14:paraId="0000002C">
      <w:pPr>
        <w:spacing w:after="240" w:before="0" w:lineRule="auto"/>
        <w:rPr/>
      </w:pPr>
      <w:r w:rsidDel="00000000" w:rsidR="00000000" w:rsidRPr="00000000">
        <w:rPr>
          <w:rtl w:val="0"/>
        </w:rPr>
      </w:r>
    </w:p>
    <w:p w:rsidR="00000000" w:rsidDel="00000000" w:rsidP="00000000" w:rsidRDefault="00000000" w:rsidRPr="00000000" w14:paraId="0000002D">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2. Sector &amp; Business Context</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banking and financial services sector operates in a high-stakes environment where every loan approval decision carries direct implications for institutional profitability and financial stability. Despite the availability of rich borrower data — including credit grades, income levels, debt obligations, and loan purpose — many lending institutions still rely on incomplete or insufficiently analytical frameworks to evaluate repayment risk.</w:t>
      </w:r>
      <w:r w:rsidDel="00000000" w:rsidR="00000000" w:rsidRPr="00000000">
        <w:rPr>
          <w:rtl w:val="0"/>
        </w:rPr>
      </w:r>
    </w:p>
    <w:p w:rsidR="00000000" w:rsidDel="00000000" w:rsidP="00000000" w:rsidRDefault="00000000" w:rsidRPr="00000000" w14:paraId="0000002F">
      <w:pPr>
        <w:spacing w:after="120" w:before="0" w:lineRule="auto"/>
        <w:rPr/>
      </w:pPr>
      <w:r w:rsidDel="00000000" w:rsidR="00000000" w:rsidRPr="00000000">
        <w:rPr>
          <w:rtl w:val="0"/>
        </w:rPr>
      </w:r>
    </w:p>
    <w:p w:rsidR="00000000" w:rsidDel="00000000" w:rsidP="00000000" w:rsidRDefault="00000000" w:rsidRPr="00000000" w14:paraId="00000030">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Current Challenges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risk assessment: Loan decisions often rely on limited indicators, leading to inaccurate evaluation of true borrower risk.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 default risk: High debt-to-income ratios and low income levels increase default probability but are not always systematically analyzed.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Inefficient approval policies: The absence of data-driven decisioning systems results in elevated default rates and preventable financial losses.</w:t>
      </w:r>
    </w:p>
    <w:p w:rsidR="00000000" w:rsidDel="00000000" w:rsidP="00000000" w:rsidRDefault="00000000" w:rsidRPr="00000000" w14:paraId="00000034">
      <w:pPr>
        <w:spacing w:after="120" w:before="0" w:lineRule="auto"/>
        <w:rPr/>
      </w:pPr>
      <w:r w:rsidDel="00000000" w:rsidR="00000000" w:rsidRPr="00000000">
        <w:rPr>
          <w:rtl w:val="0"/>
        </w:rPr>
      </w:r>
    </w:p>
    <w:p w:rsidR="00000000" w:rsidDel="00000000" w:rsidP="00000000" w:rsidRDefault="00000000" w:rsidRPr="00000000" w14:paraId="00000035">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This dataset was selected because it represents realistic consumer lending scenarios, providing the financial indicators necessary to identify high-risk applicants and improve approval decisions.</w:t>
      </w:r>
      <w:r w:rsidDel="00000000" w:rsidR="00000000" w:rsidRPr="00000000">
        <w:rPr>
          <w:rtl w:val="0"/>
        </w:rPr>
      </w:r>
    </w:p>
    <w:p w:rsidR="00000000" w:rsidDel="00000000" w:rsidP="00000000" w:rsidRDefault="00000000" w:rsidRPr="00000000" w14:paraId="00000036">
      <w:pPr>
        <w:spacing w:after="240" w:before="0" w:lineRule="auto"/>
        <w:rPr/>
      </w:pPr>
      <w:r w:rsidDel="00000000" w:rsidR="00000000" w:rsidRPr="00000000">
        <w:rPr>
          <w:rtl w:val="0"/>
        </w:rPr>
      </w:r>
    </w:p>
    <w:p w:rsidR="00000000" w:rsidDel="00000000" w:rsidP="00000000" w:rsidRDefault="00000000" w:rsidRPr="00000000" w14:paraId="00000037">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3. Problem Statement &amp; Objectives</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Unstructured loan approval processes frequently lead to increased default rates and significant financial losses. This project transforms broad risk concerns into measurable analytical objectives to enable genuinely data-driven lending decisions.</w:t>
      </w:r>
      <w:r w:rsidDel="00000000" w:rsidR="00000000" w:rsidRPr="00000000">
        <w:rPr>
          <w:rtl w:val="0"/>
        </w:rPr>
      </w:r>
    </w:p>
    <w:p w:rsidR="00000000" w:rsidDel="00000000" w:rsidP="00000000" w:rsidRDefault="00000000" w:rsidRPr="00000000" w14:paraId="00000039">
      <w:pPr>
        <w:spacing w:after="120" w:before="0" w:lineRule="auto"/>
        <w:rPr/>
      </w:pPr>
      <w:r w:rsidDel="00000000" w:rsidR="00000000" w:rsidRPr="00000000">
        <w:rPr>
          <w:rtl w:val="0"/>
        </w:rPr>
      </w:r>
    </w:p>
    <w:p w:rsidR="00000000" w:rsidDel="00000000" w:rsidP="00000000" w:rsidRDefault="00000000" w:rsidRPr="00000000" w14:paraId="0000003A">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Formal Problem Definition</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How do credit grade, income level, debt-to-income ratio, and related financial stability indicators influence loan default risk — and which borrower segments contribute most to overall portfolio default rates?</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tl w:val="0"/>
        </w:rPr>
      </w:r>
    </w:p>
    <w:p w:rsidR="00000000" w:rsidDel="00000000" w:rsidP="00000000" w:rsidRDefault="00000000" w:rsidRPr="00000000" w14:paraId="0000003D">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Project Scope &amp; Success Criteria</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scope covers the complete analysis of 14,699 loan applications. Success is defined by the following outcomes: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Identification: Accurate classification of borrowers into Low, Medium, and High risk tiers.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Risk Analysis: Clear identification of the primary factors driving loan defaults.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Support: A functional KPI dashboard for monitoring default trends and borrower risk profiles.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Actionability: Concrete, data-backed recommendations to improve loan approval policies and reduce financial exposure.</w:t>
      </w:r>
    </w:p>
    <w:p w:rsidR="00000000" w:rsidDel="00000000" w:rsidP="00000000" w:rsidRDefault="00000000" w:rsidRPr="00000000" w14:paraId="00000043">
      <w:pPr>
        <w:spacing w:after="240" w:before="0" w:lineRule="auto"/>
        <w:rPr/>
      </w:pPr>
      <w:r w:rsidDel="00000000" w:rsidR="00000000" w:rsidRPr="00000000">
        <w:rPr>
          <w:rtl w:val="0"/>
        </w:rPr>
      </w:r>
    </w:p>
    <w:p w:rsidR="00000000" w:rsidDel="00000000" w:rsidP="00000000" w:rsidRDefault="00000000" w:rsidRPr="00000000" w14:paraId="00000044">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4. Data Description</w:t>
      </w:r>
      <w:r w:rsidDel="00000000" w:rsidR="00000000" w:rsidRPr="00000000">
        <w:rPr>
          <w:rtl w:val="0"/>
        </w:rPr>
      </w:r>
    </w:p>
    <w:p w:rsidR="00000000" w:rsidDel="00000000" w:rsidP="00000000" w:rsidRDefault="00000000" w:rsidRPr="00000000" w14:paraId="00000045">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Dataset Overview</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Consumer lending dataset (Finance | Consumer Lending)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Records: 14,699 loan applications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Columns: 8 primary financial and demographic variables</w:t>
      </w:r>
    </w:p>
    <w:p w:rsidR="00000000" w:rsidDel="00000000" w:rsidP="00000000" w:rsidRDefault="00000000" w:rsidRPr="00000000" w14:paraId="00000049">
      <w:pPr>
        <w:spacing w:after="120" w:before="0" w:lineRule="auto"/>
        <w:rPr/>
      </w:pPr>
      <w:r w:rsidDel="00000000" w:rsidR="00000000" w:rsidRPr="00000000">
        <w:rPr>
          <w:rtl w:val="0"/>
        </w:rPr>
      </w:r>
    </w:p>
    <w:p w:rsidR="00000000" w:rsidDel="00000000" w:rsidP="00000000" w:rsidRDefault="00000000" w:rsidRPr="00000000" w14:paraId="0000004A">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Data Dictionary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000000"/>
                <w:sz w:val="20"/>
                <w:szCs w:val="20"/>
                <w:rtl w:val="0"/>
              </w:rPr>
              <w:t xml:space="preserve">loanID</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Integer</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20"/>
                <w:szCs w:val="20"/>
                <w:rtl w:val="0"/>
              </w:rPr>
              <w:t xml:space="preserve">Unique numeric identifier for each loan application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000000"/>
                <w:sz w:val="20"/>
                <w:szCs w:val="20"/>
                <w:rtl w:val="0"/>
              </w:rPr>
              <w:t xml:space="preserve">amount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20"/>
                <w:szCs w:val="20"/>
                <w:rtl w:val="0"/>
              </w:rPr>
              <w:t xml:space="preserve">Currency ($)</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Total loan amount requested by the borrower</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000000"/>
                <w:sz w:val="20"/>
                <w:szCs w:val="20"/>
                <w:rtl w:val="0"/>
              </w:rPr>
              <w:t xml:space="preserve">grade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Categorical (A–G)</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0"/>
                <w:szCs w:val="20"/>
                <w:rtl w:val="0"/>
              </w:rPr>
              <w:t xml:space="preserve">Credit grade indicating creditworthiness and default risk</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000000"/>
                <w:sz w:val="20"/>
                <w:szCs w:val="20"/>
                <w:rtl w:val="0"/>
              </w:rPr>
              <w:t xml:space="preserve">income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Currency ($)</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Annual borrower income; proxy for repayment capacity</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000000"/>
                <w:sz w:val="20"/>
                <w:szCs w:val="20"/>
                <w:rtl w:val="0"/>
              </w:rPr>
              <w:t xml:space="preserve">debtIncRat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0"/>
                <w:szCs w:val="20"/>
                <w:rtl w:val="0"/>
              </w:rPr>
              <w:t xml:space="preserve">Percentage (%)</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20"/>
                <w:szCs w:val="20"/>
                <w:rtl w:val="0"/>
              </w:rPr>
              <w:t xml:space="preserve">Debt-to-Income ratio; higher values indicate greater financial burden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000000"/>
                <w:sz w:val="20"/>
                <w:szCs w:val="20"/>
                <w:rtl w:val="0"/>
              </w:rPr>
              <w:t xml:space="preserve">home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20"/>
                <w:szCs w:val="20"/>
                <w:rtl w:val="0"/>
              </w:rPr>
              <w:t xml:space="preserve">Categorical</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0"/>
                <w:szCs w:val="20"/>
                <w:rtl w:val="0"/>
              </w:rPr>
              <w:t xml:space="preserve">Home ownership status: RENT, OWN, or MORTGAGE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000000"/>
                <w:sz w:val="20"/>
                <w:szCs w:val="20"/>
                <w:rtl w:val="0"/>
              </w:rPr>
              <w:t xml:space="preserve">reason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20"/>
                <w:szCs w:val="20"/>
                <w:rtl w:val="0"/>
              </w:rPr>
              <w:t xml:space="preserve">Categorical</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20"/>
                <w:szCs w:val="20"/>
                <w:rtl w:val="0"/>
              </w:rPr>
              <w:t xml:space="preserve">Purpose of loan (e.g., debt consolidation, credit card, car)</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000000"/>
                <w:sz w:val="20"/>
                <w:szCs w:val="20"/>
                <w:rtl w:val="0"/>
              </w:rPr>
              <w:t xml:space="preserve">status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Categorical</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0"/>
                <w:szCs w:val="20"/>
                <w:rtl w:val="0"/>
              </w:rPr>
              <w:t xml:space="preserve">Final loan outcome: Fully Paid, Charged Off, or Current</w:t>
            </w:r>
            <w:r w:rsidDel="00000000" w:rsidR="00000000" w:rsidRPr="00000000">
              <w:rPr>
                <w:rtl w:val="0"/>
              </w:rPr>
            </w:r>
          </w:p>
        </w:tc>
      </w:tr>
    </w:tbl>
    <w:p w:rsidR="00000000" w:rsidDel="00000000" w:rsidP="00000000" w:rsidRDefault="00000000" w:rsidRPr="00000000" w14:paraId="00000066">
      <w:pPr>
        <w:spacing w:after="120" w:before="0" w:lineRule="auto"/>
        <w:rPr/>
      </w:pP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Beyond these core fields, derived variables were engineered during the cleaning process, including Default_Flag, DTI_Risk_Category, Income_Bracket, Loan_Size_Category, Risk_Score, and Overall_Risk_Category. These engineered features power the risk segmentation model described in Section 8.</w:t>
      </w:r>
      <w:r w:rsidDel="00000000" w:rsidR="00000000" w:rsidRPr="00000000">
        <w:rPr>
          <w:rtl w:val="0"/>
        </w:rPr>
      </w:r>
    </w:p>
    <w:p w:rsidR="00000000" w:rsidDel="00000000" w:rsidP="00000000" w:rsidRDefault="00000000" w:rsidRPr="00000000" w14:paraId="00000068">
      <w:pPr>
        <w:spacing w:after="240" w:before="0" w:lineRule="auto"/>
        <w:rPr/>
      </w:pPr>
      <w:r w:rsidDel="00000000" w:rsidR="00000000" w:rsidRPr="00000000">
        <w:rPr/>
        <w:drawing>
          <wp:inline distB="114300" distT="114300" distL="114300" distR="114300">
            <wp:extent cx="6400800" cy="4241800"/>
            <wp:effectExtent b="12700" l="12700" r="12700" t="1270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00800" cy="424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5. Data Cleaning &amp; Preparation</w:t>
      </w: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Data cleaning is a foundational step in ensuring analytical accuracy. All primary cleaning and transformation steps were performed in Google Sheets using the following methodology:</w:t>
      </w:r>
      <w:r w:rsidDel="00000000" w:rsidR="00000000" w:rsidRPr="00000000">
        <w:rPr>
          <w:rtl w:val="0"/>
        </w:rPr>
      </w:r>
    </w:p>
    <w:p w:rsidR="00000000" w:rsidDel="00000000" w:rsidP="00000000" w:rsidRDefault="00000000" w:rsidRPr="00000000" w14:paraId="0000006B">
      <w:pPr>
        <w:spacing w:after="120" w:before="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 Handling: Checked for null or incomplete entries across income, debt-to-income ratio, and status fields. All records were validated prior to analysis.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Numeric Validation: Verified that loan amount, income, and DTI values were positive and within logical ranges to prevent skewed analytical outputs.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Categorical Standardization: Standardized credit grade labels (A–G), home ownership categories (RENT, OWN, MORTGAGE), and loan status values to ensure pivot table consistency.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Engineering: Created a Default_Flag binary column (1 = Charged Off, 0 = otherwise) and an Overall_Risk_Category column classifying borrowers as Low, Medium, or High risk based on grade, DTI, and income thresholds.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Assumption: All loan records are assumed to reflect valid borrower applications and accurately represent real-world consumer lending scenarios.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r>
    </w:p>
    <w:p w:rsidR="00000000" w:rsidDel="00000000" w:rsidP="00000000" w:rsidRDefault="00000000" w:rsidRPr="00000000" w14:paraId="00000072">
      <w:pPr>
        <w:spacing w:after="240" w:before="0" w:lineRule="auto"/>
        <w:rPr/>
      </w:pPr>
      <w:r w:rsidDel="00000000" w:rsidR="00000000" w:rsidRPr="00000000">
        <w:rPr/>
        <w:drawing>
          <wp:inline distB="114300" distT="114300" distL="114300" distR="114300">
            <wp:extent cx="6400800" cy="4241800"/>
            <wp:effectExtent b="12700" l="12700" r="12700" t="127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00800" cy="42418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6400800" cy="2603500"/>
            <wp:effectExtent b="12700" l="12700" r="12700" t="127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00800" cy="260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6. KPI &amp; Metric Framework</w:t>
      </w:r>
      <w:r w:rsidDel="00000000" w:rsidR="00000000" w:rsidRPr="00000000">
        <w:rPr>
          <w:rtl w:val="0"/>
        </w:rPr>
      </w:r>
    </w:p>
    <w:p w:rsidR="00000000" w:rsidDel="00000000" w:rsidP="00000000" w:rsidRDefault="00000000" w:rsidRPr="00000000" w14:paraId="0000007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following key performance indicators were calculated to provide an executive-level view of portfolio health and borrower risk distribution:</w:t>
      </w:r>
      <w:r w:rsidDel="00000000" w:rsidR="00000000" w:rsidRPr="00000000">
        <w:rPr>
          <w:rtl w:val="0"/>
        </w:rPr>
      </w:r>
    </w:p>
    <w:p w:rsidR="00000000" w:rsidDel="00000000" w:rsidP="00000000" w:rsidRDefault="00000000" w:rsidRPr="00000000" w14:paraId="00000075">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KPI</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Business Significance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000000"/>
                <w:sz w:val="20"/>
                <w:szCs w:val="20"/>
                <w:rtl w:val="0"/>
              </w:rPr>
              <w:t xml:space="preserve">Overall 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0"/>
                <w:bCs w:val="0"/>
                <w:color w:val="000000"/>
                <w:sz w:val="20"/>
                <w:szCs w:val="20"/>
                <w:rtl w:val="0"/>
              </w:rPr>
              <w:t xml:space="preserve">14.88%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20"/>
                <w:szCs w:val="20"/>
                <w:rtl w:val="0"/>
              </w:rPr>
              <w:t xml:space="preserve">Benchmark for portfolio risk; 1 in 7 loans defaults</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000000"/>
                <w:sz w:val="20"/>
                <w:szCs w:val="20"/>
                <w:rtl w:val="0"/>
              </w:rPr>
              <w:t xml:space="preserve">Total Loans Analyzed</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000000"/>
                <w:sz w:val="20"/>
                <w:szCs w:val="20"/>
                <w:rtl w:val="0"/>
              </w:rPr>
              <w:t xml:space="preserve">14,699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20"/>
                <w:szCs w:val="20"/>
                <w:rtl w:val="0"/>
              </w:rPr>
              <w:t xml:space="preserve">Statistically significant sample size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000000"/>
                <w:sz w:val="20"/>
                <w:szCs w:val="20"/>
                <w:rtl w:val="0"/>
              </w:rPr>
              <w:t xml:space="preserve">Average Loan Amount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000000"/>
                <w:sz w:val="20"/>
                <w:szCs w:val="20"/>
                <w:rtl w:val="0"/>
              </w:rPr>
              <w:t xml:space="preserve">$15,023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20"/>
                <w:szCs w:val="20"/>
                <w:rtl w:val="0"/>
              </w:rPr>
              <w:t xml:space="preserve">Average financial exposure per loan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000000"/>
                <w:sz w:val="20"/>
                <w:szCs w:val="20"/>
                <w:rtl w:val="0"/>
              </w:rPr>
              <w:t xml:space="preserve">Average DTI</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000000"/>
                <w:sz w:val="20"/>
                <w:szCs w:val="20"/>
                <w:rtl w:val="0"/>
              </w:rPr>
              <w:t xml:space="preserve">18.82%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0"/>
                <w:szCs w:val="20"/>
                <w:rtl w:val="0"/>
              </w:rPr>
              <w:t xml:space="preserve">Overall debt burden is moderate; spikes among defaulters</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000000"/>
                <w:sz w:val="20"/>
                <w:szCs w:val="20"/>
                <w:rtl w:val="0"/>
              </w:rPr>
              <w:t xml:space="preserve">Average Annual Income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0"/>
                <w:bCs w:val="0"/>
                <w:color w:val="000000"/>
                <w:sz w:val="20"/>
                <w:szCs w:val="20"/>
                <w:rtl w:val="0"/>
              </w:rPr>
              <w:t xml:space="preserve">$75,031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Repayment capacity baseline for segmentation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000000"/>
                <w:sz w:val="20"/>
                <w:szCs w:val="20"/>
                <w:rtl w:val="0"/>
              </w:rPr>
              <w:t xml:space="preserve">High Risk Applicant Share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0"/>
                <w:bCs w:val="0"/>
                <w:color w:val="000000"/>
                <w:sz w:val="20"/>
                <w:szCs w:val="20"/>
                <w:rtl w:val="0"/>
              </w:rPr>
              <w:t xml:space="preserve">~22%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0"/>
                <w:szCs w:val="20"/>
                <w:rtl w:val="0"/>
              </w:rPr>
              <w:t xml:space="preserve">Contribute &gt;50% of total defaults</w:t>
            </w:r>
            <w:r w:rsidDel="00000000" w:rsidR="00000000" w:rsidRPr="00000000">
              <w:rPr>
                <w:rtl w:val="0"/>
              </w:rPr>
            </w:r>
          </w:p>
        </w:tc>
      </w:tr>
    </w:tbl>
    <w:p w:rsidR="00000000" w:rsidDel="00000000" w:rsidP="00000000" w:rsidRDefault="00000000" w:rsidRPr="00000000" w14:paraId="0000008B">
      <w:pPr>
        <w:spacing w:after="240" w:before="0" w:lineRule="auto"/>
        <w:rPr/>
      </w:pPr>
      <w:r w:rsidDel="00000000" w:rsidR="00000000" w:rsidRPr="00000000">
        <w:rPr>
          <w:rtl w:val="0"/>
        </w:rPr>
      </w:r>
    </w:p>
    <w:p w:rsidR="00000000" w:rsidDel="00000000" w:rsidP="00000000" w:rsidRDefault="00000000" w:rsidRPr="00000000" w14:paraId="0000008C">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7. Exploratory Data Analysis (EDA)</w:t>
      </w:r>
      <w:r w:rsidDel="00000000" w:rsidR="00000000" w:rsidRPr="00000000">
        <w:rPr>
          <w:rtl w:val="0"/>
        </w:rPr>
      </w:r>
    </w:p>
    <w:p w:rsidR="00000000" w:rsidDel="00000000" w:rsidP="00000000" w:rsidRDefault="00000000" w:rsidRPr="00000000" w14:paraId="0000008D">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EDA was conducted across four primary dimensions: credit grade, loan purpose, home ownership, and income bracket. Key trends and distributions are documented below.</w:t>
      </w:r>
      <w:r w:rsidDel="00000000" w:rsidR="00000000" w:rsidRPr="00000000">
        <w:rPr>
          <w:rtl w:val="0"/>
        </w:rPr>
      </w:r>
    </w:p>
    <w:p w:rsidR="00000000" w:rsidDel="00000000" w:rsidP="00000000" w:rsidRDefault="00000000" w:rsidRPr="00000000" w14:paraId="0000008E">
      <w:pPr>
        <w:spacing w:after="120" w:before="0" w:lineRule="auto"/>
        <w:rPr/>
      </w:pPr>
      <w:r w:rsidDel="00000000" w:rsidR="00000000" w:rsidRPr="00000000">
        <w:rPr>
          <w:rtl w:val="0"/>
        </w:rPr>
      </w:r>
    </w:p>
    <w:p w:rsidR="00000000" w:rsidDel="00000000" w:rsidP="00000000" w:rsidRDefault="00000000" w:rsidRPr="00000000" w14:paraId="0000008F">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7.1 Default Rate by Credit Grade</w:t>
      </w:r>
      <w:r w:rsidDel="00000000" w:rsidR="00000000" w:rsidRPr="00000000">
        <w:rPr>
          <w:rtl w:val="0"/>
        </w:rPr>
      </w:r>
    </w:p>
    <w:p w:rsidR="00000000" w:rsidDel="00000000" w:rsidP="00000000" w:rsidRDefault="00000000" w:rsidRPr="00000000" w14:paraId="00000090">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Credit grade is the single strongest predictor of loan default. The table below shows a near-linear escalation in default rates from Grade A to Grade G:</w:t>
      </w:r>
      <w:r w:rsidDel="00000000" w:rsidR="00000000" w:rsidRPr="00000000">
        <w:rPr>
          <w:rtl w:val="0"/>
        </w:rPr>
      </w:r>
    </w:p>
    <w:p w:rsidR="00000000" w:rsidDel="00000000" w:rsidP="00000000" w:rsidRDefault="00000000" w:rsidRPr="00000000" w14:paraId="00000091">
      <w:pPr>
        <w:spacing w:after="120" w:before="0" w:lineRule="auto"/>
        <w:rPr/>
      </w:pPr>
      <w:r w:rsidDel="00000000" w:rsidR="00000000" w:rsidRPr="00000000">
        <w:rPr>
          <w:rtl w:val="0"/>
        </w:rPr>
      </w:r>
    </w:p>
    <w:tbl>
      <w:tblPr>
        <w:tblStyle w:val="Table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2400"/>
        <w:gridCol w:w="2600"/>
        <w:tblGridChange w:id="0">
          <w:tblGrid>
            <w:gridCol w:w="1560"/>
            <w:gridCol w:w="2400"/>
            <w:gridCol w:w="2400"/>
            <w:gridCol w:w="260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Grade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Total Loans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0"/>
                <w:szCs w:val="20"/>
                <w:rtl w:val="0"/>
              </w:rPr>
              <w:t xml:space="preserve">Defaults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0"/>
                <w:szCs w:val="20"/>
                <w:rtl w:val="0"/>
              </w:rPr>
              <w:t xml:space="preserve">Default Rate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0"/>
                <w:szCs w:val="20"/>
                <w:rtl w:val="0"/>
              </w:rPr>
              <w:t xml:space="preserve">A</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00000"/>
                <w:sz w:val="20"/>
                <w:szCs w:val="20"/>
                <w:rtl w:val="0"/>
              </w:rPr>
              <w:t xml:space="preserve">2,403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000000"/>
                <w:sz w:val="20"/>
                <w:szCs w:val="20"/>
                <w:rtl w:val="0"/>
              </w:rPr>
              <w:t xml:space="preserve">102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000000"/>
                <w:sz w:val="20"/>
                <w:szCs w:val="20"/>
                <w:rtl w:val="0"/>
              </w:rPr>
              <w:t xml:space="preserve">4.24%</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20"/>
                <w:szCs w:val="20"/>
                <w:rtl w:val="0"/>
              </w:rPr>
              <w:t xml:space="preserve">B</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000000"/>
                <w:sz w:val="20"/>
                <w:szCs w:val="20"/>
                <w:rtl w:val="0"/>
              </w:rPr>
              <w:t xml:space="preserve">4,066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00000"/>
                <w:sz w:val="20"/>
                <w:szCs w:val="20"/>
                <w:rtl w:val="0"/>
              </w:rPr>
              <w:t xml:space="preserve">376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000000"/>
                <w:sz w:val="20"/>
                <w:szCs w:val="20"/>
                <w:rtl w:val="0"/>
              </w:rPr>
              <w:t xml:space="preserve">9.25%</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000000"/>
                <w:sz w:val="20"/>
                <w:szCs w:val="20"/>
                <w:rtl w:val="0"/>
              </w:rPr>
              <w:t xml:space="preserve">4,171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00000"/>
                <w:sz w:val="20"/>
                <w:szCs w:val="20"/>
                <w:rtl w:val="0"/>
              </w:rPr>
              <w:t xml:space="preserve">678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000000"/>
                <w:sz w:val="20"/>
                <w:szCs w:val="20"/>
                <w:rtl w:val="0"/>
              </w:rPr>
              <w:t xml:space="preserve">16.26%</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20"/>
                <w:szCs w:val="20"/>
                <w:rtl w:val="0"/>
              </w:rPr>
              <w:t xml:space="preserve">D</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000000"/>
                <w:sz w:val="20"/>
                <w:szCs w:val="20"/>
                <w:rtl w:val="0"/>
              </w:rPr>
              <w:t xml:space="preserve">2,382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000000"/>
                <w:sz w:val="20"/>
                <w:szCs w:val="20"/>
                <w:rtl w:val="0"/>
              </w:rPr>
              <w:t xml:space="preserve">545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000000"/>
                <w:sz w:val="20"/>
                <w:szCs w:val="20"/>
                <w:rtl w:val="0"/>
              </w:rPr>
              <w:t xml:space="preserve">22.88%</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20"/>
                <w:szCs w:val="20"/>
                <w:rtl w:val="0"/>
              </w:rPr>
              <w:t xml:space="preserve">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000000"/>
                <w:sz w:val="20"/>
                <w:szCs w:val="20"/>
                <w:rtl w:val="0"/>
              </w:rPr>
              <w:t xml:space="preserve">1,243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000000"/>
                <w:sz w:val="20"/>
                <w:szCs w:val="20"/>
                <w:rtl w:val="0"/>
              </w:rPr>
              <w:t xml:space="preserve">336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000000"/>
                <w:sz w:val="20"/>
                <w:szCs w:val="20"/>
                <w:rtl w:val="0"/>
              </w:rPr>
              <w:t xml:space="preserve">27.03%</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0"/>
                <w:szCs w:val="20"/>
                <w:rtl w:val="0"/>
              </w:rPr>
              <w:t xml:space="preserve">F</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000000"/>
                <w:sz w:val="20"/>
                <w:szCs w:val="20"/>
                <w:rtl w:val="0"/>
              </w:rPr>
              <w:t xml:space="preserve">352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000000"/>
                <w:sz w:val="20"/>
                <w:szCs w:val="20"/>
                <w:rtl w:val="0"/>
              </w:rPr>
              <w:t xml:space="preserve">116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000000"/>
                <w:sz w:val="20"/>
                <w:szCs w:val="20"/>
                <w:rtl w:val="0"/>
              </w:rPr>
              <w:t xml:space="preserve">32.67%</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000000"/>
                <w:sz w:val="20"/>
                <w:szCs w:val="20"/>
                <w:rtl w:val="0"/>
              </w:rPr>
              <w:t xml:space="preserve">G</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000000"/>
                <w:sz w:val="20"/>
                <w:szCs w:val="20"/>
                <w:rtl w:val="0"/>
              </w:rPr>
              <w:t xml:space="preserve">82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000000"/>
                <w:sz w:val="20"/>
                <w:szCs w:val="20"/>
                <w:rtl w:val="0"/>
              </w:rPr>
              <w:t xml:space="preserve">35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000000"/>
                <w:sz w:val="20"/>
                <w:szCs w:val="20"/>
                <w:rtl w:val="0"/>
              </w:rPr>
              <w:t xml:space="preserve">42.68%</w:t>
            </w:r>
            <w:r w:rsidDel="00000000" w:rsidR="00000000" w:rsidRPr="00000000">
              <w:rPr>
                <w:rtl w:val="0"/>
              </w:rPr>
            </w:r>
          </w:p>
        </w:tc>
      </w:tr>
    </w:tbl>
    <w:p w:rsidR="00000000" w:rsidDel="00000000" w:rsidP="00000000" w:rsidRDefault="00000000" w:rsidRPr="00000000" w14:paraId="000000B2">
      <w:pPr>
        <w:spacing w:after="120" w:before="0" w:lineRule="auto"/>
        <w:rPr/>
      </w:pP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Grades E through G — while representing only 11.4% of all borrowers — contribute a disproportionate share of total defaults. Grade G borrowers default at a rate 10× higher than Grade A borrowers, making this metric the most decisive input for the risk segmentation model.</w:t>
      </w:r>
      <w:r w:rsidDel="00000000" w:rsidR="00000000" w:rsidRPr="00000000">
        <w:rPr>
          <w:rtl w:val="0"/>
        </w:rPr>
      </w:r>
    </w:p>
    <w:p w:rsidR="00000000" w:rsidDel="00000000" w:rsidP="00000000" w:rsidRDefault="00000000" w:rsidRPr="00000000" w14:paraId="000000B4">
      <w:pPr>
        <w:spacing w:after="120" w:before="0" w:lineRule="auto"/>
        <w:rPr/>
      </w:pPr>
      <w:r w:rsidDel="00000000" w:rsidR="00000000" w:rsidRPr="00000000">
        <w:rPr>
          <w:rtl w:val="0"/>
        </w:rPr>
      </w:r>
    </w:p>
    <w:p w:rsidR="00000000" w:rsidDel="00000000" w:rsidP="00000000" w:rsidRDefault="00000000" w:rsidRPr="00000000" w14:paraId="000000B5">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7.2 Default Rate by Loan Purpose</w:t>
      </w:r>
      <w:r w:rsidDel="00000000" w:rsidR="00000000" w:rsidRPr="00000000">
        <w:rPr>
          <w:rtl w:val="0"/>
        </w:rPr>
      </w:r>
    </w:p>
    <w:p w:rsidR="00000000" w:rsidDel="00000000" w:rsidP="00000000" w:rsidRDefault="00000000" w:rsidRPr="00000000" w14:paraId="000000B6">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Loan purpose reveals behavioral risk patterns that complement credit grade scoring:</w:t>
      </w:r>
      <w:r w:rsidDel="00000000" w:rsidR="00000000" w:rsidRPr="00000000">
        <w:rPr>
          <w:rtl w:val="0"/>
        </w:rPr>
      </w:r>
    </w:p>
    <w:p w:rsidR="00000000" w:rsidDel="00000000" w:rsidP="00000000" w:rsidRDefault="00000000" w:rsidRPr="00000000" w14:paraId="000000B7">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360"/>
        <w:tblGridChange w:id="0">
          <w:tblGrid>
            <w:gridCol w:w="3000"/>
            <w:gridCol w:w="2000"/>
            <w:gridCol w:w="2000"/>
            <w:gridCol w:w="236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20"/>
                <w:szCs w:val="20"/>
                <w:rtl w:val="0"/>
              </w:rPr>
              <w:t xml:space="preserve">Loan Purpose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0"/>
                <w:szCs w:val="20"/>
                <w:rtl w:val="0"/>
              </w:rPr>
              <w:t xml:space="preserve">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0"/>
                <w:szCs w:val="20"/>
                <w:rtl w:val="0"/>
              </w:rPr>
              <w:t xml:space="preserve">Risk Level</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0"/>
                <w:szCs w:val="20"/>
                <w:rtl w:val="0"/>
              </w:rPr>
              <w:t xml:space="preserve">small_business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000000"/>
                <w:sz w:val="20"/>
                <w:szCs w:val="20"/>
                <w:rtl w:val="0"/>
              </w:rPr>
              <w:t xml:space="preserve">674 / 124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000000"/>
                <w:sz w:val="20"/>
                <w:szCs w:val="20"/>
                <w:rtl w:val="0"/>
              </w:rPr>
              <w:t xml:space="preserve">23.39% / 12.10%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000000"/>
                <w:sz w:val="20"/>
                <w:szCs w:val="20"/>
                <w:rtl w:val="0"/>
              </w:rPr>
              <w:t xml:space="preserve">Highest / Lowest</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0"/>
                <w:szCs w:val="20"/>
                <w:rtl w:val="0"/>
              </w:rPr>
              <w:t xml:space="preserve">medical</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000000"/>
                <w:sz w:val="20"/>
                <w:szCs w:val="20"/>
                <w:rtl w:val="0"/>
              </w:rPr>
              <w:t xml:space="preserve">46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0"/>
                <w:bCs w:val="0"/>
                <w:color w:val="000000"/>
                <w:sz w:val="20"/>
                <w:szCs w:val="20"/>
                <w:rtl w:val="0"/>
              </w:rPr>
              <w:t xml:space="preserve">17.39%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000000"/>
                <w:sz w:val="20"/>
                <w:szCs w:val="20"/>
                <w:rtl w:val="0"/>
              </w:rPr>
              <w:t xml:space="preserve">Above Average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0"/>
                <w:szCs w:val="20"/>
                <w:rtl w:val="0"/>
              </w:rPr>
              <w:t xml:space="preserve">debt_consolidation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000000"/>
                <w:sz w:val="20"/>
                <w:szCs w:val="20"/>
                <w:rtl w:val="0"/>
              </w:rPr>
              <w:t xml:space="preserve">8,756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000000"/>
                <w:sz w:val="20"/>
                <w:szCs w:val="20"/>
                <w:rtl w:val="0"/>
              </w:rPr>
              <w:t xml:space="preserve">15.63%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000000"/>
                <w:sz w:val="20"/>
                <w:szCs w:val="20"/>
                <w:rtl w:val="0"/>
              </w:rPr>
              <w:t xml:space="preserve">Average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0"/>
                <w:szCs w:val="20"/>
                <w:rtl w:val="0"/>
              </w:rPr>
              <w:t xml:space="preserve">home_improvement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000000"/>
                <w:sz w:val="20"/>
                <w:szCs w:val="20"/>
                <w:rtl w:val="0"/>
              </w:rPr>
              <w:t xml:space="preserve">859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00000"/>
                <w:sz w:val="20"/>
                <w:szCs w:val="20"/>
                <w:rtl w:val="0"/>
              </w:rPr>
              <w:t xml:space="preserve">15.13%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000000"/>
                <w:sz w:val="20"/>
                <w:szCs w:val="20"/>
                <w:rtl w:val="0"/>
              </w:rPr>
              <w:t xml:space="preserve">Average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000000"/>
                <w:sz w:val="20"/>
                <w:szCs w:val="20"/>
                <w:rtl w:val="0"/>
              </w:rPr>
              <w:t xml:space="preserve">vacation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000000"/>
                <w:sz w:val="20"/>
                <w:szCs w:val="20"/>
                <w:rtl w:val="0"/>
              </w:rPr>
              <w:t xml:space="preserve">78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000000"/>
                <w:sz w:val="20"/>
                <w:szCs w:val="20"/>
                <w:rtl w:val="0"/>
              </w:rPr>
              <w:t xml:space="preserve">12.82%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000000"/>
                <w:sz w:val="20"/>
                <w:szCs w:val="20"/>
                <w:rtl w:val="0"/>
              </w:rPr>
              <w:t xml:space="preserve">Below Average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20"/>
                <w:szCs w:val="20"/>
                <w:rtl w:val="0"/>
              </w:rPr>
              <w:t xml:space="preserve">car</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000000"/>
                <w:sz w:val="20"/>
                <w:szCs w:val="20"/>
                <w:rtl w:val="0"/>
              </w:rPr>
              <w:t xml:space="preserve">124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000000"/>
                <w:sz w:val="20"/>
                <w:szCs w:val="20"/>
                <w:rtl w:val="0"/>
              </w:rPr>
              <w:t xml:space="preserve">12.10%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000000"/>
                <w:sz w:val="20"/>
                <w:szCs w:val="20"/>
                <w:rtl w:val="0"/>
              </w:rPr>
              <w:t xml:space="preserve">Lowest</w:t>
            </w:r>
            <w:r w:rsidDel="00000000" w:rsidR="00000000" w:rsidRPr="00000000">
              <w:rPr>
                <w:rtl w:val="0"/>
              </w:rPr>
            </w:r>
          </w:p>
        </w:tc>
      </w:tr>
    </w:tbl>
    <w:p w:rsidR="00000000" w:rsidDel="00000000" w:rsidP="00000000" w:rsidRDefault="00000000" w:rsidRPr="00000000" w14:paraId="000000D4">
      <w:pPr>
        <w:spacing w:after="120" w:before="0" w:lineRule="auto"/>
        <w:rPr/>
      </w:pPr>
      <w:r w:rsidDel="00000000" w:rsidR="00000000" w:rsidRPr="00000000">
        <w:rPr>
          <w:rtl w:val="0"/>
        </w:rPr>
      </w:r>
    </w:p>
    <w:p w:rsidR="00000000" w:rsidDel="00000000" w:rsidP="00000000" w:rsidRDefault="00000000" w:rsidRPr="00000000" w14:paraId="000000D5">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Small business and medical loans carry the highest default rates, likely reflecting income volatility and unexpected financial shocks. Car and vacation loans default at the lowest rates, possibly due to better borrower financial discipline or lower loan amounts relative to income.</w:t>
      </w:r>
      <w:r w:rsidDel="00000000" w:rsidR="00000000" w:rsidRPr="00000000">
        <w:rPr>
          <w:rtl w:val="0"/>
        </w:rPr>
      </w:r>
    </w:p>
    <w:p w:rsidR="00000000" w:rsidDel="00000000" w:rsidP="00000000" w:rsidRDefault="00000000" w:rsidRPr="00000000" w14:paraId="000000D6">
      <w:pPr>
        <w:spacing w:after="120" w:before="0" w:lineRule="auto"/>
        <w:rPr/>
      </w:pPr>
      <w:r w:rsidDel="00000000" w:rsidR="00000000" w:rsidRPr="00000000">
        <w:rPr>
          <w:rtl w:val="0"/>
        </w:rPr>
      </w:r>
    </w:p>
    <w:p w:rsidR="00000000" w:rsidDel="00000000" w:rsidP="00000000" w:rsidRDefault="00000000" w:rsidRPr="00000000" w14:paraId="000000D7">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7.3 Default Rate by Home Ownership</w:t>
      </w:r>
      <w:r w:rsidDel="00000000" w:rsidR="00000000" w:rsidRPr="00000000">
        <w:rPr>
          <w:rtl w:val="0"/>
        </w:rPr>
      </w:r>
    </w:p>
    <w:p w:rsidR="00000000" w:rsidDel="00000000" w:rsidP="00000000" w:rsidRDefault="00000000" w:rsidRPr="00000000" w14:paraId="000000D8">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Home ownership status serves as a proxy for financial stability and long-term wealth:</w:t>
      </w:r>
      <w:r w:rsidDel="00000000" w:rsidR="00000000" w:rsidRPr="00000000">
        <w:rPr>
          <w:rtl w:val="0"/>
        </w:rPr>
      </w:r>
    </w:p>
    <w:p w:rsidR="00000000" w:rsidDel="00000000" w:rsidP="00000000" w:rsidRDefault="00000000" w:rsidRPr="00000000" w14:paraId="000000D9">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20"/>
                <w:szCs w:val="20"/>
                <w:rtl w:val="0"/>
              </w:rPr>
              <w:t xml:space="preserve">Home Status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0"/>
                <w:szCs w:val="20"/>
                <w:rtl w:val="0"/>
              </w:rPr>
              <w:t xml:space="preserve">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0"/>
                <w:szCs w:val="20"/>
                <w:rtl w:val="0"/>
              </w:rPr>
              <w:t xml:space="preserve">Risk Level</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20"/>
                <w:szCs w:val="20"/>
                <w:rtl w:val="0"/>
              </w:rPr>
              <w:t xml:space="preserve">MORTGAGE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000000"/>
                <w:sz w:val="20"/>
                <w:szCs w:val="20"/>
                <w:rtl w:val="0"/>
              </w:rPr>
              <w:t xml:space="preserve">7,300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000000"/>
                <w:sz w:val="20"/>
                <w:szCs w:val="20"/>
                <w:rtl w:val="0"/>
              </w:rPr>
              <w:t xml:space="preserve">12.79%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20"/>
                <w:szCs w:val="20"/>
                <w:rtl w:val="0"/>
              </w:rPr>
              <w:t xml:space="preserve">Lowest Risk</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OWN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000000"/>
                <w:sz w:val="20"/>
                <w:szCs w:val="20"/>
                <w:rtl w:val="0"/>
              </w:rPr>
              <w:t xml:space="preserve">1,559</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0000"/>
                <w:sz w:val="20"/>
                <w:szCs w:val="20"/>
                <w:rtl w:val="0"/>
              </w:rPr>
              <w:t xml:space="preserve">15.33%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000000"/>
                <w:sz w:val="20"/>
                <w:szCs w:val="20"/>
                <w:rtl w:val="0"/>
              </w:rPr>
              <w:t xml:space="preserve">Moderate Risk</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RENT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20"/>
                <w:szCs w:val="20"/>
                <w:rtl w:val="0"/>
              </w:rPr>
              <w:t xml:space="preserve">5,840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20"/>
                <w:szCs w:val="20"/>
                <w:rtl w:val="0"/>
              </w:rPr>
              <w:t xml:space="preserve">17.36%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20"/>
                <w:szCs w:val="20"/>
                <w:rtl w:val="0"/>
              </w:rPr>
              <w:t xml:space="preserve">Highest Risk</w:t>
            </w:r>
            <w:r w:rsidDel="00000000" w:rsidR="00000000" w:rsidRPr="00000000">
              <w:rPr>
                <w:rtl w:val="0"/>
              </w:rPr>
            </w:r>
          </w:p>
        </w:tc>
      </w:tr>
    </w:tbl>
    <w:p w:rsidR="00000000" w:rsidDel="00000000" w:rsidP="00000000" w:rsidRDefault="00000000" w:rsidRPr="00000000" w14:paraId="000000EA">
      <w:pPr>
        <w:spacing w:after="120" w:before="0" w:lineRule="auto"/>
        <w:rPr/>
      </w:pPr>
      <w:r w:rsidDel="00000000" w:rsidR="00000000" w:rsidRPr="00000000">
        <w:rPr>
          <w:rtl w:val="0"/>
        </w:rPr>
      </w:r>
    </w:p>
    <w:p w:rsidR="00000000" w:rsidDel="00000000" w:rsidP="00000000" w:rsidRDefault="00000000" w:rsidRPr="00000000" w14:paraId="000000E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Renters exhibit the highest default rate, likely reflecting lower asset accumulation, reduced financial buffers, and higher sensitivity to income disruptions. Mortgage holders show the lowest default rate, potentially reflecting greater financial commitment and stability.</w:t>
      </w: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tl w:val="0"/>
        </w:rPr>
      </w:r>
    </w:p>
    <w:p w:rsidR="00000000" w:rsidDel="00000000" w:rsidP="00000000" w:rsidRDefault="00000000" w:rsidRPr="00000000" w14:paraId="000000ED">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7.4 Income vs. Default Rate</w:t>
      </w:r>
      <w:r w:rsidDel="00000000" w:rsidR="00000000" w:rsidRPr="00000000">
        <w:rPr>
          <w:rtl w:val="0"/>
        </w:rPr>
      </w:r>
    </w:p>
    <w:p w:rsidR="00000000" w:rsidDel="00000000" w:rsidP="00000000" w:rsidRDefault="00000000" w:rsidRPr="00000000" w14:paraId="000000EE">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Income bracket confirms the intuitive relationship between earnings and repayment capacity:</w:t>
      </w:r>
      <w:r w:rsidDel="00000000" w:rsidR="00000000" w:rsidRPr="00000000">
        <w:rPr>
          <w:rtl w:val="0"/>
        </w:rPr>
      </w:r>
    </w:p>
    <w:p w:rsidR="00000000" w:rsidDel="00000000" w:rsidP="00000000" w:rsidRDefault="00000000" w:rsidRPr="00000000" w14:paraId="000000EF">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Income Bracket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Avg Income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20"/>
                <w:szCs w:val="20"/>
                <w:rtl w:val="0"/>
              </w:rPr>
              <w:t xml:space="preserve">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Risk Level</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20"/>
                <w:szCs w:val="20"/>
                <w:rtl w:val="0"/>
              </w:rPr>
              <w:t xml:space="preserve">High (&gt;$75K)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0"/>
                <w:bCs w:val="0"/>
                <w:color w:val="000000"/>
                <w:sz w:val="20"/>
                <w:szCs w:val="20"/>
                <w:rtl w:val="0"/>
              </w:rPr>
              <w:t xml:space="preserve">$122,642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000000"/>
                <w:sz w:val="20"/>
                <w:szCs w:val="20"/>
                <w:rtl w:val="0"/>
              </w:rPr>
              <w:t xml:space="preserve">11.48%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0"/>
                <w:bCs w:val="0"/>
                <w:color w:val="000000"/>
                <w:sz w:val="20"/>
                <w:szCs w:val="20"/>
                <w:rtl w:val="0"/>
              </w:rPr>
              <w:t xml:space="preserve">Low Risk</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00000"/>
                <w:sz w:val="20"/>
                <w:szCs w:val="20"/>
                <w:rtl w:val="0"/>
              </w:rPr>
              <w:t xml:space="preserve">Medium ($40K–$75K)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000000"/>
                <w:sz w:val="20"/>
                <w:szCs w:val="20"/>
                <w:rtl w:val="0"/>
              </w:rPr>
              <w:t xml:space="preserve">$57,683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000000"/>
                <w:sz w:val="20"/>
                <w:szCs w:val="20"/>
                <w:rtl w:val="0"/>
              </w:rPr>
              <w:t xml:space="preserve">15.94%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0"/>
                <w:bCs w:val="0"/>
                <w:color w:val="000000"/>
                <w:sz w:val="20"/>
                <w:szCs w:val="20"/>
                <w:rtl w:val="0"/>
              </w:rPr>
              <w:t xml:space="preserve">Moderate Risk</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20"/>
                <w:szCs w:val="20"/>
                <w:rtl w:val="0"/>
              </w:rPr>
              <w:t xml:space="preserve">Low (&lt;$40K)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0"/>
                <w:bCs w:val="0"/>
                <w:color w:val="000000"/>
                <w:sz w:val="20"/>
                <w:szCs w:val="20"/>
                <w:rtl w:val="0"/>
              </w:rPr>
              <w:t xml:space="preserve">$30,494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0"/>
                <w:bCs w:val="0"/>
                <w:color w:val="000000"/>
                <w:sz w:val="20"/>
                <w:szCs w:val="20"/>
                <w:rtl w:val="0"/>
              </w:rPr>
              <w:t xml:space="preserve">18.66%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000000"/>
                <w:sz w:val="20"/>
                <w:szCs w:val="20"/>
                <w:rtl w:val="0"/>
              </w:rPr>
              <w:t xml:space="preserve">High Risk</w:t>
            </w:r>
            <w:r w:rsidDel="00000000" w:rsidR="00000000" w:rsidRPr="00000000">
              <w:rPr>
                <w:rtl w:val="0"/>
              </w:rPr>
            </w:r>
          </w:p>
        </w:tc>
      </w:tr>
    </w:tbl>
    <w:p w:rsidR="00000000" w:rsidDel="00000000" w:rsidP="00000000" w:rsidRDefault="00000000" w:rsidRPr="00000000" w14:paraId="00000100">
      <w:pPr>
        <w:spacing w:after="120" w:before="0" w:lineRule="auto"/>
        <w:rPr/>
      </w:pPr>
      <w:r w:rsidDel="00000000" w:rsidR="00000000" w:rsidRPr="00000000">
        <w:rPr>
          <w:rtl w:val="0"/>
        </w:rPr>
      </w:r>
    </w:p>
    <w:p w:rsidR="00000000" w:rsidDel="00000000" w:rsidP="00000000" w:rsidRDefault="00000000" w:rsidRPr="00000000" w14:paraId="00000101">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default rate gap between Low and Medium income brackets (2.72 percentage points) is larger than between Medium and High (4.46 percentage points), suggesting that the protective effect of income is non-linear — crossing into the high-income tier provides meaningful additional risk reduction.</w:t>
      </w:r>
      <w:r w:rsidDel="00000000" w:rsidR="00000000" w:rsidRPr="00000000">
        <w:rPr>
          <w:rtl w:val="0"/>
        </w:rPr>
      </w:r>
    </w:p>
    <w:p w:rsidR="00000000" w:rsidDel="00000000" w:rsidP="00000000" w:rsidRDefault="00000000" w:rsidRPr="00000000" w14:paraId="00000102">
      <w:pPr>
        <w:spacing w:after="120" w:before="0" w:lineRule="auto"/>
        <w:rPr/>
      </w:pPr>
      <w:r w:rsidDel="00000000" w:rsidR="00000000" w:rsidRPr="00000000">
        <w:rPr>
          <w:rtl w:val="0"/>
        </w:rPr>
      </w:r>
    </w:p>
    <w:p w:rsidR="00000000" w:rsidDel="00000000" w:rsidP="00000000" w:rsidRDefault="00000000" w:rsidRPr="00000000" w14:paraId="00000103">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7.5 DTI Distribution by Loan Status</w:t>
      </w: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Debt-to-Income ratio shows a clear spike among borrowers classified as 'Default':</w:t>
      </w:r>
      <w:r w:rsidDel="00000000" w:rsidR="00000000" w:rsidRPr="00000000">
        <w:rPr>
          <w:rtl w:val="0"/>
        </w:rPr>
      </w:r>
    </w:p>
    <w:p w:rsidR="00000000" w:rsidDel="00000000" w:rsidP="00000000" w:rsidRDefault="00000000" w:rsidRPr="00000000" w14:paraId="00000105">
      <w:pPr>
        <w:spacing w:after="120" w:before="0" w:lineRule="auto"/>
        <w:rPr/>
      </w:pPr>
      <w:r w:rsidDel="00000000" w:rsidR="00000000" w:rsidRPr="00000000">
        <w:rPr>
          <w:rtl w:val="0"/>
        </w:rPr>
      </w:r>
    </w:p>
    <w:tbl>
      <w:tblPr>
        <w:tblStyle w:val="Table9"/>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tblGridChange w:id="0">
          <w:tblGrid>
            <w:gridCol w:w="3120"/>
            <w:gridCol w:w="312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20"/>
                <w:szCs w:val="20"/>
                <w:rtl w:val="0"/>
              </w:rPr>
              <w:t xml:space="preserve">Loan Status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Average DTI</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00000"/>
                <w:sz w:val="20"/>
                <w:szCs w:val="20"/>
                <w:rtl w:val="0"/>
              </w:rPr>
              <w:t xml:space="preserve">Charged Off</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0"/>
                <w:bCs w:val="0"/>
                <w:color w:val="000000"/>
                <w:sz w:val="20"/>
                <w:szCs w:val="20"/>
                <w:rtl w:val="0"/>
              </w:rPr>
              <w:t xml:space="preserve">20.70%</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20"/>
                <w:szCs w:val="20"/>
                <w:rtl w:val="0"/>
              </w:rPr>
              <w:t xml:space="preserve">Current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000000"/>
                <w:sz w:val="20"/>
                <w:szCs w:val="20"/>
                <w:rtl w:val="0"/>
              </w:rPr>
              <w:t xml:space="preserve">19.31%</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000000"/>
                <w:sz w:val="20"/>
                <w:szCs w:val="20"/>
                <w:rtl w:val="0"/>
              </w:rPr>
              <w:t xml:space="preserve">Default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000000"/>
                <w:sz w:val="20"/>
                <w:szCs w:val="20"/>
                <w:rtl w:val="0"/>
              </w:rPr>
              <w:t xml:space="preserve">29.27%</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00000"/>
                <w:sz w:val="20"/>
                <w:szCs w:val="20"/>
                <w:rtl w:val="0"/>
              </w:rPr>
              <w:t xml:space="preserve">Fully Paid</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000000"/>
                <w:sz w:val="20"/>
                <w:szCs w:val="20"/>
                <w:rtl w:val="0"/>
              </w:rPr>
              <w:t xml:space="preserve">18.01%</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20"/>
                <w:szCs w:val="20"/>
                <w:rtl w:val="0"/>
              </w:rPr>
              <w:t xml:space="preserve">In Grace Period</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000000"/>
                <w:sz w:val="20"/>
                <w:szCs w:val="20"/>
                <w:rtl w:val="0"/>
              </w:rPr>
              <w:t xml:space="preserve">20.02%</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20"/>
                <w:szCs w:val="20"/>
                <w:rtl w:val="0"/>
              </w:rPr>
              <w:t xml:space="preserve">Late (16–30 days)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20"/>
                <w:szCs w:val="20"/>
                <w:rtl w:val="0"/>
              </w:rPr>
              <w:t xml:space="preserve">18.30%</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20"/>
                <w:szCs w:val="20"/>
                <w:rtl w:val="0"/>
              </w:rPr>
              <w:t xml:space="preserve">Late (31–120 days)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000000"/>
                <w:sz w:val="20"/>
                <w:szCs w:val="20"/>
                <w:rtl w:val="0"/>
              </w:rPr>
              <w:t xml:space="preserve">19.78%</w:t>
            </w:r>
            <w:r w:rsidDel="00000000" w:rsidR="00000000" w:rsidRPr="00000000">
              <w:rPr>
                <w:rtl w:val="0"/>
              </w:rPr>
            </w:r>
          </w:p>
        </w:tc>
      </w:tr>
    </w:tbl>
    <w:p w:rsidR="00000000" w:rsidDel="00000000" w:rsidP="00000000" w:rsidRDefault="00000000" w:rsidRPr="00000000" w14:paraId="00000116">
      <w:pPr>
        <w:spacing w:after="120" w:before="0" w:lineRule="auto"/>
        <w:rPr/>
      </w:pPr>
      <w:r w:rsidDel="00000000" w:rsidR="00000000" w:rsidRPr="00000000">
        <w:rPr>
          <w:rtl w:val="0"/>
        </w:rPr>
      </w:r>
    </w:p>
    <w:p w:rsidR="00000000" w:rsidDel="00000000" w:rsidP="00000000" w:rsidRDefault="00000000" w:rsidRPr="00000000" w14:paraId="0000011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average DTI among defaulting borrowers (29.27%) is approximately 60% higher than fully paid borrowers (18.01%), confirming that debt burden is a primary root cause of repayment failure. Lenders should treat DTI &gt; 25% as a meaningful risk threshold warranting additional scrutiny.</w:t>
      </w:r>
      <w:r w:rsidDel="00000000" w:rsidR="00000000" w:rsidRPr="00000000">
        <w:rPr>
          <w:rtl w:val="0"/>
        </w:rPr>
      </w:r>
    </w:p>
    <w:p w:rsidR="00000000" w:rsidDel="00000000" w:rsidP="00000000" w:rsidRDefault="00000000" w:rsidRPr="00000000" w14:paraId="00000118">
      <w:pPr>
        <w:spacing w:after="240" w:before="0" w:lineRule="auto"/>
        <w:rPr/>
      </w:pPr>
      <w:r w:rsidDel="00000000" w:rsidR="00000000" w:rsidRPr="00000000">
        <w:rPr/>
        <w:drawing>
          <wp:inline distB="114300" distT="114300" distL="114300" distR="114300">
            <wp:extent cx="6400800" cy="4152900"/>
            <wp:effectExtent b="12700" l="12700" r="12700" t="127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4152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8. Advanced Analysis &amp; Risk Segmentation</w:t>
      </w:r>
      <w:r w:rsidDel="00000000" w:rsidR="00000000" w:rsidRPr="00000000">
        <w:rPr>
          <w:rtl w:val="0"/>
        </w:rPr>
      </w:r>
    </w:p>
    <w:p w:rsidR="00000000" w:rsidDel="00000000" w:rsidP="00000000" w:rsidRDefault="00000000" w:rsidRPr="00000000" w14:paraId="0000011A">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8.1 Borrower Risk Segmentation</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risk segmentation model classifies borrowers into three tiers based on the combined effect of credit grade, DTI, and income. This model was developed using insights from the EDA phase and validated against actual default outcomes:</w:t>
      </w:r>
      <w:r w:rsidDel="00000000" w:rsidR="00000000" w:rsidRPr="00000000">
        <w:rPr>
          <w:rtl w:val="0"/>
        </w:rPr>
      </w:r>
    </w:p>
    <w:p w:rsidR="00000000" w:rsidDel="00000000" w:rsidP="00000000" w:rsidRDefault="00000000" w:rsidRPr="00000000" w14:paraId="0000011C">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1200"/>
        <w:gridCol w:w="2000"/>
        <w:gridCol w:w="1500"/>
        <w:gridCol w:w="1960"/>
        <w:tblGridChange w:id="0">
          <w:tblGrid>
            <w:gridCol w:w="1500"/>
            <w:gridCol w:w="1200"/>
            <w:gridCol w:w="1200"/>
            <w:gridCol w:w="2000"/>
            <w:gridCol w:w="1500"/>
            <w:gridCol w:w="196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Risk Segment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Grade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20"/>
                <w:szCs w:val="20"/>
                <w:rtl w:val="0"/>
              </w:rPr>
              <w:t xml:space="preserve">DTI</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20"/>
                <w:szCs w:val="20"/>
                <w:rtl w:val="0"/>
              </w:rPr>
              <w:t xml:space="preserve">Income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20"/>
                <w:szCs w:val="20"/>
                <w:rtl w:val="0"/>
              </w:rPr>
              <w:t xml:space="preserve">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d5f5e3"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a7a3c"/>
                <w:sz w:val="20"/>
                <w:szCs w:val="20"/>
                <w:rtl w:val="0"/>
              </w:rPr>
              <w:t xml:space="preserve">LOW RISK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5f5e3"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0"/>
                <w:bCs w:val="0"/>
                <w:color w:val="000000"/>
                <w:sz w:val="20"/>
                <w:szCs w:val="20"/>
                <w:rtl w:val="0"/>
              </w:rPr>
              <w:t xml:space="preserve">A–B</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5f5e3"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0"/>
                <w:bCs w:val="0"/>
                <w:color w:val="000000"/>
                <w:sz w:val="20"/>
                <w:szCs w:val="20"/>
                <w:rtl w:val="0"/>
              </w:rPr>
              <w:t xml:space="preserve">&lt;20%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5f5e3"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000000"/>
                <w:sz w:val="20"/>
                <w:szCs w:val="20"/>
                <w:rtl w:val="0"/>
              </w:rPr>
              <w:t xml:space="preserve">&gt;$75K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5f5e3"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000000"/>
                <w:sz w:val="20"/>
                <w:szCs w:val="20"/>
                <w:rtl w:val="0"/>
              </w:rPr>
              <w:t xml:space="preserve">~0–5%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d5f5e3"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000000"/>
                <w:sz w:val="20"/>
                <w:szCs w:val="20"/>
                <w:rtl w:val="0"/>
              </w:rPr>
              <w:t xml:space="preserve">APPROVE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3cd"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856404"/>
                <w:sz w:val="20"/>
                <w:szCs w:val="20"/>
                <w:rtl w:val="0"/>
              </w:rPr>
              <w:t xml:space="preserve">MEDIUM RISK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3cd"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0"/>
                <w:bCs w:val="0"/>
                <w:color w:val="000000"/>
                <w:sz w:val="20"/>
                <w:szCs w:val="20"/>
                <w:rtl w:val="0"/>
              </w:rPr>
              <w:t xml:space="preserve">C–D</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3cd"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00000"/>
                <w:sz w:val="20"/>
                <w:szCs w:val="20"/>
                <w:rtl w:val="0"/>
              </w:rPr>
              <w:t xml:space="preserve">20–35%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3cd"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000000"/>
                <w:sz w:val="20"/>
                <w:szCs w:val="20"/>
                <w:rtl w:val="0"/>
              </w:rPr>
              <w:t xml:space="preserve">$40K–$75K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3cd"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000000"/>
                <w:sz w:val="20"/>
                <w:szCs w:val="20"/>
                <w:rtl w:val="0"/>
              </w:rPr>
              <w:t xml:space="preserve">10–22%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3cd"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000000"/>
                <w:sz w:val="20"/>
                <w:szCs w:val="20"/>
                <w:rtl w:val="0"/>
              </w:rPr>
              <w:t xml:space="preserve">REVIEW</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adbd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a93226"/>
                <w:sz w:val="20"/>
                <w:szCs w:val="20"/>
                <w:rtl w:val="0"/>
              </w:rPr>
              <w:t xml:space="preserve">HIGH RISK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adbd8"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0"/>
                <w:bCs w:val="0"/>
                <w:color w:val="000000"/>
                <w:sz w:val="20"/>
                <w:szCs w:val="20"/>
                <w:rtl w:val="0"/>
              </w:rPr>
              <w:t xml:space="preserve">E–G</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adbd8"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0"/>
                <w:bCs w:val="0"/>
                <w:color w:val="000000"/>
                <w:sz w:val="20"/>
                <w:szCs w:val="20"/>
                <w:rtl w:val="0"/>
              </w:rPr>
              <w:t xml:space="preserve">&gt;35%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adbd8"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000000"/>
                <w:sz w:val="20"/>
                <w:szCs w:val="20"/>
                <w:rtl w:val="0"/>
              </w:rPr>
              <w:t xml:space="preserve">&lt;$40K</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adbd8"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000000"/>
                <w:sz w:val="20"/>
                <w:szCs w:val="20"/>
                <w:rtl w:val="0"/>
              </w:rPr>
              <w:t xml:space="preserve">&gt;27%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adbd8"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000000"/>
                <w:sz w:val="20"/>
                <w:szCs w:val="20"/>
                <w:rtl w:val="0"/>
              </w:rPr>
              <w:t xml:space="preserve">DECLINE / LIMIT</w:t>
            </w:r>
            <w:r w:rsidDel="00000000" w:rsidR="00000000" w:rsidRPr="00000000">
              <w:rPr>
                <w:rtl w:val="0"/>
              </w:rPr>
            </w:r>
          </w:p>
        </w:tc>
      </w:tr>
    </w:tbl>
    <w:p w:rsidR="00000000" w:rsidDel="00000000" w:rsidP="00000000" w:rsidRDefault="00000000" w:rsidRPr="00000000" w14:paraId="00000135">
      <w:pPr>
        <w:spacing w:after="120" w:before="0" w:lineRule="auto"/>
        <w:rPr/>
      </w:pPr>
      <w:r w:rsidDel="00000000" w:rsidR="00000000" w:rsidRPr="00000000">
        <w:rPr>
          <w:rtl w:val="0"/>
        </w:rPr>
      </w:r>
    </w:p>
    <w:p w:rsidR="00000000" w:rsidDel="00000000" w:rsidP="00000000" w:rsidRDefault="00000000" w:rsidRPr="00000000" w14:paraId="00000136">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Low Risk borrowers (Grades A–B, DTI &lt;20%, income &gt;$75K) show default rates below 5%, validating the classification framework. High Risk borrowers (Grades E–G) contribute over 50% of total defaults despite representing approximately 22% of the portfolio — a concentration that presents a clear opportunity for targeted intervention.</w:t>
      </w:r>
      <w:r w:rsidDel="00000000" w:rsidR="00000000" w:rsidRPr="00000000">
        <w:rPr>
          <w:rtl w:val="0"/>
        </w:rPr>
      </w:r>
    </w:p>
    <w:p w:rsidR="00000000" w:rsidDel="00000000" w:rsidP="00000000" w:rsidRDefault="00000000" w:rsidRPr="00000000" w14:paraId="00000137">
      <w:pPr>
        <w:spacing w:after="120" w:before="0" w:lineRule="auto"/>
        <w:rPr/>
      </w:pPr>
      <w:r w:rsidDel="00000000" w:rsidR="00000000" w:rsidRPr="00000000">
        <w:rPr/>
        <w:drawing>
          <wp:inline distB="114300" distT="114300" distL="114300" distR="114300">
            <wp:extent cx="6400800" cy="850900"/>
            <wp:effectExtent b="12700" l="12700" r="12700" t="127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00800" cy="85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8.2 Root Cause Analysis of Loan Defaults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Driver — Credit Grade: Default probability increases consistently from Grade A (4.24%) to Grade G (42.68%), confirming creditworthiness as the strongest leading indicator.</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Driver — Debt Burden (DTI): Borrowers with DTI &gt; 35% exhibit nearly 3× the default rate of those with DTI &lt; 20%, reflecting limited financial capacity to absorb unexpected expenses.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Tertiary Driver — Income Instability: Low-income borrowers (&lt;$40K/year) default at 18.66% vs. 11.48% for high-income borrowers (&gt;$75K), confirming income as a meaningful repayment capacity indicator.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Factor — Home Ownership: Renters default at 17.36% vs. 12.79% for mortgage holders, suggesting that housing stability correlates with broader financial discipline.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Behavioral Signal — Loan Purpose: Small business and medical loans, which often arise from necessity rather than choice, carry elevated default risk due to income volatility and unexpected costs.</w:t>
      </w:r>
    </w:p>
    <w:p w:rsidR="00000000" w:rsidDel="00000000" w:rsidP="00000000" w:rsidRDefault="00000000" w:rsidRPr="00000000" w14:paraId="0000013E">
      <w:pPr>
        <w:spacing w:after="120" w:before="0" w:lineRule="auto"/>
        <w:rPr/>
      </w:pPr>
      <w:r w:rsidDel="00000000" w:rsidR="00000000" w:rsidRPr="00000000">
        <w:rPr>
          <w:rtl w:val="0"/>
        </w:rPr>
      </w:r>
    </w:p>
    <w:p w:rsidR="00000000" w:rsidDel="00000000" w:rsidP="00000000" w:rsidRDefault="00000000" w:rsidRPr="00000000" w14:paraId="0000013F">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8.3 Cross-Variable Interaction Insights</w:t>
      </w:r>
      <w:r w:rsidDel="00000000" w:rsidR="00000000" w:rsidRPr="00000000">
        <w:rPr>
          <w:rtl w:val="0"/>
        </w:rPr>
      </w:r>
    </w:p>
    <w:p w:rsidR="00000000" w:rsidDel="00000000" w:rsidP="00000000" w:rsidRDefault="00000000" w:rsidRPr="00000000" w14:paraId="00000140">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Grade-DTI interaction produces compounded risk: a Grade D borrower with DTI &gt; 35% has substantially higher default probability than a Grade D borrower with DTI &lt; 20%. Similarly, low-income renters in Grades D–G represent the most vulnerable borrower segment in the portfolio. These interaction effects reinforce the need for multi-variable risk scoring rather than single-factor assessment.</w:t>
      </w:r>
      <w:r w:rsidDel="00000000" w:rsidR="00000000" w:rsidRPr="00000000">
        <w:rPr>
          <w:rtl w:val="0"/>
        </w:rPr>
      </w:r>
    </w:p>
    <w:p w:rsidR="00000000" w:rsidDel="00000000" w:rsidP="00000000" w:rsidRDefault="00000000" w:rsidRPr="00000000" w14:paraId="00000141">
      <w:pPr>
        <w:spacing w:after="240" w:before="0" w:lineRule="auto"/>
        <w:rPr/>
      </w:pPr>
      <w:r w:rsidDel="00000000" w:rsidR="00000000" w:rsidRPr="00000000">
        <w:rPr>
          <w:rtl w:val="0"/>
        </w:rPr>
      </w:r>
    </w:p>
    <w:p w:rsidR="00000000" w:rsidDel="00000000" w:rsidP="00000000" w:rsidRDefault="00000000" w:rsidRPr="00000000" w14:paraId="00000142">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9. Dashboard Design</w:t>
      </w:r>
      <w:r w:rsidDel="00000000" w:rsidR="00000000" w:rsidRPr="00000000">
        <w:rPr>
          <w:rtl w:val="0"/>
        </w:rPr>
      </w:r>
    </w:p>
    <w:p w:rsidR="00000000" w:rsidDel="00000000" w:rsidP="00000000" w:rsidRDefault="00000000" w:rsidRPr="00000000" w14:paraId="00000143">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Google Sheets dashboard transforms complex loan data into an interactive decision-support tool, enabling managers to quickly assess portfolio health and identify high-risk borrower segments without requiring technical expertise.</w:t>
      </w:r>
      <w:r w:rsidDel="00000000" w:rsidR="00000000" w:rsidRPr="00000000">
        <w:rPr>
          <w:rtl w:val="0"/>
        </w:rPr>
      </w:r>
    </w:p>
    <w:p w:rsidR="00000000" w:rsidDel="00000000" w:rsidP="00000000" w:rsidRDefault="00000000" w:rsidRPr="00000000" w14:paraId="00000144">
      <w:pPr>
        <w:spacing w:after="120" w:before="0" w:lineRule="auto"/>
        <w:rPr/>
      </w:pPr>
      <w:r w:rsidDel="00000000" w:rsidR="00000000" w:rsidRPr="00000000">
        <w:rPr>
          <w:rtl w:val="0"/>
        </w:rPr>
      </w:r>
    </w:p>
    <w:p w:rsidR="00000000" w:rsidDel="00000000" w:rsidP="00000000" w:rsidRDefault="00000000" w:rsidRPr="00000000" w14:paraId="00000145">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Dashboard Architecture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KPI Panel: Displays Total Loans, Default Rate, Average Loan Amount, Average DTI, Average Income, and High Risk Applicant Count at a glance.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Rate by Credit Grade: Bar chart showing the escalating default rate from A to G, with Grade G highlighted as a critical risk zone.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 Status Distribution: Donut chart showing the proportion of Fully Paid, Current, and Charged Off loans across the portfolio.</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Rate by Loan Purpose: Horizontal bar chart comparing default rates across 12 loan purpose categories.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Mortgage / OWN / RENT Comparison: Grouped bar chart showing default rates by credit grade for each home ownership status.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 vs. Default Rate: Dual-axis chart displaying average income alongside default rate by income bracket.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DTI Distribution by Status: Column chart showing average DTI across all loan status categories, with 'Default' visually highlighted.</w:t>
      </w:r>
    </w:p>
    <w:p w:rsidR="00000000" w:rsidDel="00000000" w:rsidP="00000000" w:rsidRDefault="00000000" w:rsidRPr="00000000" w14:paraId="0000014D">
      <w:pPr>
        <w:spacing w:after="120" w:before="0" w:lineRule="auto"/>
        <w:rPr/>
      </w:pPr>
      <w:r w:rsidDel="00000000" w:rsidR="00000000" w:rsidRPr="00000000">
        <w:rPr>
          <w:rtl w:val="0"/>
        </w:rPr>
      </w:r>
    </w:p>
    <w:p w:rsidR="00000000" w:rsidDel="00000000" w:rsidP="00000000" w:rsidRDefault="00000000" w:rsidRPr="00000000" w14:paraId="0000014E">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Technical Implementation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slicers for Credit Grade, Home Ownership, Loan Purpose, and Income Bracket allow real-time filtering across all charts.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pivot tables powered by COUNTIFS, AVERAGEIFS, and SUM formulas auto-update as filters change.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Conditional formatting applied to the risk segmentation model table for color-coded risk tiers (green / amber / red).</w:t>
      </w:r>
    </w:p>
    <w:p w:rsidR="00000000" w:rsidDel="00000000" w:rsidP="00000000" w:rsidRDefault="00000000" w:rsidRPr="00000000" w14:paraId="00000152">
      <w:pPr>
        <w:spacing w:after="240" w:before="0" w:lineRule="auto"/>
        <w:rPr/>
      </w:pPr>
      <w:r w:rsidDel="00000000" w:rsidR="00000000" w:rsidRPr="00000000">
        <w:rPr>
          <w:rtl w:val="0"/>
        </w:rPr>
      </w:r>
    </w:p>
    <w:p w:rsidR="00000000" w:rsidDel="00000000" w:rsidP="00000000" w:rsidRDefault="00000000" w:rsidRPr="00000000" w14:paraId="00000153">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10. Insights Summary</w:t>
      </w:r>
      <w:r w:rsidDel="00000000" w:rsidR="00000000" w:rsidRPr="00000000">
        <w:rPr>
          <w:rtl w:val="0"/>
        </w:rPr>
      </w:r>
    </w:p>
    <w:p w:rsidR="00000000" w:rsidDel="00000000" w:rsidP="00000000" w:rsidRDefault="00000000" w:rsidRPr="00000000" w14:paraId="0000015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following insights are presented in decision-oriented language to directly support improvements in loan approval strategy:</w:t>
      </w:r>
      <w:r w:rsidDel="00000000" w:rsidR="00000000" w:rsidRPr="00000000">
        <w:rPr>
          <w:rtl w:val="0"/>
        </w:rPr>
      </w:r>
    </w:p>
    <w:p w:rsidR="00000000" w:rsidDel="00000000" w:rsidP="00000000" w:rsidRDefault="00000000" w:rsidRPr="00000000" w14:paraId="00000155">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3000"/>
        <w:gridCol w:w="6160"/>
        <w:tblGridChange w:id="0">
          <w:tblGrid>
            <w:gridCol w:w="200"/>
            <w:gridCol w:w="3000"/>
            <w:gridCol w:w="616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20"/>
                <w:szCs w:val="20"/>
                <w:rtl w:val="0"/>
              </w:rPr>
              <w:t xml:space="preserve">Insight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20"/>
                <w:szCs w:val="20"/>
                <w:rtl w:val="0"/>
              </w:rPr>
              <w:t xml:space="preserve">Business Implication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000000"/>
                <w:sz w:val="20"/>
                <w:szCs w:val="20"/>
                <w:rtl w:val="0"/>
              </w:rPr>
              <w:t xml:space="preserve">Grades E–G drive ~70% of defaults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000000"/>
                <w:sz w:val="20"/>
                <w:szCs w:val="20"/>
                <w:rtl w:val="0"/>
              </w:rPr>
              <w:t xml:space="preserve">Apply stricter approval controls or higher interest premiums to sub-grade-D applicants</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000000"/>
                <w:sz w:val="20"/>
                <w:szCs w:val="20"/>
                <w:rtl w:val="0"/>
              </w:rPr>
              <w:t xml:space="preserve">DTI &gt;35% = 3× higher 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000000"/>
                <w:sz w:val="20"/>
                <w:szCs w:val="20"/>
                <w:rtl w:val="0"/>
              </w:rPr>
              <w:t xml:space="preserve">Flag all applications with DTI &gt;35% for mandatory manual review before approval</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000000"/>
                <w:sz w:val="20"/>
                <w:szCs w:val="20"/>
                <w:rtl w:val="0"/>
              </w:rPr>
              <w:t xml:space="preserve">High income cuts default rate by 38%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000000"/>
                <w:sz w:val="20"/>
                <w:szCs w:val="20"/>
                <w:rtl w:val="0"/>
              </w:rPr>
              <w:t xml:space="preserve">Weight income heavily in approval scoring — income &gt;$75K is a meaningful protective factor</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000000"/>
                <w:sz w:val="20"/>
                <w:szCs w:val="20"/>
                <w:rtl w:val="0"/>
              </w:rPr>
              <w:t xml:space="preserve">22% of borrowers = 50%+ of defaults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00000"/>
                <w:sz w:val="20"/>
                <w:szCs w:val="20"/>
                <w:rtl w:val="0"/>
              </w:rPr>
              <w:t xml:space="preserve">Targeted controls on the High Risk segment can dramatically reduce portfolio default rate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000000"/>
                <w:sz w:val="20"/>
                <w:szCs w:val="20"/>
                <w:rtl w:val="0"/>
              </w:rPr>
              <w:t xml:space="preserve">Renters default 35% more than mortgage holders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000000"/>
                <w:sz w:val="20"/>
                <w:szCs w:val="20"/>
                <w:rtl w:val="0"/>
              </w:rPr>
              <w:t xml:space="preserve">Use home ownership as a supplementary risk signal, especially combined with low grade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000000"/>
                <w:sz w:val="20"/>
                <w:szCs w:val="20"/>
                <w:rtl w:val="0"/>
              </w:rPr>
              <w:t xml:space="preserve">Default DTI = 29.27% vs. 18.01% for Fully Paid</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20"/>
                <w:szCs w:val="20"/>
                <w:rtl w:val="0"/>
              </w:rPr>
              <w:t xml:space="preserve">Real-time DTI monitoring can serve as an early warning signal for at-risk existing borrowers</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000000"/>
                <w:sz w:val="20"/>
                <w:szCs w:val="20"/>
                <w:rtl w:val="0"/>
              </w:rPr>
              <w:t xml:space="preserve">Small business loans: 23.39% 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00000"/>
                <w:sz w:val="20"/>
                <w:szCs w:val="20"/>
                <w:rtl w:val="0"/>
              </w:rPr>
              <w:t xml:space="preserve">Price in higher risk premiums or require additional collateral for small business loan applications</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000000"/>
                <w:sz w:val="20"/>
                <w:szCs w:val="20"/>
                <w:rtl w:val="0"/>
              </w:rPr>
              <w:t xml:space="preserve">Low Risk borrowers: &lt;5% default rate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00000"/>
                <w:sz w:val="20"/>
                <w:szCs w:val="20"/>
                <w:rtl w:val="0"/>
              </w:rPr>
              <w:t xml:space="preserve">Streamline and fast-track approvals for Grade A–B borrowers with DTI &lt;20% and income &gt;$75K</w:t>
            </w:r>
            <w:r w:rsidDel="00000000" w:rsidR="00000000" w:rsidRPr="00000000">
              <w:rPr>
                <w:rtl w:val="0"/>
              </w:rPr>
            </w:r>
          </w:p>
        </w:tc>
      </w:tr>
    </w:tbl>
    <w:p w:rsidR="00000000" w:rsidDel="00000000" w:rsidP="00000000" w:rsidRDefault="00000000" w:rsidRPr="00000000" w14:paraId="00000171">
      <w:pPr>
        <w:spacing w:after="240" w:before="0" w:lineRule="auto"/>
        <w:rPr/>
      </w:pPr>
      <w:r w:rsidDel="00000000" w:rsidR="00000000" w:rsidRPr="00000000">
        <w:rPr>
          <w:rtl w:val="0"/>
        </w:rPr>
      </w:r>
    </w:p>
    <w:p w:rsidR="00000000" w:rsidDel="00000000" w:rsidP="00000000" w:rsidRDefault="00000000" w:rsidRPr="00000000" w14:paraId="00000172">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11. Recommendations</w:t>
      </w:r>
      <w:r w:rsidDel="00000000" w:rsidR="00000000" w:rsidRPr="00000000">
        <w:rPr>
          <w:rtl w:val="0"/>
        </w:rPr>
      </w:r>
    </w:p>
    <w:p w:rsidR="00000000" w:rsidDel="00000000" w:rsidP="00000000" w:rsidRDefault="00000000" w:rsidRPr="00000000" w14:paraId="00000173">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Based on the analysis, the following data-driven recommendations are proposed for immediate implementation:</w:t>
      </w:r>
      <w:r w:rsidDel="00000000" w:rsidR="00000000" w:rsidRPr="00000000">
        <w:rPr>
          <w:rtl w:val="0"/>
        </w:rPr>
      </w:r>
    </w:p>
    <w:p w:rsidR="00000000" w:rsidDel="00000000" w:rsidP="00000000" w:rsidRDefault="00000000" w:rsidRPr="00000000" w14:paraId="00000174">
      <w:pPr>
        <w:spacing w:after="120" w:before="0" w:lineRule="auto"/>
        <w:rPr/>
      </w:pPr>
      <w:r w:rsidDel="00000000" w:rsidR="00000000" w:rsidRPr="00000000">
        <w:rPr>
          <w:rtl w:val="0"/>
        </w:rPr>
      </w:r>
    </w:p>
    <w:p w:rsidR="00000000" w:rsidDel="00000000" w:rsidP="00000000" w:rsidRDefault="00000000" w:rsidRPr="00000000" w14:paraId="00000175">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Approval Policy Reforms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mandatory decline or collateral requirement for all Grade E–G applicants, irrespective of other indicators, given their 27–42% default rates.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a hard DTI cap at 35% for unsecured personal loans. Applications exceeding this threshold should be automatically flagged for senior credit officer review.</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Fast-track approvals for Grade A–B applicants with DTI &lt;20% and income &gt;$75K, as this segment shows default rates below 5% — reducing manual review cost and improving customer experience.</w:t>
      </w:r>
    </w:p>
    <w:p w:rsidR="00000000" w:rsidDel="00000000" w:rsidP="00000000" w:rsidRDefault="00000000" w:rsidRPr="00000000" w14:paraId="00000179">
      <w:pPr>
        <w:spacing w:after="120" w:before="0" w:lineRule="auto"/>
        <w:rPr/>
      </w:pPr>
      <w:r w:rsidDel="00000000" w:rsidR="00000000" w:rsidRPr="00000000">
        <w:rPr>
          <w:rtl w:val="0"/>
        </w:rPr>
      </w:r>
    </w:p>
    <w:p w:rsidR="00000000" w:rsidDel="00000000" w:rsidP="00000000" w:rsidRDefault="00000000" w:rsidRPr="00000000" w14:paraId="0000017A">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Risk Pricing Adjustments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risk-adjusted interest rate pricing: High Risk borrowers who are approved should be offered loans at higher interest rates (reflecting the elevated probability of default) rather than being declined outright, preserving revenue while managing exposure.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loan size caps for Medium and High Risk borrowers. Limiting loan amounts to 10× monthly income for these segments reduces absolute loss exposure even when defaults occur.</w:t>
      </w:r>
    </w:p>
    <w:p w:rsidR="00000000" w:rsidDel="00000000" w:rsidP="00000000" w:rsidRDefault="00000000" w:rsidRPr="00000000" w14:paraId="0000017D">
      <w:pPr>
        <w:spacing w:after="120" w:before="0" w:lineRule="auto"/>
        <w:rPr/>
      </w:pPr>
      <w:r w:rsidDel="00000000" w:rsidR="00000000" w:rsidRPr="00000000">
        <w:rPr>
          <w:rtl w:val="0"/>
        </w:rPr>
      </w:r>
    </w:p>
    <w:p w:rsidR="00000000" w:rsidDel="00000000" w:rsidP="00000000" w:rsidRDefault="00000000" w:rsidRPr="00000000" w14:paraId="0000017E">
      <w:pPr>
        <w:pStyle w:val="Heading2"/>
        <w:spacing w:after="120" w:before="300" w:lineRule="auto"/>
        <w:rPr/>
      </w:pPr>
      <w:r w:rsidDel="00000000" w:rsidR="00000000" w:rsidRPr="00000000">
        <w:rPr>
          <w:rFonts w:ascii="Arial" w:cs="Arial" w:eastAsia="Arial" w:hAnsi="Arial"/>
          <w:b w:val="1"/>
          <w:bCs w:val="1"/>
          <w:color w:val="2e75b6"/>
          <w:sz w:val="26"/>
          <w:szCs w:val="26"/>
          <w:rtl w:val="0"/>
        </w:rPr>
        <w:t xml:space="preserve">Operational &amp; Monitoring Improvements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interactive KPI dashboard for monthly portfolio reviews. Track default rate trends by credit grade and loan purpose to identify emerging risk concentrations early.</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 quarterly DTI monitoring program for existing borrowers in the Current or In Grace Period status, allowing proactive intervention before loans become delinquent.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borrower communication strategy for Medium Risk borrowers — offering financial wellness resources and flexible repayment options can reduce transitions from Medium to High Risk status.</w:t>
      </w:r>
    </w:p>
    <w:p w:rsidR="00000000" w:rsidDel="00000000" w:rsidP="00000000" w:rsidRDefault="00000000" w:rsidRPr="00000000" w14:paraId="00000182">
      <w:pPr>
        <w:spacing w:after="240" w:before="0" w:lineRule="auto"/>
        <w:rPr/>
      </w:pPr>
      <w:r w:rsidDel="00000000" w:rsidR="00000000" w:rsidRPr="00000000">
        <w:rPr>
          <w:rtl w:val="0"/>
        </w:rPr>
      </w:r>
    </w:p>
    <w:p w:rsidR="00000000" w:rsidDel="00000000" w:rsidP="00000000" w:rsidRDefault="00000000" w:rsidRPr="00000000" w14:paraId="00000183">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12. Impact Estimation</w:t>
      </w:r>
      <w:r w:rsidDel="00000000" w:rsidR="00000000" w:rsidRPr="00000000">
        <w:rPr>
          <w:rtl w:val="0"/>
        </w:rPr>
      </w:r>
    </w:p>
    <w:p w:rsidR="00000000" w:rsidDel="00000000" w:rsidP="00000000" w:rsidRDefault="00000000" w:rsidRPr="00000000" w14:paraId="00000184">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following impact estimates demonstrate the financial and operational value of implementing this risk framework. Calculations are based on the portfolio's observed default rate, average loan amount ($15,023), and projected improvement from applying the risk segmentation model.</w:t>
      </w:r>
      <w:r w:rsidDel="00000000" w:rsidR="00000000" w:rsidRPr="00000000">
        <w:rPr>
          <w:rtl w:val="0"/>
        </w:rPr>
      </w:r>
    </w:p>
    <w:p w:rsidR="00000000" w:rsidDel="00000000" w:rsidP="00000000" w:rsidRDefault="00000000" w:rsidRPr="00000000" w14:paraId="00000185">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20"/>
                <w:szCs w:val="20"/>
                <w:rtl w:val="0"/>
              </w:rPr>
              <w:t xml:space="preserve">Impact Area</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20"/>
                <w:szCs w:val="20"/>
                <w:rtl w:val="0"/>
              </w:rPr>
              <w:t xml:space="preserve">Projected Improvement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20"/>
                <w:szCs w:val="20"/>
                <w:rtl w:val="0"/>
              </w:rPr>
              <w:t xml:space="preserve">Basis</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000000"/>
                <w:sz w:val="20"/>
                <w:szCs w:val="20"/>
                <w:rtl w:val="0"/>
              </w:rPr>
              <w:t xml:space="preserve">Default Rate Reduction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rFonts w:ascii="Arial Unicode MS" w:cs="Arial Unicode MS" w:eastAsia="Arial Unicode MS" w:hAnsi="Arial Unicode MS"/>
                <w:b w:val="1"/>
                <w:bCs w:val="1"/>
                <w:color w:val="000000"/>
                <w:sz w:val="20"/>
                <w:szCs w:val="20"/>
                <w:rtl w:val="0"/>
              </w:rPr>
              <w:t xml:space="preserve">13.42% → 9–10%</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20"/>
                <w:szCs w:val="20"/>
                <w:rtl w:val="0"/>
              </w:rPr>
              <w:t xml:space="preserve">Achieved by declining High Risk applicants (22% of portfolio, &gt;50% of defaults)</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000000"/>
                <w:sz w:val="20"/>
                <w:szCs w:val="20"/>
                <w:rtl w:val="0"/>
              </w:rPr>
              <w:t xml:space="preserve">Financial Loss Savings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000000"/>
                <w:sz w:val="20"/>
                <w:szCs w:val="20"/>
                <w:rtl w:val="0"/>
              </w:rPr>
              <w:t xml:space="preserve">~$7.1 Million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20"/>
                <w:szCs w:val="20"/>
                <w:rtl w:val="0"/>
              </w:rPr>
              <w:t xml:space="preserve">Est. 25–30% fewer defaults × Avg. loan loss × portfolio size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000000"/>
                <w:sz w:val="20"/>
                <w:szCs w:val="20"/>
                <w:rtl w:val="0"/>
              </w:rPr>
              <w:t xml:space="preserve">Approval Efficiency Gain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000000"/>
                <w:sz w:val="20"/>
                <w:szCs w:val="20"/>
                <w:rtl w:val="0"/>
              </w:rPr>
              <w:t xml:space="preserve">15–20% faster processing</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20"/>
                <w:szCs w:val="20"/>
                <w:rtl w:val="0"/>
              </w:rPr>
              <w:t xml:space="preserve">Fast-tracking Low Risk approvals reduces manual review workload</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000000"/>
                <w:sz w:val="20"/>
                <w:szCs w:val="20"/>
                <w:rtl w:val="0"/>
              </w:rPr>
              <w:t xml:space="preserve">Portfolio Quality Improvement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000000"/>
                <w:sz w:val="20"/>
                <w:szCs w:val="20"/>
                <w:rtl w:val="0"/>
              </w:rPr>
              <w:t xml:space="preserve">Significant uplift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000000"/>
                <w:sz w:val="20"/>
                <w:szCs w:val="20"/>
                <w:rtl w:val="0"/>
              </w:rPr>
              <w:t xml:space="preserve">Reduced concentration of High Risk loans improves overall credit quality metrics</w:t>
            </w:r>
            <w:r w:rsidDel="00000000" w:rsidR="00000000" w:rsidRPr="00000000">
              <w:rPr>
                <w:rtl w:val="0"/>
              </w:rPr>
            </w:r>
          </w:p>
        </w:tc>
      </w:tr>
    </w:tbl>
    <w:p w:rsidR="00000000" w:rsidDel="00000000" w:rsidP="00000000" w:rsidRDefault="00000000" w:rsidRPr="00000000" w14:paraId="00000195">
      <w:pPr>
        <w:spacing w:after="120" w:before="0" w:lineRule="auto"/>
        <w:rPr/>
      </w:pPr>
      <w:r w:rsidDel="00000000" w:rsidR="00000000" w:rsidRPr="00000000">
        <w:rPr>
          <w:rtl w:val="0"/>
        </w:rPr>
      </w:r>
    </w:p>
    <w:p w:rsidR="00000000" w:rsidDel="00000000" w:rsidP="00000000" w:rsidRDefault="00000000" w:rsidRPr="00000000" w14:paraId="00000196">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Note: The $7.1M savings estimate is calculated as: 25% reduction in defaults × 14.88% current default rate × 14,699 loans × $15,023 average loan × estimated 70% loss-given-default ratio. Actual savings will depend on implementation quality and portfolio composition changes.</w:t>
      </w:r>
      <w:r w:rsidDel="00000000" w:rsidR="00000000" w:rsidRPr="00000000">
        <w:rPr>
          <w:rtl w:val="0"/>
        </w:rPr>
      </w:r>
    </w:p>
    <w:p w:rsidR="00000000" w:rsidDel="00000000" w:rsidP="00000000" w:rsidRDefault="00000000" w:rsidRPr="00000000" w14:paraId="00000197">
      <w:pPr>
        <w:spacing w:after="240" w:before="0" w:lineRule="auto"/>
        <w:rPr/>
      </w:pPr>
      <w:r w:rsidDel="00000000" w:rsidR="00000000" w:rsidRPr="00000000">
        <w:rPr>
          <w:rtl w:val="0"/>
        </w:rPr>
      </w:r>
    </w:p>
    <w:p w:rsidR="00000000" w:rsidDel="00000000" w:rsidP="00000000" w:rsidRDefault="00000000" w:rsidRPr="00000000" w14:paraId="00000198">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13. Limitations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Scope: The dataset contains 14,699 loan records — statistically robust but not necessarily representative of all lending environments or economic conditions.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Financial Variables: Key risk factors such as credit history length, employment tenure, existing liabilities, and external credit scores are absent from the dataset.</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Snapshot: The data represents a fixed time period and does not capture long-term repayment trends or the impact of economic cycles on default behavior.</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Macroeconomic Exclusions: Variables such as inflation, unemployment rate, and interest rate changes are not incorporated, which limits the model's applicability in volatile economic environments.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Causal Inference: This analysis identifies correlations between borrower characteristics and default risk. Causation cannot be established without controlled experimentation or more sophisticated econometric modeling.</w:t>
      </w:r>
    </w:p>
    <w:p w:rsidR="00000000" w:rsidDel="00000000" w:rsidP="00000000" w:rsidRDefault="00000000" w:rsidRPr="00000000" w14:paraId="0000019E">
      <w:pPr>
        <w:spacing w:after="240" w:before="0" w:lineRule="auto"/>
        <w:rPr/>
      </w:pPr>
      <w:r w:rsidDel="00000000" w:rsidR="00000000" w:rsidRPr="00000000">
        <w:rPr>
          <w:rtl w:val="0"/>
        </w:rPr>
      </w:r>
    </w:p>
    <w:p w:rsidR="00000000" w:rsidDel="00000000" w:rsidP="00000000" w:rsidRDefault="00000000" w:rsidRPr="00000000" w14:paraId="0000019F">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14. Future Scope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Risk Modeling: Transition from descriptive analytics to machine learning models (logistic regression, gradient boosting, or neural networks) capable of predicting default probability at the point of application.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Scoring System Integration: Incorporate additional borrower attributes — employment history, external credit bureau scores, repayment behavior trends — into a comprehensive multi-factor risk score.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Risk Monitoring: Connect the dashboard to live loan databases for automated, real-time tracking of portfolio performance and early-warning flagging of at-risk accounts.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Approval Engine: Develop a rule-based and AI-assisted approval system that auto-approves Low Risk applicants, routes Medium Risk for review, and auto-declines or applies restrictions to High Risk applicants.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Scenario Modeling: Extend the framework to simulate default rate changes under different macroeconomic scenarios (recession, rising interest rates), enabling stress-testing of the loan portfolio.</w:t>
      </w:r>
    </w:p>
    <w:p w:rsidR="00000000" w:rsidDel="00000000" w:rsidP="00000000" w:rsidRDefault="00000000" w:rsidRPr="00000000" w14:paraId="000001A5">
      <w:pPr>
        <w:spacing w:after="240" w:before="0" w:lineRule="auto"/>
        <w:rPr/>
      </w:pPr>
      <w:r w:rsidDel="00000000" w:rsidR="00000000" w:rsidRPr="00000000">
        <w:rPr>
          <w:rtl w:val="0"/>
        </w:rPr>
      </w:r>
    </w:p>
    <w:p w:rsidR="00000000" w:rsidDel="00000000" w:rsidP="00000000" w:rsidRDefault="00000000" w:rsidRPr="00000000" w14:paraId="000001A6">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15. Conclusion</w:t>
      </w:r>
      <w:r w:rsidDel="00000000" w:rsidR="00000000" w:rsidRPr="00000000">
        <w:rPr>
          <w:rtl w:val="0"/>
        </w:rPr>
      </w:r>
    </w:p>
    <w:p w:rsidR="00000000" w:rsidDel="00000000" w:rsidP="00000000" w:rsidRDefault="00000000" w:rsidRPr="00000000" w14:paraId="000001A7">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This project successfully transforms 14,699 raw loan records into a structured, decision-ready risk intelligence framework for the banking and financial services sector. Through systematic data cleaning, KPI analysis, pivot table exploration, and an interactive Google Sheets dashboard, Group 17 has developed a comprehensive toolkit for identifying high-risk borrowers before loan approval.</w:t>
      </w:r>
      <w:r w:rsidDel="00000000" w:rsidR="00000000" w:rsidRPr="00000000">
        <w:rPr>
          <w:rtl w:val="0"/>
        </w:rPr>
      </w:r>
    </w:p>
    <w:p w:rsidR="00000000" w:rsidDel="00000000" w:rsidP="00000000" w:rsidRDefault="00000000" w:rsidRPr="00000000" w14:paraId="000001A8">
      <w:pPr>
        <w:spacing w:after="120" w:before="0" w:lineRule="auto"/>
        <w:rPr/>
      </w:pPr>
      <w:r w:rsidDel="00000000" w:rsidR="00000000" w:rsidRPr="00000000">
        <w:rPr>
          <w:rtl w:val="0"/>
        </w:rPr>
      </w:r>
    </w:p>
    <w:p w:rsidR="00000000" w:rsidDel="00000000" w:rsidP="00000000" w:rsidRDefault="00000000" w:rsidRPr="00000000" w14:paraId="000001A9">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The analysis establishes credit grade, debt-to-income ratio, and annual income as the three primary predictors of loan default — findings that are consistent, statistically meaningful, and operationally actionable. The Risk Segmentation Model provides a clear, tiered classification of borrowers into Low, Medium, and High risk categories, enabling targeted approval controls that are projected to reduce portfolio default rates from 14.88% to approximately 9–10%.</w:t>
      </w:r>
      <w:r w:rsidDel="00000000" w:rsidR="00000000" w:rsidRPr="00000000">
        <w:rPr>
          <w:rtl w:val="0"/>
        </w:rPr>
      </w:r>
    </w:p>
    <w:p w:rsidR="00000000" w:rsidDel="00000000" w:rsidP="00000000" w:rsidRDefault="00000000" w:rsidRPr="00000000" w14:paraId="000001AA">
      <w:pPr>
        <w:spacing w:after="120" w:before="0" w:lineRule="auto"/>
        <w:rPr/>
      </w:pPr>
      <w:r w:rsidDel="00000000" w:rsidR="00000000" w:rsidRPr="00000000">
        <w:rPr>
          <w:rtl w:val="0"/>
        </w:rPr>
      </w:r>
    </w:p>
    <w:p w:rsidR="00000000" w:rsidDel="00000000" w:rsidP="00000000" w:rsidRDefault="00000000" w:rsidRPr="00000000" w14:paraId="000001AB">
      <w:pPr>
        <w:spacing w:after="80" w:before="80" w:lineRule="auto"/>
        <w:jc w:val="both"/>
        <w:rPr/>
      </w:pPr>
      <w:r w:rsidDel="00000000" w:rsidR="00000000" w:rsidRPr="00000000">
        <w:rPr>
          <w:rFonts w:ascii="Arial" w:cs="Arial" w:eastAsia="Arial" w:hAnsi="Arial"/>
          <w:b w:val="0"/>
          <w:bCs w:val="0"/>
          <w:color w:val="000000"/>
          <w:sz w:val="22"/>
          <w:szCs w:val="22"/>
          <w:rtl w:val="0"/>
        </w:rPr>
        <w:t xml:space="preserve">Beyond default prediction, this project demonstrates the broader value of data-driven decision-making in financial risk management: institutions that replace intuition-based approvals with structured, indicator-driven frameworks can simultaneously reduce losses, improve operational efficiency, and build more resilient loan portfolios. The foundation established here positions Group 17's analysis as a launchpad for more advanced predictive modeling and real-time risk monitoring systems.</w:t>
      </w:r>
      <w:r w:rsidDel="00000000" w:rsidR="00000000" w:rsidRPr="00000000">
        <w:rPr>
          <w:rtl w:val="0"/>
        </w:rPr>
      </w:r>
    </w:p>
    <w:p w:rsidR="00000000" w:rsidDel="00000000" w:rsidP="00000000" w:rsidRDefault="00000000" w:rsidRPr="00000000" w14:paraId="000001AC">
      <w:pPr>
        <w:spacing w:after="240" w:before="0" w:lineRule="auto"/>
        <w:rPr/>
      </w:pPr>
      <w:r w:rsidDel="00000000" w:rsidR="00000000" w:rsidRPr="00000000">
        <w:rPr>
          <w:rtl w:val="0"/>
        </w:rPr>
      </w:r>
    </w:p>
    <w:p w:rsidR="00000000" w:rsidDel="00000000" w:rsidP="00000000" w:rsidRDefault="00000000" w:rsidRPr="00000000" w14:paraId="000001AD">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16. Appendix — Data Dictionary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000000"/>
                <w:sz w:val="20"/>
                <w:szCs w:val="20"/>
                <w:rtl w:val="0"/>
              </w:rPr>
              <w:t xml:space="preserve">loanID</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000000"/>
                <w:sz w:val="20"/>
                <w:szCs w:val="20"/>
                <w:rtl w:val="0"/>
              </w:rPr>
              <w:t xml:space="preserve">Integer</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000000"/>
                <w:sz w:val="20"/>
                <w:szCs w:val="20"/>
                <w:rtl w:val="0"/>
              </w:rPr>
              <w:t xml:space="preserve">Unique numeric identifier for each loan application</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000000"/>
                <w:sz w:val="20"/>
                <w:szCs w:val="20"/>
                <w:rtl w:val="0"/>
              </w:rPr>
              <w:t xml:space="preserve">amount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000000"/>
                <w:sz w:val="20"/>
                <w:szCs w:val="20"/>
                <w:rtl w:val="0"/>
              </w:rPr>
              <w:t xml:space="preserve">Currency ($)</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000000"/>
                <w:sz w:val="20"/>
                <w:szCs w:val="20"/>
                <w:rtl w:val="0"/>
              </w:rPr>
              <w:t xml:space="preserve">Total loan amount requested by the borrower</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000000"/>
                <w:sz w:val="20"/>
                <w:szCs w:val="20"/>
                <w:rtl w:val="0"/>
              </w:rPr>
              <w:t xml:space="preserve">grade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00000"/>
                <w:sz w:val="20"/>
                <w:szCs w:val="20"/>
                <w:rtl w:val="0"/>
              </w:rPr>
              <w:t xml:space="preserve">Categorical (A–G)</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000000"/>
                <w:sz w:val="20"/>
                <w:szCs w:val="20"/>
                <w:rtl w:val="0"/>
              </w:rPr>
              <w:t xml:space="preserve">Credit grade indicating creditworthiness and default risk</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000000"/>
                <w:sz w:val="20"/>
                <w:szCs w:val="20"/>
                <w:rtl w:val="0"/>
              </w:rPr>
              <w:t xml:space="preserve">income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000000"/>
                <w:sz w:val="20"/>
                <w:szCs w:val="20"/>
                <w:rtl w:val="0"/>
              </w:rPr>
              <w:t xml:space="preserve">Currency ($)</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00000"/>
                <w:sz w:val="20"/>
                <w:szCs w:val="20"/>
                <w:rtl w:val="0"/>
              </w:rPr>
              <w:t xml:space="preserve">Annual borrower income; proxy for repayment capacity</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000000"/>
                <w:sz w:val="20"/>
                <w:szCs w:val="20"/>
                <w:rtl w:val="0"/>
              </w:rPr>
              <w:t xml:space="preserve">debtIncRat</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00000"/>
                <w:sz w:val="20"/>
                <w:szCs w:val="20"/>
                <w:rtl w:val="0"/>
              </w:rPr>
              <w:t xml:space="preserve">Percentage (%)</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000000"/>
                <w:sz w:val="20"/>
                <w:szCs w:val="20"/>
                <w:rtl w:val="0"/>
              </w:rPr>
              <w:t xml:space="preserve">Debt-to-Income ratio; higher values indicate greater financial burden</w:t>
            </w:r>
            <w:r w:rsidDel="00000000" w:rsidR="00000000" w:rsidRPr="00000000">
              <w:rPr>
                <w:rtl w:val="0"/>
              </w:rPr>
            </w:r>
          </w:p>
        </w:tc>
      </w:tr>
      <w:tr>
        <w:trPr>
          <w:cantSplit w:val="0"/>
          <w:trHeight w:val="364.98046875" w:hRule="atLeast"/>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000000"/>
                <w:sz w:val="20"/>
                <w:szCs w:val="20"/>
                <w:rtl w:val="0"/>
              </w:rPr>
              <w:t xml:space="preserve">home</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000000"/>
                <w:sz w:val="20"/>
                <w:szCs w:val="20"/>
                <w:rtl w:val="0"/>
              </w:rPr>
              <w:t xml:space="preserve">Categorical</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00000"/>
                <w:sz w:val="20"/>
                <w:szCs w:val="20"/>
                <w:rtl w:val="0"/>
              </w:rPr>
              <w:t xml:space="preserve">Home ownership status: RENT, OWN, or MORTGAGE</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000000"/>
                <w:sz w:val="20"/>
                <w:szCs w:val="20"/>
                <w:rtl w:val="0"/>
              </w:rPr>
              <w:t xml:space="preserve">reason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00000"/>
                <w:sz w:val="20"/>
                <w:szCs w:val="20"/>
                <w:rtl w:val="0"/>
              </w:rPr>
              <w:t xml:space="preserve">Categorical</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000000"/>
                <w:sz w:val="20"/>
                <w:szCs w:val="20"/>
                <w:rtl w:val="0"/>
              </w:rPr>
              <w:t xml:space="preserve">Purpose of loan (e.g., debt consolidation, credit card, car)</w:t>
            </w:r>
            <w:r w:rsidDel="00000000" w:rsidR="00000000" w:rsidRPr="00000000">
              <w:rPr>
                <w:rtl w:val="0"/>
              </w:rPr>
            </w:r>
          </w:p>
        </w:tc>
      </w:tr>
      <w:tr>
        <w:trPr>
          <w:cantSplit w:val="0"/>
          <w:tblHeader w:val="0"/>
        </w:trPr>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000000"/>
                <w:sz w:val="20"/>
                <w:szCs w:val="20"/>
                <w:rtl w:val="0"/>
              </w:rPr>
              <w:t xml:space="preserve">status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000000"/>
                <w:sz w:val="20"/>
                <w:szCs w:val="20"/>
                <w:rtl w:val="0"/>
              </w:rPr>
              <w:t xml:space="preserve">Categorical</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000000"/>
                <w:sz w:val="20"/>
                <w:szCs w:val="20"/>
                <w:rtl w:val="0"/>
              </w:rPr>
              <w:t xml:space="preserve">Final loan outcome: Fully Paid, Charged Off, or Current</w:t>
            </w:r>
            <w:r w:rsidDel="00000000" w:rsidR="00000000" w:rsidRPr="00000000">
              <w:rPr>
                <w:rtl w:val="0"/>
              </w:rPr>
            </w:r>
          </w:p>
        </w:tc>
      </w:tr>
    </w:tbl>
    <w:p w:rsidR="00000000" w:rsidDel="00000000" w:rsidP="00000000" w:rsidRDefault="00000000" w:rsidRPr="00000000" w14:paraId="000001C9">
      <w:pPr>
        <w:spacing w:after="240" w:before="0" w:lineRule="auto"/>
        <w:rPr/>
      </w:pPr>
      <w:r w:rsidDel="00000000" w:rsidR="00000000" w:rsidRPr="00000000">
        <w:rPr>
          <w:rtl w:val="0"/>
        </w:rPr>
      </w:r>
    </w:p>
    <w:p w:rsidR="00000000" w:rsidDel="00000000" w:rsidP="00000000" w:rsidRDefault="00000000" w:rsidRPr="00000000" w14:paraId="000001CA">
      <w:pPr>
        <w:pStyle w:val="Heading1"/>
        <w:pBdr>
          <w:bottom w:color="2e75b6" w:space="4" w:sz="8" w:val="single"/>
        </w:pBdr>
        <w:spacing w:after="200" w:before="400" w:lineRule="auto"/>
        <w:rPr/>
      </w:pPr>
      <w:r w:rsidDel="00000000" w:rsidR="00000000" w:rsidRPr="00000000">
        <w:rPr>
          <w:rFonts w:ascii="Arial" w:cs="Arial" w:eastAsia="Arial" w:hAnsi="Arial"/>
          <w:b w:val="1"/>
          <w:bCs w:val="1"/>
          <w:color w:val="1f4e79"/>
          <w:sz w:val="32"/>
          <w:szCs w:val="32"/>
          <w:rtl w:val="0"/>
        </w:rPr>
        <w:t xml:space="preserve">17. Team Contribution Matrix</w:t>
      </w:r>
      <w:r w:rsidDel="00000000" w:rsidR="00000000" w:rsidRPr="00000000">
        <w:rPr>
          <w:rtl w:val="0"/>
        </w:rPr>
      </w:r>
    </w:p>
    <w:p w:rsidR="00000000" w:rsidDel="00000000" w:rsidP="00000000" w:rsidRDefault="00000000" w:rsidRPr="00000000" w14:paraId="000001CB">
      <w:pPr>
        <w:spacing w:after="80" w:before="80" w:lineRule="auto"/>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The following table documents individual contributions, ensuring transparency and accountability across all project deliverables:</w:t>
      </w:r>
    </w:p>
    <w:p w:rsidR="00000000" w:rsidDel="00000000" w:rsidP="00000000" w:rsidRDefault="00000000" w:rsidRPr="00000000" w14:paraId="000001CC">
      <w:pPr>
        <w:spacing w:after="80" w:before="80" w:lineRule="auto"/>
        <w:jc w:val="both"/>
        <w:rPr/>
      </w:pPr>
      <w:r w:rsidDel="00000000" w:rsidR="00000000" w:rsidRPr="00000000">
        <w:rPr>
          <w:rtl w:val="0"/>
        </w:rPr>
      </w:r>
    </w:p>
    <w:p w:rsidR="00000000" w:rsidDel="00000000" w:rsidP="00000000" w:rsidRDefault="00000000" w:rsidRPr="00000000" w14:paraId="000001CD">
      <w:pPr>
        <w:spacing w:after="180" w:before="180" w:line="276" w:lineRule="auto"/>
        <w:rPr>
          <w:sz w:val="18"/>
          <w:szCs w:val="18"/>
        </w:rPr>
      </w:pPr>
      <w:r w:rsidDel="00000000" w:rsidR="00000000" w:rsidRPr="00000000">
        <w:rPr>
          <w:rtl w:val="0"/>
        </w:rPr>
      </w:r>
    </w:p>
    <w:tbl>
      <w:tblPr>
        <w:tblStyle w:val="Table14"/>
        <w:tblW w:w="978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25"/>
        <w:gridCol w:w="1215"/>
        <w:gridCol w:w="1125"/>
        <w:gridCol w:w="1065"/>
        <w:gridCol w:w="1160.9999999999995"/>
        <w:gridCol w:w="1104.0000000000005"/>
        <w:gridCol w:w="915"/>
        <w:gridCol w:w="1770"/>
        <w:tblGridChange w:id="0">
          <w:tblGrid>
            <w:gridCol w:w="1425"/>
            <w:gridCol w:w="1215"/>
            <w:gridCol w:w="1125"/>
            <w:gridCol w:w="1065"/>
            <w:gridCol w:w="1160.9999999999995"/>
            <w:gridCol w:w="1104.0000000000005"/>
            <w:gridCol w:w="915"/>
            <w:gridCol w:w="1770"/>
          </w:tblGrid>
        </w:tblGridChange>
      </w:tblGrid>
      <w:tr>
        <w:trPr>
          <w:cantSplit w:val="0"/>
          <w:trHeight w:val="455" w:hRule="atLeast"/>
          <w:tblHeader w:val="0"/>
        </w:trPr>
        <w:tc>
          <w:tcPr>
            <w:tcBorders>
              <w:top w:color="808080" w:space="0" w:sz="6" w:val="single"/>
              <w:left w:color="808080" w:space="0" w:sz="6" w:val="single"/>
              <w:bottom w:color="808080" w:space="0" w:sz="6" w:val="single"/>
              <w:right w:color="80808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CE">
            <w:pPr>
              <w:spacing w:after="180" w:before="180" w:line="276" w:lineRule="auto"/>
              <w:rPr>
                <w:b w:val="1"/>
                <w:bCs w:val="1"/>
                <w:color w:val="ffffff"/>
                <w:sz w:val="18"/>
                <w:szCs w:val="18"/>
              </w:rPr>
            </w:pPr>
            <w:r w:rsidDel="00000000" w:rsidR="00000000" w:rsidRPr="00000000">
              <w:rPr>
                <w:b w:val="1"/>
                <w:bCs w:val="1"/>
                <w:color w:val="ffffff"/>
                <w:sz w:val="18"/>
                <w:szCs w:val="18"/>
                <w:rtl w:val="0"/>
              </w:rPr>
              <w:t xml:space="preserve">Team Member</w:t>
            </w:r>
          </w:p>
        </w:tc>
        <w:tc>
          <w:tcPr>
            <w:tcBorders>
              <w:top w:color="808080" w:space="0" w:sz="6" w:val="single"/>
              <w:left w:color="808080" w:space="0" w:sz="6" w:val="single"/>
              <w:bottom w:color="808080" w:space="0" w:sz="6" w:val="single"/>
              <w:right w:color="80808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CF">
            <w:pPr>
              <w:spacing w:after="180" w:before="180" w:line="276" w:lineRule="auto"/>
              <w:rPr>
                <w:b w:val="1"/>
                <w:bCs w:val="1"/>
                <w:color w:val="ffffff"/>
                <w:sz w:val="18"/>
                <w:szCs w:val="18"/>
              </w:rPr>
            </w:pPr>
            <w:r w:rsidDel="00000000" w:rsidR="00000000" w:rsidRPr="00000000">
              <w:rPr>
                <w:b w:val="1"/>
                <w:bCs w:val="1"/>
                <w:color w:val="ffffff"/>
                <w:sz w:val="18"/>
                <w:szCs w:val="18"/>
                <w:rtl w:val="0"/>
              </w:rPr>
              <w:t xml:space="preserve">Dataset &amp; Sourcing</w:t>
            </w:r>
          </w:p>
        </w:tc>
        <w:tc>
          <w:tcPr>
            <w:tcBorders>
              <w:top w:color="808080" w:space="0" w:sz="6" w:val="single"/>
              <w:left w:color="808080" w:space="0" w:sz="6" w:val="single"/>
              <w:bottom w:color="808080" w:space="0" w:sz="6" w:val="single"/>
              <w:right w:color="80808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D0">
            <w:pPr>
              <w:spacing w:after="180" w:before="180" w:line="276" w:lineRule="auto"/>
              <w:rPr>
                <w:b w:val="1"/>
                <w:bCs w:val="1"/>
                <w:color w:val="ffffff"/>
                <w:sz w:val="18"/>
                <w:szCs w:val="18"/>
              </w:rPr>
            </w:pPr>
            <w:r w:rsidDel="00000000" w:rsidR="00000000" w:rsidRPr="00000000">
              <w:rPr>
                <w:b w:val="1"/>
                <w:bCs w:val="1"/>
                <w:color w:val="ffffff"/>
                <w:sz w:val="18"/>
                <w:szCs w:val="18"/>
                <w:rtl w:val="0"/>
              </w:rPr>
              <w:t xml:space="preserve">Cleaning</w:t>
            </w:r>
          </w:p>
        </w:tc>
        <w:tc>
          <w:tcPr>
            <w:tcBorders>
              <w:top w:color="808080" w:space="0" w:sz="6" w:val="single"/>
              <w:left w:color="808080" w:space="0" w:sz="6" w:val="single"/>
              <w:bottom w:color="808080" w:space="0" w:sz="6" w:val="single"/>
              <w:right w:color="80808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D1">
            <w:pPr>
              <w:spacing w:after="180" w:before="180" w:line="276" w:lineRule="auto"/>
              <w:rPr>
                <w:b w:val="1"/>
                <w:bCs w:val="1"/>
                <w:color w:val="ffffff"/>
                <w:sz w:val="18"/>
                <w:szCs w:val="18"/>
              </w:rPr>
            </w:pPr>
            <w:r w:rsidDel="00000000" w:rsidR="00000000" w:rsidRPr="00000000">
              <w:rPr>
                <w:b w:val="1"/>
                <w:bCs w:val="1"/>
                <w:color w:val="ffffff"/>
                <w:sz w:val="18"/>
                <w:szCs w:val="18"/>
                <w:rtl w:val="0"/>
              </w:rPr>
              <w:t xml:space="preserve">KPI &amp; Analysis</w:t>
            </w:r>
          </w:p>
        </w:tc>
        <w:tc>
          <w:tcPr>
            <w:tcBorders>
              <w:top w:color="808080" w:space="0" w:sz="6" w:val="single"/>
              <w:left w:color="808080" w:space="0" w:sz="6" w:val="single"/>
              <w:bottom w:color="808080" w:space="0" w:sz="6" w:val="single"/>
              <w:right w:color="80808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D2">
            <w:pPr>
              <w:spacing w:after="180" w:before="180" w:line="276" w:lineRule="auto"/>
              <w:rPr>
                <w:b w:val="1"/>
                <w:bCs w:val="1"/>
                <w:color w:val="ffffff"/>
                <w:sz w:val="18"/>
                <w:szCs w:val="18"/>
              </w:rPr>
            </w:pPr>
            <w:r w:rsidDel="00000000" w:rsidR="00000000" w:rsidRPr="00000000">
              <w:rPr>
                <w:b w:val="1"/>
                <w:bCs w:val="1"/>
                <w:color w:val="ffffff"/>
                <w:sz w:val="18"/>
                <w:szCs w:val="18"/>
                <w:rtl w:val="0"/>
              </w:rPr>
              <w:t xml:space="preserve">Dashboard</w:t>
            </w:r>
          </w:p>
        </w:tc>
        <w:tc>
          <w:tcPr>
            <w:tcBorders>
              <w:top w:color="808080" w:space="0" w:sz="6" w:val="single"/>
              <w:left w:color="808080" w:space="0" w:sz="6" w:val="single"/>
              <w:bottom w:color="808080" w:space="0" w:sz="6" w:val="single"/>
              <w:right w:color="80808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D3">
            <w:pPr>
              <w:spacing w:after="180" w:before="180" w:line="276" w:lineRule="auto"/>
              <w:rPr>
                <w:b w:val="1"/>
                <w:bCs w:val="1"/>
                <w:color w:val="ffffff"/>
                <w:sz w:val="18"/>
                <w:szCs w:val="18"/>
              </w:rPr>
            </w:pPr>
            <w:r w:rsidDel="00000000" w:rsidR="00000000" w:rsidRPr="00000000">
              <w:rPr>
                <w:b w:val="1"/>
                <w:bCs w:val="1"/>
                <w:color w:val="ffffff"/>
                <w:sz w:val="18"/>
                <w:szCs w:val="18"/>
                <w:rtl w:val="0"/>
              </w:rPr>
              <w:t xml:space="preserve">Report Writing</w:t>
            </w:r>
          </w:p>
        </w:tc>
        <w:tc>
          <w:tcPr>
            <w:tcBorders>
              <w:top w:color="808080" w:space="0" w:sz="6" w:val="single"/>
              <w:left w:color="808080" w:space="0" w:sz="6" w:val="single"/>
              <w:bottom w:color="808080" w:space="0" w:sz="6" w:val="single"/>
              <w:right w:color="80808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D4">
            <w:pPr>
              <w:spacing w:after="180" w:before="180" w:line="276" w:lineRule="auto"/>
              <w:rPr>
                <w:b w:val="1"/>
                <w:bCs w:val="1"/>
                <w:color w:val="ffffff"/>
                <w:sz w:val="18"/>
                <w:szCs w:val="18"/>
              </w:rPr>
            </w:pPr>
            <w:r w:rsidDel="00000000" w:rsidR="00000000" w:rsidRPr="00000000">
              <w:rPr>
                <w:b w:val="1"/>
                <w:bCs w:val="1"/>
                <w:color w:val="ffffff"/>
                <w:sz w:val="18"/>
                <w:szCs w:val="18"/>
                <w:rtl w:val="0"/>
              </w:rPr>
              <w:t xml:space="preserve">PPT</w:t>
            </w:r>
          </w:p>
        </w:tc>
        <w:tc>
          <w:tcPr>
            <w:tcBorders>
              <w:top w:color="808080" w:space="0" w:sz="6" w:val="single"/>
              <w:left w:color="808080" w:space="0" w:sz="6" w:val="single"/>
              <w:bottom w:color="808080" w:space="0" w:sz="6" w:val="single"/>
              <w:right w:color="80808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D5">
            <w:pPr>
              <w:spacing w:after="180" w:before="180" w:line="276" w:lineRule="auto"/>
              <w:rPr>
                <w:b w:val="1"/>
                <w:bCs w:val="1"/>
                <w:color w:val="ffffff"/>
                <w:sz w:val="18"/>
                <w:szCs w:val="18"/>
              </w:rPr>
            </w:pPr>
            <w:r w:rsidDel="00000000" w:rsidR="00000000" w:rsidRPr="00000000">
              <w:rPr>
                <w:b w:val="1"/>
                <w:bCs w:val="1"/>
                <w:color w:val="ffffff"/>
                <w:sz w:val="18"/>
                <w:szCs w:val="18"/>
                <w:rtl w:val="0"/>
              </w:rPr>
              <w:t xml:space="preserve">Overall Role</w:t>
            </w:r>
          </w:p>
        </w:tc>
      </w:tr>
      <w:tr>
        <w:trPr>
          <w:cantSplit w:val="0"/>
          <w:trHeight w:val="4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180" w:before="180" w:line="276" w:lineRule="auto"/>
              <w:rPr>
                <w:b w:val="1"/>
                <w:bCs w:val="1"/>
                <w:sz w:val="12"/>
                <w:szCs w:val="12"/>
              </w:rPr>
            </w:pPr>
            <w:r w:rsidDel="00000000" w:rsidR="00000000" w:rsidRPr="00000000">
              <w:rPr>
                <w:b w:val="1"/>
                <w:bCs w:val="1"/>
                <w:sz w:val="18"/>
                <w:szCs w:val="18"/>
                <w:rtl w:val="0"/>
              </w:rPr>
              <w:t xml:space="preserve">Aditya Mathur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180" w:before="180" w:line="276" w:lineRule="auto"/>
              <w:rPr>
                <w:b w:val="1"/>
                <w:bCs w:val="1"/>
                <w:sz w:val="18"/>
                <w:szCs w:val="18"/>
              </w:rPr>
            </w:pPr>
            <w:r w:rsidDel="00000000" w:rsidR="00000000" w:rsidRPr="00000000">
              <w:rPr>
                <w:b w:val="1"/>
                <w:bCs w:val="1"/>
                <w:sz w:val="18"/>
                <w:szCs w:val="18"/>
                <w:rtl w:val="0"/>
              </w:rPr>
              <w:t xml:space="preserve">Project Lead</w:t>
            </w:r>
          </w:p>
        </w:tc>
      </w:tr>
      <w:tr>
        <w:trPr>
          <w:cantSplit w:val="0"/>
          <w:trHeight w:val="455"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DE">
            <w:pPr>
              <w:spacing w:after="180" w:before="180" w:line="276" w:lineRule="auto"/>
              <w:rPr>
                <w:b w:val="1"/>
                <w:bCs w:val="1"/>
                <w:sz w:val="18"/>
                <w:szCs w:val="18"/>
              </w:rPr>
            </w:pPr>
            <w:r w:rsidDel="00000000" w:rsidR="00000000" w:rsidRPr="00000000">
              <w:rPr>
                <w:b w:val="1"/>
                <w:bCs w:val="1"/>
                <w:sz w:val="18"/>
                <w:szCs w:val="18"/>
                <w:rtl w:val="0"/>
              </w:rPr>
              <w:t xml:space="preserve">Arhan Alam</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DF">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0">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1">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2">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3">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4">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5">
            <w:pPr>
              <w:spacing w:after="180" w:before="180" w:line="276" w:lineRule="auto"/>
              <w:rPr>
                <w:b w:val="1"/>
                <w:bCs w:val="1"/>
                <w:sz w:val="18"/>
                <w:szCs w:val="18"/>
              </w:rPr>
            </w:pPr>
            <w:r w:rsidDel="00000000" w:rsidR="00000000" w:rsidRPr="00000000">
              <w:rPr>
                <w:b w:val="1"/>
                <w:bCs w:val="1"/>
                <w:sz w:val="18"/>
                <w:szCs w:val="18"/>
                <w:rtl w:val="0"/>
              </w:rPr>
              <w:t xml:space="preserve">Data Lead</w:t>
            </w:r>
          </w:p>
        </w:tc>
      </w:tr>
      <w:tr>
        <w:trPr>
          <w:cantSplit w:val="0"/>
          <w:trHeight w:val="4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180" w:before="180" w:line="276" w:lineRule="auto"/>
              <w:rPr>
                <w:b w:val="1"/>
                <w:bCs w:val="1"/>
                <w:sz w:val="18"/>
                <w:szCs w:val="18"/>
              </w:rPr>
            </w:pPr>
            <w:r w:rsidDel="00000000" w:rsidR="00000000" w:rsidRPr="00000000">
              <w:rPr>
                <w:b w:val="1"/>
                <w:bCs w:val="1"/>
                <w:sz w:val="18"/>
                <w:szCs w:val="18"/>
                <w:rtl w:val="0"/>
              </w:rPr>
              <w:t xml:space="preserve">Krishiv</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180" w:before="180" w:line="276" w:lineRule="auto"/>
              <w:rPr>
                <w:b w:val="1"/>
                <w:bCs w:val="1"/>
                <w:sz w:val="18"/>
                <w:szCs w:val="18"/>
              </w:rPr>
            </w:pPr>
            <w:r w:rsidDel="00000000" w:rsidR="00000000" w:rsidRPr="00000000">
              <w:rPr>
                <w:b w:val="1"/>
                <w:bCs w:val="1"/>
                <w:sz w:val="18"/>
                <w:szCs w:val="18"/>
                <w:rtl w:val="0"/>
              </w:rPr>
              <w:t xml:space="preserve">Analysis Lead</w:t>
            </w:r>
          </w:p>
        </w:tc>
      </w:tr>
      <w:tr>
        <w:trPr>
          <w:cantSplit w:val="0"/>
          <w:trHeight w:val="455"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E">
            <w:pPr>
              <w:spacing w:after="180" w:before="180" w:line="276" w:lineRule="auto"/>
              <w:rPr>
                <w:b w:val="1"/>
                <w:bCs w:val="1"/>
                <w:sz w:val="18"/>
                <w:szCs w:val="18"/>
              </w:rPr>
            </w:pPr>
            <w:r w:rsidDel="00000000" w:rsidR="00000000" w:rsidRPr="00000000">
              <w:rPr>
                <w:b w:val="1"/>
                <w:bCs w:val="1"/>
                <w:sz w:val="18"/>
                <w:szCs w:val="18"/>
                <w:rtl w:val="0"/>
              </w:rPr>
              <w:t xml:space="preserve">Somraj Nandi</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F">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0">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1">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2">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3">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4">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5">
            <w:pPr>
              <w:spacing w:after="180" w:before="180" w:line="276" w:lineRule="auto"/>
              <w:rPr>
                <w:b w:val="1"/>
                <w:bCs w:val="1"/>
                <w:sz w:val="18"/>
                <w:szCs w:val="18"/>
              </w:rPr>
            </w:pPr>
            <w:r w:rsidDel="00000000" w:rsidR="00000000" w:rsidRPr="00000000">
              <w:rPr>
                <w:b w:val="1"/>
                <w:bCs w:val="1"/>
                <w:sz w:val="18"/>
                <w:szCs w:val="18"/>
                <w:rtl w:val="0"/>
              </w:rPr>
              <w:t xml:space="preserve">Dashboard Lead</w:t>
            </w:r>
          </w:p>
        </w:tc>
      </w:tr>
      <w:tr>
        <w:trPr>
          <w:cantSplit w:val="0"/>
          <w:trHeight w:val="854.0595703124836"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180" w:before="180" w:line="276" w:lineRule="auto"/>
              <w:rPr>
                <w:b w:val="1"/>
                <w:bCs w:val="1"/>
                <w:sz w:val="18"/>
                <w:szCs w:val="18"/>
              </w:rPr>
            </w:pPr>
            <w:r w:rsidDel="00000000" w:rsidR="00000000" w:rsidRPr="00000000">
              <w:rPr>
                <w:b w:val="1"/>
                <w:bCs w:val="1"/>
                <w:sz w:val="18"/>
                <w:szCs w:val="18"/>
                <w:rtl w:val="0"/>
              </w:rPr>
              <w:t xml:space="preserve">Divyanshu Singh</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180" w:before="180" w:line="276" w:lineRule="auto"/>
              <w:jc w:val="center"/>
              <w:rPr>
                <w:b w:val="1"/>
                <w:bCs w:val="1"/>
                <w:sz w:val="18"/>
                <w:szCs w:val="18"/>
              </w:rPr>
            </w:pPr>
            <w:r w:rsidDel="00000000" w:rsidR="00000000" w:rsidRPr="00000000">
              <w:rPr>
                <w:rFonts w:ascii="Courier New" w:cs="Courier New" w:eastAsia="Courier New" w:hAnsi="Courier New"/>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180" w:before="180" w:line="276" w:lineRule="auto"/>
              <w:jc w:val="center"/>
              <w:rPr>
                <w:b w:val="1"/>
                <w:bCs w:val="1"/>
                <w:sz w:val="18"/>
                <w:szCs w:val="18"/>
              </w:rPr>
            </w:pPr>
            <w:r w:rsidDel="00000000" w:rsidR="00000000" w:rsidRPr="00000000">
              <w:rPr>
                <w:rFonts w:ascii="Courier New" w:cs="Courier New" w:eastAsia="Courier New" w:hAnsi="Courier New"/>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180" w:before="180" w:line="276" w:lineRule="auto"/>
              <w:jc w:val="center"/>
              <w:rPr>
                <w:b w:val="1"/>
                <w:bCs w:val="1"/>
                <w:sz w:val="18"/>
                <w:szCs w:val="18"/>
              </w:rPr>
            </w:pPr>
            <w:r w:rsidDel="00000000" w:rsidR="00000000" w:rsidRPr="00000000">
              <w:rPr>
                <w:rFonts w:ascii="Courier New" w:cs="Courier New" w:eastAsia="Courier New" w:hAnsi="Courier New"/>
                <w:b w:val="1"/>
                <w:bCs w:val="1"/>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180" w:before="180" w:line="276" w:lineRule="auto"/>
              <w:jc w:val="center"/>
              <w:rPr>
                <w:b w:val="1"/>
                <w:bCs w:val="1"/>
                <w:sz w:val="18"/>
                <w:szCs w:val="18"/>
              </w:rPr>
            </w:pPr>
            <w:r w:rsidDel="00000000" w:rsidR="00000000" w:rsidRPr="00000000">
              <w:rPr>
                <w:rFonts w:ascii="Courier New" w:cs="Courier New" w:eastAsia="Courier New" w:hAnsi="Courier New"/>
                <w:color w:val="1f1f1f"/>
                <w:sz w:val="18"/>
                <w:szCs w:val="18"/>
                <w:shd w:fill="f0f4f9" w:val="clear"/>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180" w:before="180" w:line="276" w:lineRule="auto"/>
              <w:rPr>
                <w:b w:val="1"/>
                <w:bCs w:val="1"/>
                <w:sz w:val="18"/>
                <w:szCs w:val="18"/>
              </w:rPr>
            </w:pPr>
            <w:r w:rsidDel="00000000" w:rsidR="00000000" w:rsidRPr="00000000">
              <w:rPr>
                <w:b w:val="1"/>
                <w:bCs w:val="1"/>
                <w:sz w:val="18"/>
                <w:szCs w:val="18"/>
                <w:rtl w:val="0"/>
              </w:rPr>
              <w:t xml:space="preserve">Quality Lead</w:t>
            </w:r>
          </w:p>
        </w:tc>
      </w:tr>
      <w:tr>
        <w:trPr>
          <w:cantSplit w:val="0"/>
          <w:trHeight w:val="455"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E">
            <w:pPr>
              <w:spacing w:after="180" w:before="180" w:line="276" w:lineRule="auto"/>
              <w:rPr>
                <w:b w:val="1"/>
                <w:bCs w:val="1"/>
                <w:sz w:val="18"/>
                <w:szCs w:val="18"/>
              </w:rPr>
            </w:pPr>
            <w:r w:rsidDel="00000000" w:rsidR="00000000" w:rsidRPr="00000000">
              <w:rPr>
                <w:b w:val="1"/>
                <w:bCs w:val="1"/>
                <w:sz w:val="18"/>
                <w:szCs w:val="18"/>
                <w:rtl w:val="0"/>
              </w:rPr>
              <w:t xml:space="preserve">DRISHTI JHA</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F">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0">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1">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2">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3">
            <w:pPr>
              <w:spacing w:after="180" w:before="18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4">
            <w:pPr>
              <w:spacing w:after="180" w:before="180" w:line="276" w:lineRule="auto"/>
              <w:jc w:val="center"/>
              <w:rPr>
                <w:rFonts w:ascii="Courier New" w:cs="Courier New" w:eastAsia="Courier New" w:hAnsi="Courier New"/>
                <w:b w:val="1"/>
                <w:bCs w:val="1"/>
                <w:color w:val="1f1f1f"/>
                <w:sz w:val="18"/>
                <w:szCs w:val="18"/>
                <w:shd w:fill="f0f4f9" w:val="clear"/>
              </w:rPr>
            </w:pPr>
            <w:r w:rsidDel="00000000" w:rsidR="00000000" w:rsidRPr="00000000">
              <w:rPr>
                <w:rFonts w:ascii="Courier New" w:cs="Courier New" w:eastAsia="Courier New" w:hAnsi="Courier New"/>
                <w:b w:val="1"/>
                <w:bCs w:val="1"/>
                <w:color w:val="1f1f1f"/>
                <w:sz w:val="18"/>
                <w:szCs w:val="18"/>
                <w:shd w:fill="f0f4f9" w:val="clear"/>
                <w:rtl w:val="0"/>
              </w:rPr>
              <w:t xml:space="preserve">✔️</w:t>
            </w:r>
          </w:p>
        </w:tc>
        <w:tc>
          <w:tcPr>
            <w:tcBorders>
              <w:top w:color="808080" w:space="0" w:sz="6" w:val="single"/>
              <w:left w:color="808080" w:space="0" w:sz="6" w:val="single"/>
              <w:bottom w:color="808080" w:space="0" w:sz="6" w:val="single"/>
              <w:right w:color="80808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5">
            <w:pPr>
              <w:spacing w:after="180" w:before="180" w:line="276" w:lineRule="auto"/>
              <w:rPr>
                <w:b w:val="1"/>
                <w:bCs w:val="1"/>
                <w:sz w:val="18"/>
                <w:szCs w:val="18"/>
              </w:rPr>
            </w:pPr>
            <w:r w:rsidDel="00000000" w:rsidR="00000000" w:rsidRPr="00000000">
              <w:rPr>
                <w:b w:val="1"/>
                <w:bCs w:val="1"/>
                <w:sz w:val="18"/>
                <w:szCs w:val="18"/>
                <w:rtl w:val="0"/>
              </w:rPr>
              <w:t xml:space="preserve">Strategy Lead</w:t>
            </w:r>
          </w:p>
        </w:tc>
      </w:tr>
    </w:tbl>
    <w:p w:rsidR="00000000" w:rsidDel="00000000" w:rsidP="00000000" w:rsidRDefault="00000000" w:rsidRPr="00000000" w14:paraId="00000206">
      <w:pPr>
        <w:spacing w:after="180" w:before="180" w:line="276"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