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3631" w14:textId="77777777" w:rsidR="004E1CA0" w:rsidRDefault="004E1CA0" w:rsidP="00393CC9">
      <w:pPr>
        <w:pStyle w:val="CoverTitle-Arial48pt"/>
        <w:rPr>
          <w:color w:val="000000" w:themeColor="text1"/>
        </w:rPr>
      </w:pPr>
    </w:p>
    <w:p w14:paraId="2BA4E4A4" w14:textId="2045CD6F" w:rsidR="00225C9E" w:rsidRDefault="00225C9E" w:rsidP="00225C9E">
      <w:pPr>
        <w:pStyle w:val="CoverText-Aprial18pt"/>
        <w:rPr>
          <w:rFonts w:eastAsia="Times New Roman"/>
          <w:b/>
          <w:spacing w:val="-30"/>
          <w:kern w:val="0"/>
          <w:sz w:val="96"/>
          <w:szCs w:val="96"/>
          <w14:ligatures w14:val="none"/>
        </w:rPr>
      </w:pPr>
      <w:r w:rsidRPr="00CE171F">
        <w:rPr>
          <w:rFonts w:eastAsia="Times New Roman"/>
          <w:b/>
          <w:spacing w:val="-30"/>
          <w:kern w:val="0"/>
          <w:sz w:val="96"/>
          <w:szCs w:val="96"/>
          <w14:ligatures w14:val="none"/>
        </w:rPr>
        <w:t>Union Budget 2026</w:t>
      </w:r>
      <w:r w:rsidR="00C236D7">
        <w:rPr>
          <w:rFonts w:eastAsia="Times New Roman"/>
          <w:b/>
          <w:spacing w:val="-30"/>
          <w:kern w:val="0"/>
          <w:sz w:val="96"/>
          <w:szCs w:val="96"/>
          <w14:ligatures w14:val="none"/>
        </w:rPr>
        <w:t xml:space="preserve"> – Tax Proposals</w:t>
      </w:r>
    </w:p>
    <w:p w14:paraId="6FE439C6" w14:textId="77777777" w:rsidR="00225C9E" w:rsidRDefault="00225C9E" w:rsidP="00225C9E">
      <w:pPr>
        <w:pStyle w:val="CoverText-Aprial18pt"/>
      </w:pPr>
    </w:p>
    <w:p w14:paraId="218944BD" w14:textId="77777777" w:rsidR="00225C9E" w:rsidRPr="001E4A47" w:rsidRDefault="00225C9E" w:rsidP="00225C9E">
      <w:pPr>
        <w:pStyle w:val="CoverText-Aprial18pt"/>
      </w:pPr>
      <w:r w:rsidRPr="00FC776D">
        <w:t>Crowe Advisory Services (India) LLP</w:t>
      </w:r>
    </w:p>
    <w:p w14:paraId="34CF2AE3" w14:textId="77777777" w:rsidR="00492533" w:rsidRPr="001E4A47" w:rsidRDefault="00492533" w:rsidP="00492533">
      <w:pPr>
        <w:pStyle w:val="CoverText-Arial24pt"/>
        <w:rPr>
          <w:color w:val="000000" w:themeColor="text1"/>
          <w:sz w:val="36"/>
          <w:szCs w:val="36"/>
        </w:rPr>
      </w:pPr>
    </w:p>
    <w:p w14:paraId="4D1DC3A1" w14:textId="77777777" w:rsidR="00170342" w:rsidRPr="001E4A47" w:rsidRDefault="00170342" w:rsidP="00492533">
      <w:pPr>
        <w:pStyle w:val="CoverText-Arial24pt"/>
        <w:rPr>
          <w:color w:val="000000" w:themeColor="text1"/>
          <w:sz w:val="36"/>
          <w:szCs w:val="36"/>
        </w:rPr>
      </w:pPr>
    </w:p>
    <w:p w14:paraId="23BC213E" w14:textId="77777777" w:rsidR="00170342" w:rsidRDefault="00170342" w:rsidP="00492533">
      <w:pPr>
        <w:pStyle w:val="CoverText-Arial24pt"/>
        <w:sectPr w:rsidR="00170342" w:rsidSect="0015336C">
          <w:headerReference w:type="default" r:id="rId11"/>
          <w:footerReference w:type="default" r:id="rId12"/>
          <w:headerReference w:type="first" r:id="rId13"/>
          <w:footerReference w:type="first" r:id="rId14"/>
          <w:pgSz w:w="11906" w:h="16838"/>
          <w:pgMar w:top="2835" w:right="1361" w:bottom="2268" w:left="1361" w:header="720" w:footer="720" w:gutter="0"/>
          <w:cols w:space="720"/>
          <w:docGrid w:linePitch="360"/>
        </w:sectPr>
      </w:pPr>
    </w:p>
    <w:p w14:paraId="3202C2A4" w14:textId="77777777" w:rsidR="00225C9E" w:rsidRDefault="00225C9E" w:rsidP="00225C9E">
      <w:pPr>
        <w:pStyle w:val="HeadingStyle1-18pt"/>
        <w:tabs>
          <w:tab w:val="left" w:pos="3567"/>
        </w:tabs>
        <w:spacing w:before="0" w:after="240"/>
        <w:rPr>
          <w:bCs/>
        </w:rPr>
      </w:pPr>
    </w:p>
    <w:p w14:paraId="0D2E94C0" w14:textId="77777777" w:rsidR="00225C9E" w:rsidRDefault="00225C9E" w:rsidP="00225C9E">
      <w:pPr>
        <w:pStyle w:val="HeadingStyle1-18pt"/>
        <w:tabs>
          <w:tab w:val="left" w:pos="3567"/>
        </w:tabs>
        <w:spacing w:before="0" w:after="240"/>
        <w:rPr>
          <w:bCs/>
        </w:rPr>
      </w:pPr>
    </w:p>
    <w:p w14:paraId="4B14FEAE" w14:textId="77777777" w:rsidR="00225C9E" w:rsidRDefault="00225C9E" w:rsidP="00225C9E">
      <w:pPr>
        <w:pStyle w:val="HeadingStyle1-18pt"/>
        <w:tabs>
          <w:tab w:val="left" w:pos="3567"/>
        </w:tabs>
        <w:spacing w:before="0" w:after="240"/>
        <w:rPr>
          <w:bCs/>
        </w:rPr>
      </w:pPr>
    </w:p>
    <w:p w14:paraId="352E6237" w14:textId="77777777" w:rsidR="00225C9E" w:rsidRDefault="00225C9E" w:rsidP="00225C9E">
      <w:pPr>
        <w:pStyle w:val="HeadingStyle1-18pt"/>
        <w:tabs>
          <w:tab w:val="left" w:pos="3567"/>
        </w:tabs>
        <w:spacing w:before="0" w:after="240"/>
        <w:rPr>
          <w:bCs/>
        </w:rPr>
      </w:pPr>
    </w:p>
    <w:p w14:paraId="2D5B811F" w14:textId="77777777" w:rsidR="00225C9E" w:rsidRDefault="00225C9E" w:rsidP="00225C9E">
      <w:pPr>
        <w:pStyle w:val="HeadingStyle1-18pt"/>
        <w:tabs>
          <w:tab w:val="left" w:pos="3567"/>
        </w:tabs>
        <w:spacing w:before="0" w:after="240"/>
        <w:rPr>
          <w:bCs/>
        </w:rPr>
      </w:pPr>
    </w:p>
    <w:p w14:paraId="7366A299" w14:textId="77777777" w:rsidR="00225C9E" w:rsidRDefault="00225C9E" w:rsidP="00225C9E">
      <w:pPr>
        <w:pStyle w:val="HeadingStyle1-18pt"/>
        <w:tabs>
          <w:tab w:val="left" w:pos="3567"/>
        </w:tabs>
        <w:spacing w:before="0" w:after="240"/>
        <w:rPr>
          <w:bCs/>
        </w:rPr>
      </w:pPr>
    </w:p>
    <w:p w14:paraId="090B98FF" w14:textId="77777777" w:rsidR="00225C9E" w:rsidRDefault="00225C9E" w:rsidP="00225C9E">
      <w:pPr>
        <w:pStyle w:val="HeadingStyle1-18pt"/>
        <w:tabs>
          <w:tab w:val="left" w:pos="3567"/>
        </w:tabs>
        <w:spacing w:before="0" w:after="240"/>
        <w:rPr>
          <w:bCs/>
        </w:rPr>
      </w:pPr>
    </w:p>
    <w:p w14:paraId="753DAF6D" w14:textId="77777777" w:rsidR="00225C9E" w:rsidRDefault="00225C9E" w:rsidP="00225C9E">
      <w:pPr>
        <w:pStyle w:val="HeadingStyle1-18pt"/>
        <w:tabs>
          <w:tab w:val="left" w:pos="3567"/>
        </w:tabs>
        <w:spacing w:before="0" w:after="240"/>
        <w:rPr>
          <w:bCs/>
        </w:rPr>
      </w:pPr>
    </w:p>
    <w:p w14:paraId="6D6F8EEF" w14:textId="77777777" w:rsidR="001F1227" w:rsidRPr="00BB26D7" w:rsidRDefault="001F1227" w:rsidP="001F1227">
      <w:pPr>
        <w:pStyle w:val="HeadingStyle2-14pt"/>
        <w:rPr>
          <w:b w:val="0"/>
          <w:sz w:val="20"/>
          <w:szCs w:val="20"/>
          <w:lang w:val="en-IN"/>
        </w:rPr>
      </w:pPr>
      <w:r w:rsidRPr="002A3BE3">
        <w:rPr>
          <w:sz w:val="36"/>
          <w:szCs w:val="36"/>
        </w:rPr>
        <w:lastRenderedPageBreak/>
        <w:t>Tax Reforms and Fiscal Measures</w:t>
      </w:r>
    </w:p>
    <w:p w14:paraId="6BCB5604" w14:textId="77777777" w:rsidR="001F1227" w:rsidRDefault="001F1227" w:rsidP="001F1227">
      <w:pPr>
        <w:pStyle w:val="HeadingStyle2-14pt"/>
      </w:pPr>
      <w:r w:rsidRPr="002A3BE3">
        <w:t>Key Objectives of Budget 2026 - Direct Tax Proposals</w:t>
      </w:r>
    </w:p>
    <w:p w14:paraId="72AFC692" w14:textId="77777777" w:rsidR="001F1227" w:rsidRPr="00A92E83" w:rsidRDefault="001F1227" w:rsidP="001F1227">
      <w:pPr>
        <w:pStyle w:val="HeadingStyle2-14pt"/>
        <w:spacing w:before="0"/>
        <w:rPr>
          <w:sz w:val="36"/>
          <w:szCs w:val="36"/>
        </w:rPr>
      </w:pPr>
    </w:p>
    <w:p w14:paraId="5C61B743" w14:textId="77777777" w:rsidR="001F1227" w:rsidRPr="0041233A" w:rsidRDefault="001F1227" w:rsidP="001F1227">
      <w:pPr>
        <w:pStyle w:val="HeadingStyle2-14pt"/>
        <w:numPr>
          <w:ilvl w:val="0"/>
          <w:numId w:val="62"/>
        </w:numPr>
        <w:tabs>
          <w:tab w:val="clear" w:pos="720"/>
        </w:tabs>
        <w:spacing w:before="0" w:line="360" w:lineRule="auto"/>
        <w:ind w:left="142" w:hanging="284"/>
        <w:jc w:val="both"/>
        <w:rPr>
          <w:rFonts w:asciiTheme="minorHAnsi" w:hAnsiTheme="minorHAnsi" w:cstheme="minorHAnsi"/>
          <w:bCs/>
          <w:sz w:val="24"/>
          <w:szCs w:val="24"/>
        </w:rPr>
      </w:pPr>
      <w:r w:rsidRPr="0041233A">
        <w:rPr>
          <w:rFonts w:asciiTheme="minorHAnsi" w:hAnsiTheme="minorHAnsi" w:cstheme="minorHAnsi"/>
          <w:bCs/>
          <w:sz w:val="24"/>
          <w:szCs w:val="24"/>
        </w:rPr>
        <w:t>Simplification and Modernization of the Tax Code</w:t>
      </w:r>
    </w:p>
    <w:p w14:paraId="2BC078A8" w14:textId="77777777" w:rsidR="001F1227" w:rsidRDefault="001F1227" w:rsidP="001F1227">
      <w:pPr>
        <w:pStyle w:val="HeadingStyle2-14pt"/>
        <w:spacing w:before="0" w:line="360" w:lineRule="auto"/>
        <w:ind w:left="426" w:hanging="284"/>
        <w:jc w:val="both"/>
        <w:rPr>
          <w:rFonts w:asciiTheme="minorHAnsi" w:hAnsiTheme="minorHAnsi" w:cstheme="minorHAnsi"/>
          <w:b w:val="0"/>
          <w:bCs/>
          <w:sz w:val="20"/>
          <w:szCs w:val="20"/>
        </w:rPr>
      </w:pPr>
      <w:r w:rsidRPr="0041233A">
        <w:rPr>
          <w:rFonts w:asciiTheme="minorHAnsi" w:hAnsiTheme="minorHAnsi" w:cstheme="minorHAnsi"/>
          <w:b w:val="0"/>
          <w:bCs/>
          <w:sz w:val="20"/>
          <w:szCs w:val="20"/>
        </w:rPr>
        <w:t>Make the income tax law simpler, more transparent, and easier to understand and implement.</w:t>
      </w:r>
    </w:p>
    <w:p w14:paraId="11E18D6A" w14:textId="77777777" w:rsidR="001F1227" w:rsidRPr="0041233A" w:rsidRDefault="001F1227" w:rsidP="001F1227">
      <w:pPr>
        <w:pStyle w:val="HeadingStyle2-14pt"/>
        <w:spacing w:before="0" w:line="360" w:lineRule="auto"/>
        <w:ind w:left="142" w:hanging="284"/>
        <w:jc w:val="both"/>
        <w:rPr>
          <w:rFonts w:asciiTheme="minorHAnsi" w:hAnsiTheme="minorHAnsi" w:cstheme="minorHAnsi"/>
          <w:b w:val="0"/>
          <w:bCs/>
          <w:sz w:val="20"/>
          <w:szCs w:val="20"/>
        </w:rPr>
      </w:pPr>
    </w:p>
    <w:p w14:paraId="14FAE0D2" w14:textId="77777777" w:rsidR="001F1227" w:rsidRPr="0041233A" w:rsidRDefault="001F1227" w:rsidP="001F1227">
      <w:pPr>
        <w:pStyle w:val="HeadingStyle2-14pt"/>
        <w:numPr>
          <w:ilvl w:val="0"/>
          <w:numId w:val="62"/>
        </w:numPr>
        <w:tabs>
          <w:tab w:val="clear" w:pos="720"/>
        </w:tabs>
        <w:spacing w:before="0" w:line="360" w:lineRule="auto"/>
        <w:ind w:left="142" w:hanging="284"/>
        <w:jc w:val="both"/>
        <w:rPr>
          <w:rFonts w:asciiTheme="minorHAnsi" w:hAnsiTheme="minorHAnsi" w:cstheme="minorHAnsi"/>
          <w:bCs/>
          <w:sz w:val="24"/>
          <w:szCs w:val="24"/>
        </w:rPr>
      </w:pPr>
      <w:r w:rsidRPr="0041233A">
        <w:rPr>
          <w:rFonts w:asciiTheme="minorHAnsi" w:hAnsiTheme="minorHAnsi" w:cstheme="minorHAnsi"/>
          <w:bCs/>
          <w:sz w:val="24"/>
          <w:szCs w:val="24"/>
        </w:rPr>
        <w:t>Ease of Compliance and Voluntary Tax Filing</w:t>
      </w:r>
    </w:p>
    <w:p w14:paraId="778F8C70" w14:textId="77777777" w:rsidR="001F1227" w:rsidRDefault="001F1227" w:rsidP="001F1227">
      <w:pPr>
        <w:pStyle w:val="HeadingStyle2-14pt"/>
        <w:spacing w:before="0" w:line="360" w:lineRule="auto"/>
        <w:ind w:left="426" w:hanging="284"/>
        <w:jc w:val="both"/>
        <w:rPr>
          <w:rFonts w:asciiTheme="minorHAnsi" w:hAnsiTheme="minorHAnsi" w:cstheme="minorHAnsi"/>
          <w:b w:val="0"/>
          <w:bCs/>
          <w:sz w:val="20"/>
          <w:szCs w:val="20"/>
        </w:rPr>
      </w:pPr>
      <w:r w:rsidRPr="0041233A">
        <w:rPr>
          <w:rFonts w:asciiTheme="minorHAnsi" w:hAnsiTheme="minorHAnsi" w:cstheme="minorHAnsi"/>
          <w:b w:val="0"/>
          <w:bCs/>
          <w:sz w:val="20"/>
          <w:szCs w:val="20"/>
        </w:rPr>
        <w:t>Reduce compliance burden and encourage taxpayers to voluntarily comply with tax requirements</w:t>
      </w:r>
    </w:p>
    <w:p w14:paraId="590B8EB6" w14:textId="77777777" w:rsidR="001F1227" w:rsidRPr="0041233A" w:rsidRDefault="001F1227" w:rsidP="001F1227">
      <w:pPr>
        <w:pStyle w:val="HeadingStyle2-14pt"/>
        <w:spacing w:before="0" w:line="360" w:lineRule="auto"/>
        <w:ind w:left="142" w:hanging="284"/>
        <w:jc w:val="both"/>
        <w:rPr>
          <w:rFonts w:asciiTheme="minorHAnsi" w:hAnsiTheme="minorHAnsi" w:cstheme="minorHAnsi"/>
          <w:b w:val="0"/>
          <w:bCs/>
          <w:sz w:val="20"/>
          <w:szCs w:val="20"/>
        </w:rPr>
      </w:pPr>
    </w:p>
    <w:p w14:paraId="2B6EB6DB" w14:textId="77777777" w:rsidR="001F1227" w:rsidRPr="0041233A" w:rsidRDefault="001F1227" w:rsidP="001F1227">
      <w:pPr>
        <w:pStyle w:val="HeadingStyle2-14pt"/>
        <w:numPr>
          <w:ilvl w:val="0"/>
          <w:numId w:val="62"/>
        </w:numPr>
        <w:tabs>
          <w:tab w:val="clear" w:pos="720"/>
        </w:tabs>
        <w:spacing w:before="0" w:line="360" w:lineRule="auto"/>
        <w:ind w:left="142" w:hanging="284"/>
        <w:jc w:val="both"/>
        <w:rPr>
          <w:rFonts w:asciiTheme="minorHAnsi" w:hAnsiTheme="minorHAnsi" w:cstheme="minorHAnsi"/>
          <w:bCs/>
          <w:sz w:val="24"/>
          <w:szCs w:val="24"/>
        </w:rPr>
      </w:pPr>
      <w:r w:rsidRPr="0041233A">
        <w:rPr>
          <w:rFonts w:asciiTheme="minorHAnsi" w:hAnsiTheme="minorHAnsi" w:cstheme="minorHAnsi"/>
          <w:bCs/>
          <w:sz w:val="24"/>
          <w:szCs w:val="24"/>
        </w:rPr>
        <w:t xml:space="preserve">Targeted </w:t>
      </w:r>
      <w:proofErr w:type="spellStart"/>
      <w:r w:rsidRPr="0041233A">
        <w:rPr>
          <w:rFonts w:asciiTheme="minorHAnsi" w:hAnsiTheme="minorHAnsi" w:cstheme="minorHAnsi"/>
          <w:bCs/>
          <w:sz w:val="24"/>
          <w:szCs w:val="24"/>
        </w:rPr>
        <w:t>Rationalisation</w:t>
      </w:r>
      <w:proofErr w:type="spellEnd"/>
      <w:r w:rsidRPr="0041233A">
        <w:rPr>
          <w:rFonts w:asciiTheme="minorHAnsi" w:hAnsiTheme="minorHAnsi" w:cstheme="minorHAnsi"/>
          <w:bCs/>
          <w:sz w:val="24"/>
          <w:szCs w:val="24"/>
        </w:rPr>
        <w:t xml:space="preserve"> of TDS / TCS Rules</w:t>
      </w:r>
    </w:p>
    <w:p w14:paraId="5169C820" w14:textId="77777777" w:rsidR="001F1227" w:rsidRDefault="001F1227" w:rsidP="001F1227">
      <w:pPr>
        <w:pStyle w:val="HeadingStyle2-14pt"/>
        <w:spacing w:before="0" w:line="360" w:lineRule="auto"/>
        <w:ind w:left="426" w:hanging="284"/>
        <w:jc w:val="both"/>
        <w:rPr>
          <w:rFonts w:asciiTheme="minorHAnsi" w:hAnsiTheme="minorHAnsi" w:cstheme="minorHAnsi"/>
          <w:b w:val="0"/>
          <w:bCs/>
          <w:sz w:val="20"/>
          <w:szCs w:val="20"/>
        </w:rPr>
      </w:pPr>
      <w:r w:rsidRPr="0041233A">
        <w:rPr>
          <w:rFonts w:asciiTheme="minorHAnsi" w:hAnsiTheme="minorHAnsi" w:cstheme="minorHAnsi"/>
          <w:b w:val="0"/>
          <w:bCs/>
          <w:sz w:val="20"/>
          <w:szCs w:val="20"/>
        </w:rPr>
        <w:t xml:space="preserve">Improve cash flows for taxpayers and make TDS / TCS system more straightforward and </w:t>
      </w:r>
      <w:proofErr w:type="gramStart"/>
      <w:r w:rsidRPr="0041233A">
        <w:rPr>
          <w:rFonts w:asciiTheme="minorHAnsi" w:hAnsiTheme="minorHAnsi" w:cstheme="minorHAnsi"/>
          <w:b w:val="0"/>
          <w:bCs/>
          <w:sz w:val="20"/>
          <w:szCs w:val="20"/>
        </w:rPr>
        <w:t>taxpayer-friendly</w:t>
      </w:r>
      <w:proofErr w:type="gramEnd"/>
      <w:r w:rsidRPr="0041233A">
        <w:rPr>
          <w:rFonts w:asciiTheme="minorHAnsi" w:hAnsiTheme="minorHAnsi" w:cstheme="minorHAnsi"/>
          <w:b w:val="0"/>
          <w:bCs/>
          <w:sz w:val="20"/>
          <w:szCs w:val="20"/>
        </w:rPr>
        <w:t>.</w:t>
      </w:r>
    </w:p>
    <w:p w14:paraId="622F41EC" w14:textId="77777777" w:rsidR="001F1227" w:rsidRPr="0041233A" w:rsidRDefault="001F1227" w:rsidP="001F1227">
      <w:pPr>
        <w:pStyle w:val="HeadingStyle2-14pt"/>
        <w:spacing w:before="0" w:line="360" w:lineRule="auto"/>
        <w:ind w:left="142" w:hanging="284"/>
        <w:jc w:val="both"/>
        <w:rPr>
          <w:rFonts w:asciiTheme="minorHAnsi" w:hAnsiTheme="minorHAnsi" w:cstheme="minorHAnsi"/>
          <w:b w:val="0"/>
          <w:bCs/>
          <w:sz w:val="20"/>
          <w:szCs w:val="20"/>
        </w:rPr>
      </w:pPr>
    </w:p>
    <w:p w14:paraId="4A00F3D1" w14:textId="77777777" w:rsidR="001F1227" w:rsidRPr="0041233A" w:rsidRDefault="001F1227" w:rsidP="001F1227">
      <w:pPr>
        <w:pStyle w:val="HeadingStyle2-14pt"/>
        <w:numPr>
          <w:ilvl w:val="0"/>
          <w:numId w:val="63"/>
        </w:numPr>
        <w:tabs>
          <w:tab w:val="clear" w:pos="720"/>
        </w:tabs>
        <w:spacing w:before="0" w:line="360" w:lineRule="auto"/>
        <w:ind w:left="142" w:hanging="284"/>
        <w:jc w:val="both"/>
        <w:rPr>
          <w:rFonts w:asciiTheme="minorHAnsi" w:hAnsiTheme="minorHAnsi" w:cstheme="minorHAnsi"/>
          <w:bCs/>
          <w:sz w:val="24"/>
          <w:szCs w:val="24"/>
        </w:rPr>
      </w:pPr>
      <w:r w:rsidRPr="0041233A">
        <w:rPr>
          <w:rFonts w:asciiTheme="minorHAnsi" w:hAnsiTheme="minorHAnsi" w:cstheme="minorHAnsi"/>
          <w:bCs/>
          <w:sz w:val="24"/>
          <w:szCs w:val="24"/>
        </w:rPr>
        <w:t>Fairness and Neutrality</w:t>
      </w:r>
    </w:p>
    <w:p w14:paraId="21968726" w14:textId="77777777" w:rsidR="001F1227" w:rsidRPr="0041233A" w:rsidRDefault="001F1227" w:rsidP="001F1227">
      <w:pPr>
        <w:pStyle w:val="HeadingStyle2-14pt"/>
        <w:spacing w:before="0" w:line="360" w:lineRule="auto"/>
        <w:ind w:left="426" w:hanging="284"/>
        <w:jc w:val="both"/>
        <w:rPr>
          <w:rFonts w:asciiTheme="minorHAnsi" w:hAnsiTheme="minorHAnsi" w:cstheme="minorHAnsi"/>
          <w:b w:val="0"/>
          <w:bCs/>
          <w:sz w:val="20"/>
          <w:szCs w:val="20"/>
        </w:rPr>
      </w:pPr>
      <w:r w:rsidRPr="0041233A">
        <w:rPr>
          <w:rFonts w:asciiTheme="minorHAnsi" w:hAnsiTheme="minorHAnsi" w:cstheme="minorHAnsi"/>
          <w:b w:val="0"/>
          <w:bCs/>
          <w:sz w:val="20"/>
          <w:szCs w:val="20"/>
        </w:rPr>
        <w:t>Ensure equity and fairness in taxation, reducing anomalies and creating level playing field.</w:t>
      </w:r>
    </w:p>
    <w:p w14:paraId="26CB77B3" w14:textId="77777777" w:rsidR="001F1227" w:rsidRPr="0041233A" w:rsidRDefault="001F1227" w:rsidP="001F1227">
      <w:pPr>
        <w:pStyle w:val="HeadingStyle2-14pt"/>
        <w:spacing w:before="0" w:line="360" w:lineRule="auto"/>
        <w:ind w:left="426" w:hanging="284"/>
        <w:jc w:val="both"/>
        <w:rPr>
          <w:rFonts w:asciiTheme="minorHAnsi" w:hAnsiTheme="minorHAnsi" w:cstheme="minorHAnsi"/>
          <w:b w:val="0"/>
          <w:sz w:val="20"/>
          <w:szCs w:val="20"/>
        </w:rPr>
      </w:pPr>
    </w:p>
    <w:p w14:paraId="66BBDF06" w14:textId="77777777" w:rsidR="001F1227" w:rsidRPr="0041233A" w:rsidRDefault="001F1227" w:rsidP="001F1227">
      <w:pPr>
        <w:pStyle w:val="HeadingStyle2-14pt"/>
        <w:numPr>
          <w:ilvl w:val="0"/>
          <w:numId w:val="63"/>
        </w:numPr>
        <w:tabs>
          <w:tab w:val="clear" w:pos="720"/>
        </w:tabs>
        <w:spacing w:before="0" w:line="360" w:lineRule="auto"/>
        <w:ind w:left="142" w:hanging="284"/>
        <w:jc w:val="both"/>
        <w:rPr>
          <w:rFonts w:asciiTheme="minorHAnsi" w:hAnsiTheme="minorHAnsi" w:cstheme="minorHAnsi"/>
          <w:bCs/>
          <w:sz w:val="24"/>
          <w:szCs w:val="24"/>
        </w:rPr>
      </w:pPr>
      <w:r w:rsidRPr="0041233A">
        <w:rPr>
          <w:rFonts w:asciiTheme="minorHAnsi" w:hAnsiTheme="minorHAnsi" w:cstheme="minorHAnsi"/>
          <w:bCs/>
          <w:sz w:val="24"/>
          <w:szCs w:val="24"/>
        </w:rPr>
        <w:t>Encourage Investment &amp; Ease of Doing Business</w:t>
      </w:r>
    </w:p>
    <w:p w14:paraId="5067D094" w14:textId="77777777" w:rsidR="001F1227" w:rsidRPr="0041233A" w:rsidRDefault="001F1227" w:rsidP="001F1227">
      <w:pPr>
        <w:pStyle w:val="HeadingStyle2-14pt"/>
        <w:spacing w:before="0" w:line="360" w:lineRule="auto"/>
        <w:ind w:left="426" w:hanging="284"/>
        <w:jc w:val="both"/>
        <w:rPr>
          <w:b w:val="0"/>
          <w:bCs/>
          <w:sz w:val="20"/>
          <w:szCs w:val="20"/>
        </w:rPr>
      </w:pPr>
      <w:r w:rsidRPr="0041233A">
        <w:rPr>
          <w:rFonts w:asciiTheme="minorHAnsi" w:hAnsiTheme="minorHAnsi" w:cstheme="minorHAnsi"/>
          <w:b w:val="0"/>
          <w:bCs/>
          <w:sz w:val="20"/>
          <w:szCs w:val="20"/>
        </w:rPr>
        <w:t>Policies aimed at boosting job creation and attracting investments.</w:t>
      </w:r>
    </w:p>
    <w:p w14:paraId="39B9B115" w14:textId="77777777" w:rsidR="001F1227" w:rsidRDefault="001F1227" w:rsidP="001F1227">
      <w:pPr>
        <w:pStyle w:val="HeadingStyle2-14pt"/>
        <w:spacing w:line="360" w:lineRule="auto"/>
        <w:ind w:left="142" w:hanging="284"/>
        <w:jc w:val="both"/>
      </w:pPr>
    </w:p>
    <w:p w14:paraId="23CB3B03" w14:textId="77777777" w:rsidR="001F1227" w:rsidRDefault="001F1227" w:rsidP="00BA5849">
      <w:pPr>
        <w:pStyle w:val="HeadingStyle2-14pt"/>
        <w:spacing w:before="0" w:line="480" w:lineRule="auto"/>
      </w:pPr>
      <w:r>
        <w:br w:type="column"/>
      </w:r>
      <w:r w:rsidRPr="00C83DDB">
        <w:lastRenderedPageBreak/>
        <w:t>Individual</w:t>
      </w:r>
      <w:r>
        <w:t xml:space="preserve"> </w:t>
      </w:r>
      <w:r w:rsidRPr="00C83DDB">
        <w:t>Taxation</w:t>
      </w:r>
    </w:p>
    <w:p w14:paraId="46A3A766" w14:textId="77777777" w:rsidR="001F1227" w:rsidRPr="001B07F3" w:rsidRDefault="001F1227" w:rsidP="00BA5849">
      <w:pPr>
        <w:pStyle w:val="HeadingStyle2-14pt"/>
        <w:spacing w:before="0" w:line="480" w:lineRule="auto"/>
        <w:rPr>
          <w:sz w:val="24"/>
          <w:szCs w:val="24"/>
        </w:rPr>
      </w:pPr>
      <w:r w:rsidRPr="001B07F3">
        <w:rPr>
          <w:sz w:val="24"/>
          <w:szCs w:val="24"/>
        </w:rPr>
        <w:t>Changes in ITR filing provisions</w:t>
      </w:r>
    </w:p>
    <w:p w14:paraId="0F59CE92" w14:textId="77777777" w:rsidR="001F1227" w:rsidRPr="001B07F3" w:rsidRDefault="001F1227" w:rsidP="00BA5849">
      <w:pPr>
        <w:pStyle w:val="BodyCopy-Arial10pt"/>
        <w:numPr>
          <w:ilvl w:val="0"/>
          <w:numId w:val="62"/>
        </w:numPr>
        <w:tabs>
          <w:tab w:val="clear" w:pos="720"/>
          <w:tab w:val="num" w:pos="284"/>
        </w:tabs>
        <w:spacing w:line="240" w:lineRule="auto"/>
        <w:ind w:hanging="720"/>
        <w:rPr>
          <w:b/>
        </w:rPr>
      </w:pPr>
      <w:r w:rsidRPr="001B07F3">
        <w:rPr>
          <w:b/>
        </w:rPr>
        <w:t>Due date for filing of Return</w:t>
      </w:r>
    </w:p>
    <w:p w14:paraId="03567AB4" w14:textId="77777777" w:rsidR="001F1227" w:rsidRPr="00A972B4" w:rsidRDefault="001F1227" w:rsidP="00BA5849">
      <w:pPr>
        <w:pStyle w:val="BodyCopy-Arial10pt"/>
        <w:spacing w:line="276" w:lineRule="auto"/>
        <w:ind w:left="284"/>
      </w:pPr>
      <w:r w:rsidRPr="00A972B4">
        <w:t>The due date for filing returns by non-audit business owners, professionals and partners is extended from 31st July to 31st August. However, for individuals with Salary/Rental income (ITR-1 &amp; ITR-2), the deadline remains 31st July.</w:t>
      </w:r>
    </w:p>
    <w:p w14:paraId="27ADFFB1" w14:textId="77777777" w:rsidR="001F1227" w:rsidRPr="00A972B4" w:rsidRDefault="001F1227" w:rsidP="00BA5849">
      <w:pPr>
        <w:pStyle w:val="BodyCopy-Arial10pt"/>
        <w:numPr>
          <w:ilvl w:val="0"/>
          <w:numId w:val="62"/>
        </w:numPr>
        <w:tabs>
          <w:tab w:val="clear" w:pos="720"/>
          <w:tab w:val="num" w:pos="284"/>
        </w:tabs>
        <w:ind w:hanging="720"/>
        <w:rPr>
          <w:b/>
        </w:rPr>
      </w:pPr>
      <w:r w:rsidRPr="00A972B4">
        <w:rPr>
          <w:b/>
        </w:rPr>
        <w:t>Change in timeline for Revised returns</w:t>
      </w:r>
    </w:p>
    <w:p w14:paraId="5936FAE5" w14:textId="77777777" w:rsidR="001F1227" w:rsidRPr="00A972B4" w:rsidRDefault="001F1227" w:rsidP="00BA5849">
      <w:pPr>
        <w:pStyle w:val="BodyCopy-Arial10pt"/>
        <w:ind w:left="284"/>
      </w:pPr>
      <w:r w:rsidRPr="00A972B4">
        <w:t>From 1st April 2026, the time limit for filing revised returns is extended to 31st March following the tax year, with a late fee of ₹1,000 (income up to ₹5 lakh) or ₹5,000 (income above ₹5 lakh) for revised returns filed between 1st January and 31st March.</w:t>
      </w:r>
    </w:p>
    <w:p w14:paraId="2D441BFA" w14:textId="77777777" w:rsidR="001F1227" w:rsidRPr="00A972B4" w:rsidRDefault="001F1227" w:rsidP="00BA5849">
      <w:pPr>
        <w:pStyle w:val="BodyCopy-Arial10pt"/>
        <w:numPr>
          <w:ilvl w:val="0"/>
          <w:numId w:val="62"/>
        </w:numPr>
        <w:tabs>
          <w:tab w:val="clear" w:pos="720"/>
          <w:tab w:val="num" w:pos="284"/>
        </w:tabs>
        <w:ind w:hanging="720"/>
        <w:rPr>
          <w:b/>
        </w:rPr>
      </w:pPr>
      <w:r w:rsidRPr="00A972B4">
        <w:rPr>
          <w:b/>
        </w:rPr>
        <w:t>Updated Return</w:t>
      </w:r>
    </w:p>
    <w:p w14:paraId="28F2182B" w14:textId="77777777" w:rsidR="001F1227" w:rsidRDefault="001F1227" w:rsidP="00BA5849">
      <w:pPr>
        <w:pStyle w:val="BodyCopy-Arial10pt"/>
        <w:ind w:left="284"/>
      </w:pPr>
      <w:r w:rsidRPr="00A972B4">
        <w:t>Taxpayers can now file an updated return even after receiving a reassessment notice.</w:t>
      </w:r>
    </w:p>
    <w:p w14:paraId="6A95F4FF" w14:textId="77777777" w:rsidR="001F1227" w:rsidRDefault="001F1227" w:rsidP="00BA5849">
      <w:pPr>
        <w:pStyle w:val="HeadingStyle2-14pt"/>
        <w:spacing w:line="480" w:lineRule="auto"/>
      </w:pPr>
      <w:r w:rsidRPr="00631BC4">
        <w:t>Corporat</w:t>
      </w:r>
      <w:r>
        <w:t xml:space="preserve">e | </w:t>
      </w:r>
      <w:r w:rsidRPr="00631BC4">
        <w:t>MSME</w:t>
      </w:r>
      <w:r>
        <w:t xml:space="preserve"> | </w:t>
      </w:r>
      <w:r w:rsidRPr="00631BC4">
        <w:t xml:space="preserve">Start-ups </w:t>
      </w:r>
    </w:p>
    <w:p w14:paraId="15E4D080" w14:textId="77777777" w:rsidR="001F1227" w:rsidRPr="001B07F3" w:rsidRDefault="001F1227" w:rsidP="00BA5849">
      <w:pPr>
        <w:pStyle w:val="BodyCopy-Arial10pt"/>
        <w:spacing w:line="480" w:lineRule="auto"/>
        <w:rPr>
          <w:b/>
          <w:sz w:val="24"/>
          <w:szCs w:val="24"/>
        </w:rPr>
      </w:pPr>
      <w:r w:rsidRPr="001B07F3">
        <w:rPr>
          <w:b/>
          <w:sz w:val="24"/>
          <w:szCs w:val="24"/>
        </w:rPr>
        <w:t>Taxation on Buy-back of Shares</w:t>
      </w:r>
    </w:p>
    <w:p w14:paraId="061F8DA1" w14:textId="77777777" w:rsidR="001F1227" w:rsidRPr="00063A0C" w:rsidRDefault="001F1227" w:rsidP="00BA5849">
      <w:pPr>
        <w:pStyle w:val="BodyCopy-Arial10pt"/>
        <w:numPr>
          <w:ilvl w:val="0"/>
          <w:numId w:val="55"/>
        </w:numPr>
        <w:ind w:left="426"/>
      </w:pPr>
      <w:r w:rsidRPr="00063A0C">
        <w:t>Previously, any consideration received by a shareholder from a company during a share buy-back was treated as dividend income. Under the new regime proposed in the Finance Bill 2026, this classification has fundamentally shifted. The buy-back of shares has been removed from the scope of "Dividend" through an amendment to Section 2(40). Instead, the transaction will now be taxed as Capital Gains under the newly introduced Section 69 of the Income-tax Act, 2025.</w:t>
      </w:r>
    </w:p>
    <w:p w14:paraId="038905C6" w14:textId="77777777" w:rsidR="001F1227" w:rsidRPr="00063A0C" w:rsidRDefault="001F1227" w:rsidP="00BA5849">
      <w:pPr>
        <w:pStyle w:val="BodyCopy-Arial10pt"/>
        <w:numPr>
          <w:ilvl w:val="0"/>
          <w:numId w:val="55"/>
        </w:numPr>
        <w:ind w:left="426"/>
      </w:pPr>
      <w:r w:rsidRPr="00063A0C">
        <w:t>Promoters are now required to pay an additional income tax on their capital gains arising from such transactions, over and above the standard applicable rates. The quantum of this additional tax varies based on whether the promoter is classified as a domestic company or falls into other categories, such as foreign entities or individuals. </w:t>
      </w:r>
    </w:p>
    <w:p w14:paraId="3AAF3DD1" w14:textId="77777777" w:rsidR="001F1227" w:rsidRDefault="001F1227" w:rsidP="00BA5849">
      <w:pPr>
        <w:pStyle w:val="BodyCopy-Arial10pt"/>
        <w:numPr>
          <w:ilvl w:val="0"/>
          <w:numId w:val="55"/>
        </w:numPr>
        <w:ind w:left="426"/>
      </w:pPr>
      <w:r w:rsidRPr="00063A0C">
        <w:t>The method for calculating the tax liability has also been revised. The full value of the consideration will be the amount received by the shareholder from the company. Crucially, the shareholder is now allowed to deduct the Cost of Acquisition of the shares from this consideration to arrive at the taxable Capital Gains figure. This corrects the previous anomaly where the entire consideration was taxed as a dividend, and the cost of the shares was treated as a capital loss.</w:t>
      </w:r>
    </w:p>
    <w:p w14:paraId="6FE3604D" w14:textId="77777777" w:rsidR="001F1227" w:rsidRPr="001B07F3" w:rsidRDefault="001F1227" w:rsidP="00BA5849">
      <w:pPr>
        <w:pStyle w:val="HeadingStyle2-14pt"/>
        <w:spacing w:before="0" w:line="360" w:lineRule="auto"/>
        <w:rPr>
          <w:sz w:val="24"/>
          <w:szCs w:val="24"/>
        </w:rPr>
      </w:pPr>
      <w:r>
        <w:br w:type="column"/>
      </w:r>
      <w:r w:rsidRPr="001B07F3">
        <w:rPr>
          <w:sz w:val="24"/>
          <w:szCs w:val="24"/>
        </w:rPr>
        <w:lastRenderedPageBreak/>
        <w:t xml:space="preserve">Safe </w:t>
      </w:r>
      <w:proofErr w:type="spellStart"/>
      <w:r w:rsidRPr="001B07F3">
        <w:rPr>
          <w:sz w:val="24"/>
          <w:szCs w:val="24"/>
        </w:rPr>
        <w:t>Harbour</w:t>
      </w:r>
      <w:proofErr w:type="spellEnd"/>
      <w:r w:rsidRPr="001B07F3">
        <w:rPr>
          <w:sz w:val="24"/>
          <w:szCs w:val="24"/>
        </w:rPr>
        <w:t xml:space="preserve"> Rules</w:t>
      </w:r>
    </w:p>
    <w:p w14:paraId="00F260F7" w14:textId="77777777" w:rsidR="001F1227" w:rsidRDefault="001F1227" w:rsidP="00BA5849">
      <w:pPr>
        <w:pStyle w:val="BodyCopy-Arial10pt"/>
        <w:rPr>
          <w:b/>
          <w:bCs w:val="0"/>
        </w:rPr>
      </w:pPr>
      <w:r w:rsidRPr="00932424">
        <w:rPr>
          <w:b/>
          <w:bCs w:val="0"/>
        </w:rPr>
        <w:t>Background &amp; Objective</w:t>
      </w:r>
    </w:p>
    <w:p w14:paraId="6D7E81ED" w14:textId="77777777" w:rsidR="001F1227" w:rsidRDefault="001F1227" w:rsidP="00BA5849">
      <w:pPr>
        <w:pStyle w:val="BodyCopy-Arial10pt"/>
      </w:pPr>
      <w:r w:rsidRPr="00D230FB">
        <w:t xml:space="preserve">Safe </w:t>
      </w:r>
      <w:proofErr w:type="spellStart"/>
      <w:r w:rsidRPr="00D230FB">
        <w:t>Harbour</w:t>
      </w:r>
      <w:proofErr w:type="spellEnd"/>
      <w:r w:rsidRPr="00D230FB">
        <w:t xml:space="preserve"> Rules permit acceptance of declared transfer prices without detailed scrutiny. Budget 2026–27 strengthens this framework to enhance certainty, reduce litigation, and promote a non-adversarial tax regime, with focused support for IT services, cloud/data </w:t>
      </w:r>
      <w:proofErr w:type="spellStart"/>
      <w:r w:rsidRPr="00D230FB">
        <w:t>centres</w:t>
      </w:r>
      <w:proofErr w:type="spellEnd"/>
      <w:r w:rsidRPr="00D230FB">
        <w:t>, and electronics manufacturing.</w:t>
      </w:r>
    </w:p>
    <w:p w14:paraId="294B42A8" w14:textId="77777777" w:rsidR="001F1227" w:rsidRDefault="001F1227" w:rsidP="00BA5849">
      <w:pPr>
        <w:pStyle w:val="BodyCopy-Arial10pt"/>
        <w:rPr>
          <w:b/>
          <w:bCs w:val="0"/>
        </w:rPr>
      </w:pPr>
      <w:r w:rsidRPr="0029232F">
        <w:rPr>
          <w:b/>
          <w:bCs w:val="0"/>
        </w:rPr>
        <w:t>Single unified category for IT Services</w:t>
      </w:r>
    </w:p>
    <w:p w14:paraId="4748F914" w14:textId="77777777" w:rsidR="001F1227" w:rsidRPr="0098394D" w:rsidRDefault="001F1227" w:rsidP="00BA5849">
      <w:pPr>
        <w:pStyle w:val="BodyCopy-Arial10pt"/>
      </w:pPr>
      <w:r w:rsidRPr="0098394D">
        <w:t xml:space="preserve">All major IT-related services have now been consolidated under a single Safe </w:t>
      </w:r>
      <w:proofErr w:type="spellStart"/>
      <w:r w:rsidRPr="0098394D">
        <w:t>Harbour</w:t>
      </w:r>
      <w:proofErr w:type="spellEnd"/>
      <w:r w:rsidRPr="0098394D">
        <w:t xml:space="preserve"> category, replacing the earlier fragmented structure, which comprised the following categories:</w:t>
      </w:r>
    </w:p>
    <w:p w14:paraId="55884A22" w14:textId="77777777" w:rsidR="001F1227" w:rsidRDefault="001F1227" w:rsidP="00BA5849">
      <w:pPr>
        <w:pStyle w:val="BodyCopy-Arial10pt"/>
        <w:numPr>
          <w:ilvl w:val="0"/>
          <w:numId w:val="56"/>
        </w:numPr>
        <w:ind w:left="426" w:hanging="426"/>
      </w:pPr>
      <w:r w:rsidRPr="0098394D">
        <w:t>Software Development Services</w:t>
      </w:r>
    </w:p>
    <w:p w14:paraId="6890DA55" w14:textId="77777777" w:rsidR="001F1227" w:rsidRDefault="001F1227" w:rsidP="00BA5849">
      <w:pPr>
        <w:pStyle w:val="BodyCopy-Arial10pt"/>
        <w:numPr>
          <w:ilvl w:val="0"/>
          <w:numId w:val="56"/>
        </w:numPr>
        <w:ind w:left="426" w:hanging="426"/>
      </w:pPr>
      <w:r w:rsidRPr="0098394D">
        <w:t>IT-Enabled Services (ITES)</w:t>
      </w:r>
    </w:p>
    <w:p w14:paraId="1814E2DF" w14:textId="77777777" w:rsidR="001F1227" w:rsidRDefault="001F1227" w:rsidP="00BA5849">
      <w:pPr>
        <w:pStyle w:val="BodyCopy-Arial10pt"/>
        <w:numPr>
          <w:ilvl w:val="0"/>
          <w:numId w:val="56"/>
        </w:numPr>
        <w:ind w:left="426" w:hanging="426"/>
      </w:pPr>
      <w:r w:rsidRPr="0098394D">
        <w:t>Knowledge Process Outsourcing (KPO)</w:t>
      </w:r>
    </w:p>
    <w:p w14:paraId="74503F61" w14:textId="77777777" w:rsidR="001F1227" w:rsidRDefault="001F1227" w:rsidP="00BA5849">
      <w:pPr>
        <w:pStyle w:val="BodyCopy-Arial10pt"/>
        <w:numPr>
          <w:ilvl w:val="0"/>
          <w:numId w:val="56"/>
        </w:numPr>
        <w:ind w:left="426" w:hanging="426"/>
      </w:pPr>
      <w:r w:rsidRPr="0098394D">
        <w:t>Contract R&amp;D (software-related)</w:t>
      </w:r>
    </w:p>
    <w:p w14:paraId="459C592F" w14:textId="77777777" w:rsidR="001F1227" w:rsidRPr="000D6660" w:rsidRDefault="001F1227" w:rsidP="00BA5849">
      <w:pPr>
        <w:pStyle w:val="BodyCopy-Arial10pt"/>
        <w:rPr>
          <w:b/>
          <w:bCs w:val="0"/>
        </w:rPr>
      </w:pPr>
      <w:r w:rsidRPr="000D6660">
        <w:rPr>
          <w:b/>
          <w:bCs w:val="0"/>
        </w:rPr>
        <w:t xml:space="preserve">Revised Safe </w:t>
      </w:r>
      <w:proofErr w:type="spellStart"/>
      <w:r w:rsidRPr="000D6660">
        <w:rPr>
          <w:b/>
          <w:bCs w:val="0"/>
        </w:rPr>
        <w:t>Harbour</w:t>
      </w:r>
      <w:proofErr w:type="spellEnd"/>
      <w:r w:rsidRPr="000D6660">
        <w:rPr>
          <w:b/>
          <w:bCs w:val="0"/>
        </w:rPr>
        <w:t xml:space="preserve"> Parameters – IT Services</w:t>
      </w:r>
    </w:p>
    <w:p w14:paraId="1A163DF6" w14:textId="77777777" w:rsidR="001F1227" w:rsidRPr="000D6660" w:rsidRDefault="001F1227" w:rsidP="00BA5849">
      <w:pPr>
        <w:pStyle w:val="BodyCopy-Arial10pt"/>
        <w:numPr>
          <w:ilvl w:val="0"/>
          <w:numId w:val="56"/>
        </w:numPr>
        <w:ind w:left="426" w:hanging="426"/>
      </w:pPr>
      <w:r w:rsidRPr="000D6660">
        <w:t xml:space="preserve">The Safe </w:t>
      </w:r>
      <w:proofErr w:type="spellStart"/>
      <w:r w:rsidRPr="000D6660">
        <w:t>Harbour</w:t>
      </w:r>
      <w:proofErr w:type="spellEnd"/>
      <w:r w:rsidRPr="000D6660">
        <w:t xml:space="preserve"> framework for IT services has been significantly </w:t>
      </w:r>
      <w:proofErr w:type="spellStart"/>
      <w:r w:rsidRPr="000D6660">
        <w:t>liberalised</w:t>
      </w:r>
      <w:proofErr w:type="spellEnd"/>
      <w:r w:rsidRPr="000D6660">
        <w:t>.</w:t>
      </w:r>
    </w:p>
    <w:p w14:paraId="6253D0B2" w14:textId="77777777" w:rsidR="001F1227" w:rsidRPr="000D6660" w:rsidRDefault="001F1227" w:rsidP="00BA5849">
      <w:pPr>
        <w:pStyle w:val="BodyCopy-Arial10pt"/>
        <w:numPr>
          <w:ilvl w:val="0"/>
          <w:numId w:val="56"/>
        </w:numPr>
        <w:ind w:left="426" w:hanging="426"/>
      </w:pPr>
      <w:r w:rsidRPr="000D6660">
        <w:t xml:space="preserve">Uniform Safe </w:t>
      </w:r>
      <w:proofErr w:type="spellStart"/>
      <w:r w:rsidRPr="000D6660">
        <w:t>Harbour</w:t>
      </w:r>
      <w:proofErr w:type="spellEnd"/>
      <w:r w:rsidRPr="000D6660">
        <w:t xml:space="preserve"> margin: 15.5%.</w:t>
      </w:r>
    </w:p>
    <w:p w14:paraId="447A1DB2" w14:textId="77777777" w:rsidR="001F1227" w:rsidRPr="000D6660" w:rsidRDefault="001F1227" w:rsidP="00BA5849">
      <w:pPr>
        <w:pStyle w:val="BodyCopy-Arial10pt"/>
        <w:numPr>
          <w:ilvl w:val="0"/>
          <w:numId w:val="56"/>
        </w:numPr>
        <w:ind w:left="426" w:hanging="426"/>
      </w:pPr>
      <w:r w:rsidRPr="000D6660">
        <w:t>Turnover threshold increased from INR 300 Crore to INR 2,000 crore.</w:t>
      </w:r>
    </w:p>
    <w:p w14:paraId="1BD2181F" w14:textId="77777777" w:rsidR="001F1227" w:rsidRPr="000D6660" w:rsidRDefault="001F1227" w:rsidP="00BA5849">
      <w:pPr>
        <w:pStyle w:val="BodyCopy-Arial10pt"/>
        <w:numPr>
          <w:ilvl w:val="0"/>
          <w:numId w:val="56"/>
        </w:numPr>
        <w:ind w:left="426" w:hanging="426"/>
      </w:pPr>
      <w:r w:rsidRPr="000D6660">
        <w:t xml:space="preserve">Once opted, the Safe </w:t>
      </w:r>
      <w:proofErr w:type="spellStart"/>
      <w:r w:rsidRPr="000D6660">
        <w:t>Harbour</w:t>
      </w:r>
      <w:proofErr w:type="spellEnd"/>
      <w:r w:rsidRPr="000D6660">
        <w:t xml:space="preserve"> can be continued for up to 5 consecutive years.</w:t>
      </w:r>
    </w:p>
    <w:p w14:paraId="65F42AA9" w14:textId="77777777" w:rsidR="001F1227" w:rsidRPr="000D6660" w:rsidRDefault="001F1227" w:rsidP="00BA5849">
      <w:pPr>
        <w:pStyle w:val="BodyCopy-Arial10pt"/>
        <w:rPr>
          <w:b/>
          <w:bCs w:val="0"/>
        </w:rPr>
      </w:pPr>
      <w:r w:rsidRPr="000D6660">
        <w:rPr>
          <w:b/>
          <w:bCs w:val="0"/>
        </w:rPr>
        <w:t xml:space="preserve">Safe </w:t>
      </w:r>
      <w:proofErr w:type="spellStart"/>
      <w:r w:rsidRPr="000D6660">
        <w:rPr>
          <w:b/>
          <w:bCs w:val="0"/>
        </w:rPr>
        <w:t>Harbour</w:t>
      </w:r>
      <w:proofErr w:type="spellEnd"/>
      <w:r w:rsidRPr="000D6660">
        <w:rPr>
          <w:b/>
          <w:bCs w:val="0"/>
        </w:rPr>
        <w:t xml:space="preserve"> for Data Centre &amp; Cloud Services</w:t>
      </w:r>
    </w:p>
    <w:p w14:paraId="63158795" w14:textId="77777777" w:rsidR="001F1227" w:rsidRPr="000D6660" w:rsidRDefault="001F1227" w:rsidP="00BA5849">
      <w:pPr>
        <w:pStyle w:val="BodyCopy-Arial10pt"/>
        <w:numPr>
          <w:ilvl w:val="0"/>
          <w:numId w:val="56"/>
        </w:numPr>
        <w:ind w:left="426" w:hanging="426"/>
      </w:pPr>
      <w:r w:rsidRPr="000D6660">
        <w:t xml:space="preserve">Safe </w:t>
      </w:r>
      <w:proofErr w:type="spellStart"/>
      <w:r w:rsidRPr="000D6660">
        <w:t>Harbour</w:t>
      </w:r>
      <w:proofErr w:type="spellEnd"/>
      <w:r w:rsidRPr="000D6660">
        <w:t xml:space="preserve"> proposed for Indian data </w:t>
      </w:r>
      <w:proofErr w:type="spellStart"/>
      <w:r w:rsidRPr="000D6660">
        <w:t>centre</w:t>
      </w:r>
      <w:proofErr w:type="spellEnd"/>
      <w:r w:rsidRPr="000D6660">
        <w:t xml:space="preserve"> entities at a 15% cost-plus margin, complementing the tax holiday available to foreign cloud service providers till 2047.</w:t>
      </w:r>
    </w:p>
    <w:p w14:paraId="4BFF5870" w14:textId="77777777" w:rsidR="001F1227" w:rsidRPr="000D6660" w:rsidRDefault="001F1227" w:rsidP="00BA5849">
      <w:pPr>
        <w:pStyle w:val="BodyCopy-Arial10pt"/>
      </w:pPr>
      <w:r w:rsidRPr="000D6660">
        <w:rPr>
          <w:b/>
          <w:bCs w:val="0"/>
        </w:rPr>
        <w:t xml:space="preserve">Safe </w:t>
      </w:r>
      <w:proofErr w:type="spellStart"/>
      <w:r w:rsidRPr="000D6660">
        <w:rPr>
          <w:b/>
          <w:bCs w:val="0"/>
        </w:rPr>
        <w:t>Harbour</w:t>
      </w:r>
      <w:proofErr w:type="spellEnd"/>
      <w:r w:rsidRPr="000D6660">
        <w:rPr>
          <w:b/>
          <w:bCs w:val="0"/>
        </w:rPr>
        <w:t xml:space="preserve"> for Component Warehousing (Electronics)</w:t>
      </w:r>
    </w:p>
    <w:p w14:paraId="1DF09D73" w14:textId="77777777" w:rsidR="001F1227" w:rsidRPr="000D6660" w:rsidRDefault="001F1227" w:rsidP="00BA5849">
      <w:pPr>
        <w:pStyle w:val="BodyCopy-Arial10pt"/>
        <w:numPr>
          <w:ilvl w:val="0"/>
          <w:numId w:val="56"/>
        </w:numPr>
        <w:ind w:left="426" w:hanging="426"/>
      </w:pPr>
      <w:r w:rsidRPr="000D6660">
        <w:t xml:space="preserve">To support just-in-time manufacturing, a Safe </w:t>
      </w:r>
      <w:proofErr w:type="spellStart"/>
      <w:r w:rsidRPr="000D6660">
        <w:t>Harbour</w:t>
      </w:r>
      <w:proofErr w:type="spellEnd"/>
      <w:r w:rsidRPr="000D6660">
        <w:t xml:space="preserve"> is proposed for non-residents warehousing electronic components in bonded warehouses in India.</w:t>
      </w:r>
    </w:p>
    <w:p w14:paraId="32D519AC" w14:textId="77777777" w:rsidR="001F1227" w:rsidRPr="000D6660" w:rsidRDefault="001F1227" w:rsidP="00BA5849">
      <w:pPr>
        <w:pStyle w:val="BodyCopy-Arial10pt"/>
        <w:numPr>
          <w:ilvl w:val="0"/>
          <w:numId w:val="56"/>
        </w:numPr>
        <w:ind w:left="426" w:hanging="426"/>
      </w:pPr>
      <w:r w:rsidRPr="000D6660">
        <w:t>Presumed profit: 2% of invoice value.</w:t>
      </w:r>
    </w:p>
    <w:p w14:paraId="3446AD9B" w14:textId="77777777" w:rsidR="001F1227" w:rsidRPr="000D6660" w:rsidRDefault="001F1227" w:rsidP="00BA5849">
      <w:pPr>
        <w:pStyle w:val="BodyCopy-Arial10pt"/>
        <w:numPr>
          <w:ilvl w:val="0"/>
          <w:numId w:val="56"/>
        </w:numPr>
        <w:ind w:left="426" w:hanging="426"/>
      </w:pPr>
      <w:r w:rsidRPr="000D6660">
        <w:t>Effective tax incidence: approximately 0.7%.</w:t>
      </w:r>
    </w:p>
    <w:p w14:paraId="167EF026" w14:textId="77777777" w:rsidR="001F1227" w:rsidRPr="00A972B4" w:rsidRDefault="001F1227" w:rsidP="00BA5849">
      <w:pPr>
        <w:pStyle w:val="BodyCopy-Arial10pt"/>
        <w:numPr>
          <w:ilvl w:val="0"/>
          <w:numId w:val="56"/>
        </w:numPr>
        <w:ind w:left="426" w:hanging="426"/>
      </w:pPr>
      <w:r w:rsidRPr="000D6660">
        <w:t>Reduces PE and profit attribution disputes.</w:t>
      </w:r>
    </w:p>
    <w:p w14:paraId="1ECF974E" w14:textId="77777777" w:rsidR="001F1227" w:rsidRDefault="001F1227" w:rsidP="00BA5849">
      <w:pPr>
        <w:pStyle w:val="HeadingStyle2-14pt"/>
        <w:spacing w:before="0" w:line="276" w:lineRule="auto"/>
        <w:rPr>
          <w:sz w:val="24"/>
          <w:szCs w:val="24"/>
          <w:lang w:val="en-IN"/>
        </w:rPr>
      </w:pPr>
      <w:r>
        <w:br w:type="column"/>
      </w:r>
      <w:r w:rsidRPr="003F54E6">
        <w:rPr>
          <w:sz w:val="24"/>
          <w:szCs w:val="24"/>
          <w:lang w:val="en-IN"/>
        </w:rPr>
        <w:lastRenderedPageBreak/>
        <w:t>Minimum Alternate Tax (MAT)</w:t>
      </w:r>
    </w:p>
    <w:p w14:paraId="1CEC5957" w14:textId="77777777" w:rsidR="001F1227" w:rsidRPr="003F54E6" w:rsidRDefault="001F1227" w:rsidP="00BA5849">
      <w:pPr>
        <w:pStyle w:val="HeadingStyle2-14pt"/>
        <w:spacing w:before="0" w:line="276" w:lineRule="auto"/>
        <w:rPr>
          <w:sz w:val="24"/>
          <w:szCs w:val="24"/>
          <w:lang w:val="en-IN"/>
        </w:rPr>
      </w:pPr>
    </w:p>
    <w:p w14:paraId="322C1574" w14:textId="77777777" w:rsidR="001F1227" w:rsidRPr="00054B03" w:rsidRDefault="001F1227" w:rsidP="00BA5849">
      <w:pPr>
        <w:pStyle w:val="BodyCopy-Arial10pt"/>
        <w:spacing w:line="276" w:lineRule="auto"/>
      </w:pPr>
      <w:r w:rsidRPr="00054B03">
        <w:t>Under the existing provisions, MAT was levied at 15% of book profits, with excess MAT eligible for carry forward as credit for 15 years, while companies opting for the new regime were exempt. With effect from Tax Year 2026–27, the MAT rate under the old regime is proposed to be reduced to 14% and MAT shall be a final tax with no fresh MAT credit arising from 1st April 2026.</w:t>
      </w:r>
    </w:p>
    <w:p w14:paraId="603FDB7B" w14:textId="77777777" w:rsidR="001F1227" w:rsidRDefault="001F1227" w:rsidP="00BA5849">
      <w:pPr>
        <w:pStyle w:val="HeadingStyle2-14pt"/>
        <w:spacing w:line="276" w:lineRule="auto"/>
        <w:rPr>
          <w:sz w:val="20"/>
          <w:szCs w:val="20"/>
        </w:rPr>
      </w:pPr>
      <w:proofErr w:type="spellStart"/>
      <w:r w:rsidRPr="003F54E6">
        <w:rPr>
          <w:sz w:val="20"/>
          <w:szCs w:val="20"/>
        </w:rPr>
        <w:t>Utilisation</w:t>
      </w:r>
      <w:proofErr w:type="spellEnd"/>
      <w:r w:rsidRPr="003F54E6">
        <w:rPr>
          <w:sz w:val="20"/>
          <w:szCs w:val="20"/>
        </w:rPr>
        <w:t xml:space="preserve"> of MAT Credit – Domestic Companies</w:t>
      </w:r>
    </w:p>
    <w:p w14:paraId="0CD3DD72" w14:textId="77777777" w:rsidR="001F1227" w:rsidRPr="003F54E6" w:rsidRDefault="001F1227" w:rsidP="00BA5849">
      <w:pPr>
        <w:pStyle w:val="HeadingStyle2-14pt"/>
        <w:spacing w:before="0" w:line="276" w:lineRule="auto"/>
        <w:rPr>
          <w:sz w:val="20"/>
          <w:szCs w:val="20"/>
        </w:rPr>
      </w:pPr>
    </w:p>
    <w:p w14:paraId="36E31723" w14:textId="77777777" w:rsidR="001F1227" w:rsidRPr="00054B03" w:rsidRDefault="001F1227" w:rsidP="00BA5849">
      <w:pPr>
        <w:pStyle w:val="BodyCopy-Arial10pt"/>
        <w:numPr>
          <w:ilvl w:val="0"/>
          <w:numId w:val="56"/>
        </w:numPr>
        <w:spacing w:line="276" w:lineRule="auto"/>
        <w:ind w:left="426" w:hanging="426"/>
      </w:pPr>
      <w:r w:rsidRPr="00054B03">
        <w:t xml:space="preserve">Existing MAT credit as on 31st March 2026 can be </w:t>
      </w:r>
      <w:proofErr w:type="spellStart"/>
      <w:r w:rsidRPr="00054B03">
        <w:t>utilised</w:t>
      </w:r>
      <w:proofErr w:type="spellEnd"/>
      <w:r w:rsidRPr="00054B03">
        <w:t xml:space="preserve"> only by domestic companies shifting to the new tax regime from Tax Year 2026–27 onwards.</w:t>
      </w:r>
    </w:p>
    <w:p w14:paraId="40FB6073" w14:textId="77777777" w:rsidR="001F1227" w:rsidRPr="00054B03" w:rsidRDefault="001F1227" w:rsidP="00BA5849">
      <w:pPr>
        <w:pStyle w:val="BodyCopy-Arial10pt"/>
        <w:numPr>
          <w:ilvl w:val="0"/>
          <w:numId w:val="56"/>
        </w:numPr>
        <w:spacing w:line="276" w:lineRule="auto"/>
        <w:ind w:left="426" w:hanging="426"/>
      </w:pPr>
      <w:r w:rsidRPr="00054B03">
        <w:t>Such MAT credit may be set off up to 25% of the total tax liability in a tax year under the new regime.</w:t>
      </w:r>
    </w:p>
    <w:p w14:paraId="06AFE13D" w14:textId="77777777" w:rsidR="001F1227" w:rsidRPr="00054B03" w:rsidRDefault="001F1227" w:rsidP="00BA5849">
      <w:pPr>
        <w:pStyle w:val="BodyCopy-Arial10pt"/>
        <w:numPr>
          <w:ilvl w:val="0"/>
          <w:numId w:val="56"/>
        </w:numPr>
        <w:spacing w:line="276" w:lineRule="auto"/>
        <w:ind w:left="426" w:hanging="426"/>
      </w:pPr>
      <w:r w:rsidRPr="00054B03">
        <w:t xml:space="preserve">The set-off shall be allowed until the MAT credit is fully </w:t>
      </w:r>
      <w:proofErr w:type="spellStart"/>
      <w:r w:rsidRPr="00054B03">
        <w:t>utilised</w:t>
      </w:r>
      <w:proofErr w:type="spellEnd"/>
      <w:r w:rsidRPr="00054B03">
        <w:t xml:space="preserve"> or the </w:t>
      </w:r>
      <w:proofErr w:type="gramStart"/>
      <w:r w:rsidRPr="00054B03">
        <w:t>15 year</w:t>
      </w:r>
      <w:proofErr w:type="gramEnd"/>
      <w:r w:rsidRPr="00054B03">
        <w:t xml:space="preserve"> carry-forward period expires, reckoned from the year in which the credit first arose under the Income Tax Act, 1961.</w:t>
      </w:r>
    </w:p>
    <w:p w14:paraId="2460A340" w14:textId="77777777" w:rsidR="001F1227" w:rsidRDefault="001F1227" w:rsidP="00BA5849">
      <w:pPr>
        <w:pStyle w:val="BodyCopy-Arial10pt"/>
        <w:numPr>
          <w:ilvl w:val="0"/>
          <w:numId w:val="56"/>
        </w:numPr>
        <w:spacing w:line="276" w:lineRule="auto"/>
        <w:ind w:left="426" w:hanging="426"/>
      </w:pPr>
      <w:r w:rsidRPr="00054B03">
        <w:t>Domestic companies that had already opted for the new tax regime prior to this amendment shall not be eligible to avail or utilize the existing MAT credit.</w:t>
      </w:r>
    </w:p>
    <w:p w14:paraId="2A6389AB" w14:textId="77777777" w:rsidR="001F1227" w:rsidRDefault="001F1227" w:rsidP="00BA5849">
      <w:pPr>
        <w:pStyle w:val="HeadingStyle2-14pt"/>
        <w:spacing w:line="240" w:lineRule="auto"/>
        <w:rPr>
          <w:sz w:val="24"/>
          <w:szCs w:val="24"/>
        </w:rPr>
      </w:pPr>
      <w:r w:rsidRPr="00246EFA">
        <w:rPr>
          <w:sz w:val="24"/>
          <w:szCs w:val="24"/>
        </w:rPr>
        <w:t>Key TDS updates in Budget 2026</w:t>
      </w:r>
    </w:p>
    <w:p w14:paraId="47A54089" w14:textId="77777777" w:rsidR="001F1227" w:rsidRPr="00246EFA" w:rsidRDefault="001F1227" w:rsidP="00BA5849">
      <w:pPr>
        <w:pStyle w:val="HeadingStyle2-14pt"/>
        <w:spacing w:before="0" w:line="240" w:lineRule="auto"/>
        <w:rPr>
          <w:sz w:val="24"/>
          <w:szCs w:val="24"/>
        </w:rPr>
      </w:pPr>
    </w:p>
    <w:p w14:paraId="29A99253" w14:textId="77777777" w:rsidR="001F1227" w:rsidRPr="00246EFA" w:rsidRDefault="001F1227" w:rsidP="00BA5849">
      <w:pPr>
        <w:pStyle w:val="BodyCopy-Arial10pt"/>
        <w:numPr>
          <w:ilvl w:val="0"/>
          <w:numId w:val="56"/>
        </w:numPr>
        <w:spacing w:after="0" w:line="240" w:lineRule="auto"/>
        <w:ind w:left="426" w:hanging="426"/>
      </w:pPr>
      <w:r w:rsidRPr="00C562D9">
        <w:rPr>
          <w:b/>
        </w:rPr>
        <w:t>Exemption on interest income under the Motor Vehicles Act:</w:t>
      </w:r>
    </w:p>
    <w:p w14:paraId="695F49B9" w14:textId="77777777" w:rsidR="001F1227" w:rsidRDefault="001F1227" w:rsidP="00BA5849">
      <w:pPr>
        <w:pStyle w:val="BodyCopy-Arial10pt"/>
        <w:spacing w:line="276" w:lineRule="auto"/>
        <w:ind w:left="426"/>
      </w:pPr>
      <w:r w:rsidRPr="00C47A76">
        <w:t>With effect from 1st April 2026, interest on compensation awarded under the Motor Vehicles Act, 1988 to an individual or legal heir shall be fully exempt from tax, and no tax shall be deducted at source on such interest, irrespective of the amount.</w:t>
      </w:r>
    </w:p>
    <w:p w14:paraId="079C3AAB" w14:textId="77777777" w:rsidR="001F1227" w:rsidRPr="00246EFA" w:rsidRDefault="001F1227" w:rsidP="00BA5849">
      <w:pPr>
        <w:pStyle w:val="BodyCopy-Arial10pt"/>
        <w:numPr>
          <w:ilvl w:val="0"/>
          <w:numId w:val="56"/>
        </w:numPr>
        <w:spacing w:after="0" w:line="276" w:lineRule="auto"/>
        <w:ind w:left="426" w:hanging="426"/>
      </w:pPr>
      <w:r w:rsidRPr="00C562D9">
        <w:rPr>
          <w:b/>
        </w:rPr>
        <w:t>Online application for Lower or Nil TDS/TCS certificate:</w:t>
      </w:r>
    </w:p>
    <w:p w14:paraId="0F835A49" w14:textId="77777777" w:rsidR="001F1227" w:rsidRPr="00246EFA" w:rsidRDefault="001F1227" w:rsidP="00BA5849">
      <w:pPr>
        <w:pStyle w:val="BodyCopy-Arial10pt"/>
        <w:spacing w:line="276" w:lineRule="auto"/>
        <w:ind w:left="426"/>
      </w:pPr>
      <w:r w:rsidRPr="00C47A76">
        <w:t>With effect from 1st April 2026, applications for lower or NIL TDS/TCS certificates under section 395 can be filed electronically.</w:t>
      </w:r>
    </w:p>
    <w:p w14:paraId="3D2B63C8" w14:textId="77777777" w:rsidR="001F1227" w:rsidRPr="00246EFA" w:rsidRDefault="001F1227" w:rsidP="00BA5849">
      <w:pPr>
        <w:pStyle w:val="BodyCopy-Arial10pt"/>
        <w:numPr>
          <w:ilvl w:val="0"/>
          <w:numId w:val="56"/>
        </w:numPr>
        <w:spacing w:after="0" w:line="276" w:lineRule="auto"/>
        <w:ind w:left="426" w:hanging="426"/>
      </w:pPr>
      <w:r w:rsidRPr="00C562D9">
        <w:rPr>
          <w:b/>
        </w:rPr>
        <w:t>Relaxation in TAN requirement for purchase of property from Non-Resident:</w:t>
      </w:r>
    </w:p>
    <w:p w14:paraId="449FD183" w14:textId="77777777" w:rsidR="001F1227" w:rsidRPr="00246EFA" w:rsidRDefault="001F1227" w:rsidP="00BA5849">
      <w:pPr>
        <w:pStyle w:val="BodyCopy-Arial10pt"/>
        <w:spacing w:line="276" w:lineRule="auto"/>
        <w:ind w:left="426"/>
      </w:pPr>
      <w:r w:rsidRPr="00C47A76">
        <w:t>With effect from 1st October 2026, a resident individual or HUF purchasing immovable property from a non-resident shall not be required to obtain a TAN for deduction of tax at source.</w:t>
      </w:r>
    </w:p>
    <w:p w14:paraId="423570F9" w14:textId="77777777" w:rsidR="001F1227" w:rsidRPr="00BA0D0D" w:rsidRDefault="001F1227" w:rsidP="00BA5849">
      <w:pPr>
        <w:pStyle w:val="BodyCopy-Arial10pt"/>
        <w:numPr>
          <w:ilvl w:val="0"/>
          <w:numId w:val="56"/>
        </w:numPr>
        <w:spacing w:after="0" w:line="276" w:lineRule="auto"/>
        <w:ind w:left="426" w:hanging="426"/>
        <w:rPr>
          <w:b/>
        </w:rPr>
      </w:pPr>
      <w:r w:rsidRPr="00BA0D0D">
        <w:rPr>
          <w:b/>
        </w:rPr>
        <w:t>Enabling filing of declaration for no deduction to a depository:</w:t>
      </w:r>
    </w:p>
    <w:p w14:paraId="173BC6E4" w14:textId="77777777" w:rsidR="001F1227" w:rsidRPr="001E0446" w:rsidRDefault="001F1227" w:rsidP="00BA5849">
      <w:pPr>
        <w:pStyle w:val="BodyCopy-Arial10pt"/>
        <w:spacing w:line="276" w:lineRule="auto"/>
        <w:ind w:left="426"/>
      </w:pPr>
      <w:r w:rsidRPr="00C47A76">
        <w:t>Enables filing Form 15G/15H (quarterly) with a depository rather than companies/bank.</w:t>
      </w:r>
    </w:p>
    <w:p w14:paraId="6B49E8C6" w14:textId="77777777" w:rsidR="001F1227" w:rsidRDefault="001F1227" w:rsidP="00BA5849">
      <w:pPr>
        <w:pStyle w:val="BodyCopy-Arial10pt"/>
        <w:numPr>
          <w:ilvl w:val="0"/>
          <w:numId w:val="56"/>
        </w:numPr>
        <w:spacing w:after="0" w:line="276" w:lineRule="auto"/>
        <w:ind w:left="426" w:hanging="426"/>
        <w:rPr>
          <w:b/>
        </w:rPr>
      </w:pPr>
      <w:r w:rsidRPr="00BA0D0D">
        <w:rPr>
          <w:b/>
        </w:rPr>
        <w:t xml:space="preserve">Manpower Supply Business: </w:t>
      </w:r>
    </w:p>
    <w:p w14:paraId="0D73ECDE" w14:textId="77777777" w:rsidR="001F1227" w:rsidRPr="00246EFA" w:rsidRDefault="001F1227" w:rsidP="00BA5849">
      <w:pPr>
        <w:pStyle w:val="BodyCopy-Arial10pt"/>
        <w:spacing w:after="0" w:line="276" w:lineRule="auto"/>
        <w:ind w:left="426"/>
      </w:pPr>
      <w:r w:rsidRPr="00C562D9">
        <w:t>With effect from 1st April 2026, supply of manpower is proposed to be expressly included within the definition of “work”, clarifying that TDS shall apply at 1% when payment is made to Individual/ HUF and 2% in other cases.</w:t>
      </w:r>
    </w:p>
    <w:p w14:paraId="3352BA92" w14:textId="77777777" w:rsidR="001F1227" w:rsidRPr="00BA0D0D" w:rsidRDefault="001F1227" w:rsidP="00BA5849">
      <w:pPr>
        <w:pStyle w:val="BodyCopy-Arial10pt"/>
        <w:spacing w:after="0" w:line="276" w:lineRule="auto"/>
        <w:ind w:left="426"/>
        <w:rPr>
          <w:b/>
          <w:bCs w:val="0"/>
        </w:rPr>
      </w:pPr>
    </w:p>
    <w:p w14:paraId="07CC362E" w14:textId="77777777" w:rsidR="001F1227" w:rsidRDefault="001F1227" w:rsidP="00BA5849">
      <w:pPr>
        <w:pStyle w:val="BodyCopy-Arial10pt"/>
        <w:numPr>
          <w:ilvl w:val="0"/>
          <w:numId w:val="56"/>
        </w:numPr>
        <w:spacing w:line="276" w:lineRule="auto"/>
        <w:ind w:left="426" w:hanging="426"/>
      </w:pPr>
      <w:r w:rsidRPr="00BA0D0D">
        <w:rPr>
          <w:b/>
        </w:rPr>
        <w:t xml:space="preserve">Deduction to non-life insurance business: </w:t>
      </w:r>
      <w:r w:rsidRPr="00246EFA">
        <w:br/>
        <w:t>Ensures non-life insurance companies can claim deductions in the year TDS is actually paid effective from 1st April 2026.</w:t>
      </w:r>
    </w:p>
    <w:p w14:paraId="40472C99" w14:textId="77777777" w:rsidR="001F1227" w:rsidRPr="00246EFA" w:rsidRDefault="001F1227" w:rsidP="00BA5849">
      <w:pPr>
        <w:pStyle w:val="BodyCopy-Arial10pt"/>
        <w:spacing w:line="276" w:lineRule="auto"/>
      </w:pPr>
    </w:p>
    <w:p w14:paraId="0586B1AB" w14:textId="77777777" w:rsidR="001F1227" w:rsidRPr="00F053BD" w:rsidRDefault="001F1227" w:rsidP="00BA5849">
      <w:pPr>
        <w:pStyle w:val="HeadingStyle2-14pt"/>
        <w:spacing w:line="480" w:lineRule="auto"/>
        <w:rPr>
          <w:sz w:val="24"/>
          <w:szCs w:val="24"/>
        </w:rPr>
      </w:pPr>
      <w:r w:rsidRPr="00F053BD">
        <w:rPr>
          <w:sz w:val="24"/>
          <w:szCs w:val="24"/>
        </w:rPr>
        <w:lastRenderedPageBreak/>
        <w:t>Other Amendments</w:t>
      </w:r>
    </w:p>
    <w:p w14:paraId="1B5A968F" w14:textId="77777777" w:rsidR="001F1227" w:rsidRDefault="001F1227" w:rsidP="00BA5849">
      <w:pPr>
        <w:pStyle w:val="BodyCopy-Arial10pt"/>
        <w:numPr>
          <w:ilvl w:val="0"/>
          <w:numId w:val="56"/>
        </w:numPr>
        <w:spacing w:after="0" w:line="276" w:lineRule="auto"/>
        <w:ind w:left="426" w:hanging="426"/>
      </w:pPr>
      <w:r w:rsidRPr="00D206ED">
        <w:rPr>
          <w:b/>
        </w:rPr>
        <w:t>Integration of ICDS with Ind AS</w:t>
      </w:r>
    </w:p>
    <w:p w14:paraId="7D4EB095" w14:textId="77777777" w:rsidR="001F1227" w:rsidRPr="001A3D67" w:rsidRDefault="001F1227" w:rsidP="00BA5849">
      <w:pPr>
        <w:pStyle w:val="BodyCopy-Arial10pt"/>
        <w:spacing w:line="276" w:lineRule="auto"/>
        <w:ind w:left="426"/>
      </w:pPr>
      <w:r w:rsidRPr="00D1227C">
        <w:t>Budget 2026 proposes to merge ICDS into Ind AS, eliminating the need for a separate ICDS framework</w:t>
      </w:r>
      <w:r w:rsidRPr="00246EFA">
        <w:t>.</w:t>
      </w:r>
      <w:r>
        <w:t xml:space="preserve"> </w:t>
      </w:r>
      <w:r w:rsidRPr="001A3D67">
        <w:t>A Joint Committee of MCA and CBDT will be formed to implement and oversee this integration.</w:t>
      </w:r>
    </w:p>
    <w:p w14:paraId="4ED92CA7" w14:textId="77777777" w:rsidR="001F1227" w:rsidRPr="004A7628" w:rsidRDefault="001F1227" w:rsidP="00BA5849">
      <w:pPr>
        <w:pStyle w:val="BodyCopy-Arial10pt"/>
        <w:numPr>
          <w:ilvl w:val="0"/>
          <w:numId w:val="56"/>
        </w:numPr>
        <w:spacing w:after="0" w:line="276" w:lineRule="auto"/>
        <w:ind w:left="426" w:hanging="426"/>
        <w:rPr>
          <w:b/>
          <w:bCs w:val="0"/>
        </w:rPr>
      </w:pPr>
      <w:r w:rsidRPr="004A7628">
        <w:rPr>
          <w:b/>
          <w:bCs w:val="0"/>
        </w:rPr>
        <w:t>Foreign Assets of Small Taxpayers - Disclosure Scheme, 2026 (FAST-DS 2026)</w:t>
      </w:r>
    </w:p>
    <w:p w14:paraId="7C92EB7D" w14:textId="77777777" w:rsidR="001F1227" w:rsidRPr="00242164" w:rsidRDefault="001F1227" w:rsidP="00BA5849">
      <w:pPr>
        <w:pStyle w:val="HeadingStyle2-14pt"/>
        <w:spacing w:before="0"/>
        <w:ind w:left="426"/>
        <w:rPr>
          <w:b w:val="0"/>
          <w:bCs/>
          <w:sz w:val="20"/>
          <w:szCs w:val="20"/>
        </w:rPr>
      </w:pPr>
      <w:r w:rsidRPr="004A7628">
        <w:rPr>
          <w:b w:val="0"/>
          <w:bCs/>
          <w:sz w:val="20"/>
          <w:szCs w:val="20"/>
        </w:rPr>
        <w:t>The Government proposes a one-time 6-month voluntary disclosure scheme to help small taxpayers regularize legacy or inadvertent non-disclosure of foreign income/</w:t>
      </w:r>
      <w:proofErr w:type="spellStart"/>
      <w:proofErr w:type="gramStart"/>
      <w:r w:rsidRPr="004A7628">
        <w:rPr>
          <w:b w:val="0"/>
          <w:bCs/>
          <w:sz w:val="20"/>
          <w:szCs w:val="20"/>
        </w:rPr>
        <w:t>assets.</w:t>
      </w:r>
      <w:r w:rsidRPr="00242164">
        <w:rPr>
          <w:b w:val="0"/>
          <w:bCs/>
          <w:sz w:val="20"/>
          <w:szCs w:val="20"/>
        </w:rPr>
        <w:t>The</w:t>
      </w:r>
      <w:proofErr w:type="spellEnd"/>
      <w:proofErr w:type="gramEnd"/>
      <w:r w:rsidRPr="00242164">
        <w:rPr>
          <w:b w:val="0"/>
          <w:bCs/>
          <w:sz w:val="20"/>
          <w:szCs w:val="20"/>
        </w:rPr>
        <w:t xml:space="preserve"> scheme allows declaration on payment of prescribed tax/fee with limited immunity from penalty and prosecution, excluding cases involving proceeds of crime.</w:t>
      </w:r>
    </w:p>
    <w:p w14:paraId="2B611F09" w14:textId="77777777" w:rsidR="001F1227" w:rsidRPr="00242164" w:rsidRDefault="001F1227" w:rsidP="00BA5849">
      <w:pPr>
        <w:pStyle w:val="HeadingStyle2-14pt"/>
        <w:spacing w:before="0"/>
        <w:rPr>
          <w:b w:val="0"/>
          <w:sz w:val="20"/>
          <w:szCs w:val="20"/>
        </w:rPr>
      </w:pPr>
    </w:p>
    <w:p w14:paraId="47F06314" w14:textId="77777777" w:rsidR="001F1227" w:rsidRDefault="001F1227" w:rsidP="00BA5849">
      <w:pPr>
        <w:pStyle w:val="BodyCopy-Arial10pt"/>
        <w:numPr>
          <w:ilvl w:val="0"/>
          <w:numId w:val="56"/>
        </w:numPr>
        <w:spacing w:after="0" w:line="276" w:lineRule="auto"/>
        <w:ind w:left="426" w:hanging="426"/>
      </w:pPr>
      <w:r w:rsidRPr="00D206ED">
        <w:rPr>
          <w:b/>
        </w:rPr>
        <w:t>Amendment under Black Money Act – Relief for Minor Non-Disclosure</w:t>
      </w:r>
      <w:r w:rsidRPr="00937B44">
        <w:t>s</w:t>
      </w:r>
    </w:p>
    <w:p w14:paraId="6C15C2B1" w14:textId="77777777" w:rsidR="001F1227" w:rsidRDefault="001F1227" w:rsidP="00BA5849">
      <w:pPr>
        <w:pStyle w:val="HeadingStyle2-14pt"/>
        <w:spacing w:before="0" w:line="276" w:lineRule="auto"/>
        <w:ind w:left="426"/>
        <w:rPr>
          <w:b w:val="0"/>
          <w:sz w:val="20"/>
          <w:szCs w:val="20"/>
        </w:rPr>
      </w:pPr>
      <w:r w:rsidRPr="00937B44">
        <w:rPr>
          <w:b w:val="0"/>
          <w:bCs/>
          <w:sz w:val="20"/>
          <w:szCs w:val="20"/>
        </w:rPr>
        <w:t>Under the Black Money (Undisclosed Foreign Income and Assets) and Imposition of Tax Act, 2015, there is no penalty for non-disclosure of non-immovable assets with aggregate value less than twenty lakh rupees. It is proposed to extend this immunity for prosecution in such cases with retrospective effect from 1st October 2024.</w:t>
      </w:r>
    </w:p>
    <w:p w14:paraId="19DAE4A2" w14:textId="77777777" w:rsidR="001F1227" w:rsidRPr="00937B44" w:rsidRDefault="001F1227" w:rsidP="00BA5849">
      <w:pPr>
        <w:pStyle w:val="HeadingStyle2-14pt"/>
        <w:spacing w:before="0"/>
        <w:rPr>
          <w:sz w:val="20"/>
          <w:szCs w:val="20"/>
        </w:rPr>
      </w:pPr>
    </w:p>
    <w:p w14:paraId="7D81D6B7" w14:textId="77777777" w:rsidR="001F1227" w:rsidRPr="00726008" w:rsidRDefault="001F1227" w:rsidP="00BA5849">
      <w:pPr>
        <w:pStyle w:val="BodyCopy-Arial10pt"/>
        <w:numPr>
          <w:ilvl w:val="0"/>
          <w:numId w:val="56"/>
        </w:numPr>
        <w:spacing w:after="0" w:line="276" w:lineRule="auto"/>
        <w:ind w:left="426" w:hanging="426"/>
        <w:rPr>
          <w:b/>
        </w:rPr>
      </w:pPr>
      <w:r w:rsidRPr="00726008">
        <w:rPr>
          <w:b/>
        </w:rPr>
        <w:t>Reduction in Tax Rate on Unexplained Income</w:t>
      </w:r>
    </w:p>
    <w:p w14:paraId="79172FB3" w14:textId="77777777" w:rsidR="001F1227" w:rsidRPr="003A3D26" w:rsidRDefault="001F1227" w:rsidP="00BA5849">
      <w:pPr>
        <w:pStyle w:val="HeadingStyle2-14pt"/>
        <w:spacing w:before="0" w:line="276" w:lineRule="auto"/>
        <w:ind w:left="426"/>
        <w:rPr>
          <w:b w:val="0"/>
          <w:bCs/>
          <w:sz w:val="20"/>
          <w:szCs w:val="20"/>
        </w:rPr>
      </w:pPr>
      <w:r w:rsidRPr="003A3D26">
        <w:rPr>
          <w:b w:val="0"/>
          <w:bCs/>
          <w:sz w:val="20"/>
          <w:szCs w:val="20"/>
        </w:rPr>
        <w:t>Budget 2026–27 proposes to reduce the special tax rate on unexplained cash credits, investments, money, expenditure, and other unexplained income from 60% to 30%.</w:t>
      </w:r>
    </w:p>
    <w:p w14:paraId="098DE496" w14:textId="77777777" w:rsidR="001F1227" w:rsidRPr="003A3D26" w:rsidRDefault="001F1227" w:rsidP="00BA5849">
      <w:pPr>
        <w:pStyle w:val="HeadingStyle2-14pt"/>
        <w:spacing w:before="0"/>
        <w:rPr>
          <w:b w:val="0"/>
          <w:sz w:val="20"/>
          <w:szCs w:val="20"/>
        </w:rPr>
      </w:pPr>
    </w:p>
    <w:p w14:paraId="2386FA07" w14:textId="77777777" w:rsidR="001F1227" w:rsidRPr="00C31800" w:rsidRDefault="001F1227" w:rsidP="00BA5849">
      <w:pPr>
        <w:pStyle w:val="BodyCopy-Arial10pt"/>
        <w:numPr>
          <w:ilvl w:val="0"/>
          <w:numId w:val="56"/>
        </w:numPr>
        <w:spacing w:after="0" w:line="276" w:lineRule="auto"/>
        <w:ind w:left="426" w:hanging="426"/>
        <w:rPr>
          <w:b/>
        </w:rPr>
      </w:pPr>
      <w:r w:rsidRPr="00C31800">
        <w:rPr>
          <w:b/>
        </w:rPr>
        <w:t>Automatic Levy of Fees for Compliance Defaults</w:t>
      </w:r>
    </w:p>
    <w:p w14:paraId="0C32A67A" w14:textId="77777777" w:rsidR="001F1227" w:rsidRPr="00D41291" w:rsidRDefault="001F1227" w:rsidP="00BA5849">
      <w:pPr>
        <w:pStyle w:val="HeadingStyle2-14pt"/>
        <w:spacing w:before="0" w:line="276" w:lineRule="auto"/>
        <w:ind w:left="426"/>
        <w:rPr>
          <w:b w:val="0"/>
          <w:bCs/>
          <w:sz w:val="20"/>
          <w:szCs w:val="20"/>
        </w:rPr>
      </w:pPr>
      <w:r w:rsidRPr="00D41291">
        <w:rPr>
          <w:b w:val="0"/>
          <w:bCs/>
          <w:sz w:val="20"/>
          <w:szCs w:val="20"/>
        </w:rPr>
        <w:t>Earlier, penalties for defaults such as failure to furnish SFT, accountant’s report (Form 3CEB), and failure to get accounts audited, levy of penalty was discretionary and depended on the Assessing Officer’s satisfaction. Post amendment, these defaults attract an automatic levy of fee, removing discretion and the amount is treated as a fee rather than a penalty.</w:t>
      </w:r>
    </w:p>
    <w:p w14:paraId="0E295830" w14:textId="77777777" w:rsidR="001F1227" w:rsidRPr="00D41291" w:rsidRDefault="001F1227" w:rsidP="00BA5849">
      <w:pPr>
        <w:pStyle w:val="HeadingStyle2-14pt"/>
        <w:spacing w:before="0"/>
        <w:rPr>
          <w:b w:val="0"/>
          <w:sz w:val="20"/>
          <w:szCs w:val="20"/>
        </w:rPr>
      </w:pPr>
    </w:p>
    <w:p w14:paraId="6328CFF3" w14:textId="77777777" w:rsidR="001F1227" w:rsidRPr="00C31800" w:rsidRDefault="001F1227" w:rsidP="00BA5849">
      <w:pPr>
        <w:pStyle w:val="BodyCopy-Arial10pt"/>
        <w:numPr>
          <w:ilvl w:val="0"/>
          <w:numId w:val="56"/>
        </w:numPr>
        <w:spacing w:after="0" w:line="276" w:lineRule="auto"/>
        <w:ind w:left="426" w:hanging="426"/>
        <w:rPr>
          <w:b/>
        </w:rPr>
      </w:pPr>
      <w:r w:rsidRPr="00C31800">
        <w:rPr>
          <w:b/>
        </w:rPr>
        <w:t>Sovereign Gold Bond</w:t>
      </w:r>
    </w:p>
    <w:p w14:paraId="2FBE850E" w14:textId="77777777" w:rsidR="001F1227" w:rsidRDefault="001F1227" w:rsidP="00BA5849">
      <w:pPr>
        <w:pStyle w:val="HeadingStyle2-14pt"/>
        <w:spacing w:before="0" w:line="276" w:lineRule="auto"/>
        <w:ind w:left="426"/>
        <w:rPr>
          <w:b w:val="0"/>
          <w:bCs/>
          <w:sz w:val="20"/>
          <w:szCs w:val="20"/>
        </w:rPr>
      </w:pPr>
      <w:r w:rsidRPr="00D41291">
        <w:rPr>
          <w:b w:val="0"/>
          <w:bCs/>
          <w:sz w:val="20"/>
          <w:szCs w:val="20"/>
        </w:rPr>
        <w:t>Capital gains exemption on Sovereign Gold Bonds will no longer be available to secondary market holders; the exemption will apply only to investors holding the bonds from issuance till maturity.</w:t>
      </w:r>
    </w:p>
    <w:p w14:paraId="3B033384" w14:textId="77777777" w:rsidR="001F1227" w:rsidRDefault="001F1227" w:rsidP="00BA5849">
      <w:pPr>
        <w:pStyle w:val="HeadingStyle2-14pt"/>
        <w:spacing w:before="0" w:line="276" w:lineRule="auto"/>
        <w:ind w:left="426"/>
        <w:rPr>
          <w:b w:val="0"/>
          <w:bCs/>
          <w:sz w:val="20"/>
          <w:szCs w:val="20"/>
        </w:rPr>
      </w:pPr>
    </w:p>
    <w:p w14:paraId="04DC2919" w14:textId="77777777" w:rsidR="001F1227" w:rsidRDefault="001F1227" w:rsidP="00BA5849">
      <w:pPr>
        <w:pStyle w:val="HeadingStyle2-14pt"/>
        <w:spacing w:before="0" w:line="276" w:lineRule="auto"/>
        <w:ind w:left="426"/>
        <w:rPr>
          <w:b w:val="0"/>
          <w:bCs/>
          <w:sz w:val="20"/>
          <w:szCs w:val="20"/>
        </w:rPr>
      </w:pPr>
    </w:p>
    <w:p w14:paraId="0D2144E7" w14:textId="77777777" w:rsidR="001F1227" w:rsidRDefault="001F1227" w:rsidP="00BA5849">
      <w:pPr>
        <w:pStyle w:val="HeadingStyle2-14pt"/>
        <w:spacing w:before="0" w:line="276" w:lineRule="auto"/>
        <w:ind w:left="426"/>
        <w:rPr>
          <w:b w:val="0"/>
          <w:bCs/>
          <w:sz w:val="20"/>
          <w:szCs w:val="20"/>
        </w:rPr>
      </w:pPr>
    </w:p>
    <w:p w14:paraId="505D1AD3" w14:textId="77777777" w:rsidR="001F1227" w:rsidRDefault="001F1227" w:rsidP="00BA5849">
      <w:pPr>
        <w:pStyle w:val="HeadingStyle2-14pt"/>
        <w:spacing w:before="0" w:line="276" w:lineRule="auto"/>
        <w:ind w:left="426"/>
        <w:rPr>
          <w:b w:val="0"/>
          <w:bCs/>
          <w:sz w:val="20"/>
          <w:szCs w:val="20"/>
        </w:rPr>
      </w:pPr>
    </w:p>
    <w:p w14:paraId="1EDAE061" w14:textId="77777777" w:rsidR="001F1227" w:rsidRDefault="001F1227" w:rsidP="00BA5849">
      <w:pPr>
        <w:pStyle w:val="HeadingStyle2-14pt"/>
        <w:spacing w:before="0" w:line="276" w:lineRule="auto"/>
        <w:ind w:left="426"/>
        <w:rPr>
          <w:b w:val="0"/>
          <w:bCs/>
          <w:sz w:val="20"/>
          <w:szCs w:val="20"/>
        </w:rPr>
      </w:pPr>
    </w:p>
    <w:p w14:paraId="4DDEA6E7" w14:textId="77777777" w:rsidR="001F1227" w:rsidRDefault="001F1227" w:rsidP="00BA5849">
      <w:pPr>
        <w:pStyle w:val="HeadingStyle2-14pt"/>
        <w:spacing w:before="0" w:line="276" w:lineRule="auto"/>
        <w:ind w:left="426"/>
        <w:rPr>
          <w:b w:val="0"/>
          <w:bCs/>
          <w:sz w:val="20"/>
          <w:szCs w:val="20"/>
        </w:rPr>
      </w:pPr>
    </w:p>
    <w:p w14:paraId="71B5D890" w14:textId="77777777" w:rsidR="001F1227" w:rsidRDefault="001F1227" w:rsidP="00BA5849">
      <w:pPr>
        <w:pStyle w:val="HeadingStyle2-14pt"/>
        <w:spacing w:before="0" w:line="276" w:lineRule="auto"/>
        <w:ind w:left="426"/>
        <w:rPr>
          <w:b w:val="0"/>
          <w:bCs/>
          <w:sz w:val="20"/>
          <w:szCs w:val="20"/>
        </w:rPr>
      </w:pPr>
    </w:p>
    <w:p w14:paraId="6841F4AF" w14:textId="77777777" w:rsidR="001F1227" w:rsidRDefault="001F1227" w:rsidP="00BA5849">
      <w:pPr>
        <w:pStyle w:val="HeadingStyle2-14pt"/>
        <w:spacing w:before="0" w:line="276" w:lineRule="auto"/>
        <w:ind w:left="426"/>
        <w:rPr>
          <w:b w:val="0"/>
          <w:bCs/>
          <w:sz w:val="20"/>
          <w:szCs w:val="20"/>
        </w:rPr>
      </w:pPr>
    </w:p>
    <w:p w14:paraId="4554DED3" w14:textId="77777777" w:rsidR="001F1227" w:rsidRDefault="001F1227" w:rsidP="00BA5849">
      <w:pPr>
        <w:pStyle w:val="HeadingStyle2-14pt"/>
        <w:spacing w:before="0" w:line="276" w:lineRule="auto"/>
        <w:ind w:left="426"/>
        <w:rPr>
          <w:b w:val="0"/>
          <w:bCs/>
          <w:sz w:val="20"/>
          <w:szCs w:val="20"/>
        </w:rPr>
      </w:pPr>
    </w:p>
    <w:p w14:paraId="63F52B27" w14:textId="77777777" w:rsidR="001F1227" w:rsidRDefault="001F1227" w:rsidP="00BA5849">
      <w:pPr>
        <w:pStyle w:val="HeadingStyle2-14pt"/>
        <w:spacing w:before="0" w:line="276" w:lineRule="auto"/>
        <w:ind w:left="426"/>
        <w:rPr>
          <w:b w:val="0"/>
          <w:bCs/>
          <w:sz w:val="20"/>
          <w:szCs w:val="20"/>
        </w:rPr>
      </w:pPr>
    </w:p>
    <w:p w14:paraId="4F856397" w14:textId="77777777" w:rsidR="001F1227" w:rsidRDefault="001F1227" w:rsidP="00BA5849">
      <w:pPr>
        <w:pStyle w:val="HeadingStyle2-14pt"/>
        <w:spacing w:before="0" w:line="276" w:lineRule="auto"/>
        <w:ind w:left="426"/>
        <w:rPr>
          <w:b w:val="0"/>
          <w:bCs/>
          <w:sz w:val="20"/>
          <w:szCs w:val="20"/>
        </w:rPr>
      </w:pPr>
    </w:p>
    <w:p w14:paraId="4B4A6B53" w14:textId="77777777" w:rsidR="001F1227" w:rsidRDefault="001F1227" w:rsidP="00BA5849">
      <w:pPr>
        <w:pStyle w:val="HeadingStyle2-14pt"/>
        <w:spacing w:before="0" w:line="276" w:lineRule="auto"/>
        <w:ind w:left="426"/>
        <w:rPr>
          <w:b w:val="0"/>
          <w:bCs/>
          <w:sz w:val="20"/>
          <w:szCs w:val="20"/>
        </w:rPr>
      </w:pPr>
    </w:p>
    <w:p w14:paraId="01043655" w14:textId="77777777" w:rsidR="001F1227" w:rsidRDefault="001F1227" w:rsidP="00BA5849">
      <w:pPr>
        <w:pStyle w:val="HeadingStyle2-14pt"/>
        <w:spacing w:before="0" w:line="276" w:lineRule="auto"/>
        <w:ind w:left="426"/>
        <w:rPr>
          <w:b w:val="0"/>
          <w:bCs/>
          <w:sz w:val="20"/>
          <w:szCs w:val="20"/>
        </w:rPr>
      </w:pPr>
    </w:p>
    <w:p w14:paraId="19A512EE" w14:textId="77777777" w:rsidR="001F1227" w:rsidRPr="00C31800" w:rsidRDefault="001F1227" w:rsidP="00BA5849">
      <w:pPr>
        <w:pStyle w:val="HeadingStyle2-14pt"/>
        <w:spacing w:before="0" w:line="276" w:lineRule="auto"/>
        <w:ind w:left="426"/>
        <w:rPr>
          <w:b w:val="0"/>
          <w:sz w:val="20"/>
          <w:szCs w:val="20"/>
        </w:rPr>
      </w:pPr>
    </w:p>
    <w:p w14:paraId="6CD3E2D7" w14:textId="77777777" w:rsidR="001F1227" w:rsidRDefault="001F1227" w:rsidP="00BA5849">
      <w:pPr>
        <w:pStyle w:val="HeadingStyle2-14pt"/>
      </w:pPr>
      <w:r w:rsidRPr="00E64A7A">
        <w:lastRenderedPageBreak/>
        <w:t>Changes in the rates of TCS Applicable from 1st April 2026</w:t>
      </w:r>
    </w:p>
    <w:p w14:paraId="17B24828" w14:textId="77777777" w:rsidR="001F1227" w:rsidRDefault="001F1227" w:rsidP="00BA5849"/>
    <w:tbl>
      <w:tblPr>
        <w:tblW w:w="5000" w:type="pct"/>
        <w:jc w:val="center"/>
        <w:tblCellMar>
          <w:left w:w="0" w:type="dxa"/>
          <w:right w:w="0" w:type="dxa"/>
        </w:tblCellMar>
        <w:tblLook w:val="04A0" w:firstRow="1" w:lastRow="0" w:firstColumn="1" w:lastColumn="0" w:noHBand="0" w:noVBand="1"/>
      </w:tblPr>
      <w:tblGrid>
        <w:gridCol w:w="842"/>
        <w:gridCol w:w="2976"/>
        <w:gridCol w:w="2551"/>
        <w:gridCol w:w="2795"/>
      </w:tblGrid>
      <w:tr w:rsidR="001F1227" w:rsidRPr="00D249BA" w14:paraId="73C62E00" w14:textId="77777777" w:rsidTr="00CF6A56">
        <w:trPr>
          <w:trHeight w:val="20"/>
          <w:jc w:val="center"/>
        </w:trPr>
        <w:tc>
          <w:tcPr>
            <w:tcW w:w="459" w:type="pct"/>
            <w:tcBorders>
              <w:top w:val="single" w:sz="8" w:space="0" w:color="011E41"/>
              <w:left w:val="single" w:sz="8" w:space="0" w:color="011E41"/>
              <w:bottom w:val="single" w:sz="8" w:space="0" w:color="011E41"/>
              <w:right w:val="single" w:sz="8" w:space="0" w:color="011E41"/>
            </w:tcBorders>
            <w:shd w:val="clear" w:color="auto" w:fill="F5A800"/>
            <w:tcMar>
              <w:top w:w="15" w:type="dxa"/>
              <w:left w:w="97" w:type="dxa"/>
              <w:bottom w:w="0" w:type="dxa"/>
              <w:right w:w="97" w:type="dxa"/>
            </w:tcMar>
            <w:vAlign w:val="bottom"/>
            <w:hideMark/>
          </w:tcPr>
          <w:p w14:paraId="2D86F3EF" w14:textId="77777777" w:rsidR="001F1227" w:rsidRPr="00D249BA" w:rsidRDefault="001F1227" w:rsidP="00BA5849">
            <w:pPr>
              <w:pStyle w:val="HeadingStyle2-14pt"/>
              <w:rPr>
                <w:sz w:val="20"/>
                <w:szCs w:val="20"/>
                <w:lang w:val="en-IN"/>
              </w:rPr>
            </w:pPr>
            <w:r w:rsidRPr="00D249BA">
              <w:rPr>
                <w:sz w:val="20"/>
                <w:szCs w:val="20"/>
              </w:rPr>
              <w:t>Sl. No</w:t>
            </w:r>
          </w:p>
        </w:tc>
        <w:tc>
          <w:tcPr>
            <w:tcW w:w="1624" w:type="pct"/>
            <w:tcBorders>
              <w:top w:val="single" w:sz="8" w:space="0" w:color="011E41"/>
              <w:left w:val="single" w:sz="8" w:space="0" w:color="011E41"/>
              <w:bottom w:val="single" w:sz="8" w:space="0" w:color="011E41"/>
              <w:right w:val="single" w:sz="8" w:space="0" w:color="011E41"/>
            </w:tcBorders>
            <w:shd w:val="clear" w:color="auto" w:fill="F5A800"/>
            <w:tcMar>
              <w:top w:w="15" w:type="dxa"/>
              <w:left w:w="97" w:type="dxa"/>
              <w:bottom w:w="0" w:type="dxa"/>
              <w:right w:w="97" w:type="dxa"/>
            </w:tcMar>
            <w:vAlign w:val="bottom"/>
            <w:hideMark/>
          </w:tcPr>
          <w:p w14:paraId="2D48E3A7" w14:textId="77777777" w:rsidR="001F1227" w:rsidRPr="00D249BA" w:rsidRDefault="001F1227" w:rsidP="00BA5849">
            <w:pPr>
              <w:pStyle w:val="HeadingStyle2-14pt"/>
              <w:rPr>
                <w:sz w:val="20"/>
                <w:szCs w:val="20"/>
                <w:lang w:val="en-IN"/>
              </w:rPr>
            </w:pPr>
            <w:r w:rsidRPr="00D249BA">
              <w:rPr>
                <w:sz w:val="20"/>
                <w:szCs w:val="20"/>
              </w:rPr>
              <w:t>Nature of Receipt</w:t>
            </w:r>
          </w:p>
        </w:tc>
        <w:tc>
          <w:tcPr>
            <w:tcW w:w="1392" w:type="pct"/>
            <w:tcBorders>
              <w:top w:val="single" w:sz="8" w:space="0" w:color="011E41"/>
              <w:left w:val="single" w:sz="8" w:space="0" w:color="011E41"/>
              <w:bottom w:val="single" w:sz="8" w:space="0" w:color="011E41"/>
              <w:right w:val="single" w:sz="8" w:space="0" w:color="011E41"/>
            </w:tcBorders>
            <w:shd w:val="clear" w:color="auto" w:fill="F5A800"/>
            <w:tcMar>
              <w:top w:w="15" w:type="dxa"/>
              <w:left w:w="97" w:type="dxa"/>
              <w:bottom w:w="0" w:type="dxa"/>
              <w:right w:w="97" w:type="dxa"/>
            </w:tcMar>
            <w:vAlign w:val="bottom"/>
            <w:hideMark/>
          </w:tcPr>
          <w:p w14:paraId="6052509D" w14:textId="77777777" w:rsidR="001F1227" w:rsidRPr="00D249BA" w:rsidRDefault="001F1227" w:rsidP="00BA5849">
            <w:pPr>
              <w:pStyle w:val="HeadingStyle2-14pt"/>
              <w:rPr>
                <w:sz w:val="20"/>
                <w:szCs w:val="20"/>
                <w:lang w:val="en-IN"/>
              </w:rPr>
            </w:pPr>
            <w:r w:rsidRPr="00D249BA">
              <w:rPr>
                <w:sz w:val="20"/>
                <w:szCs w:val="20"/>
              </w:rPr>
              <w:t>Current Rate</w:t>
            </w:r>
          </w:p>
        </w:tc>
        <w:tc>
          <w:tcPr>
            <w:tcW w:w="1525" w:type="pct"/>
            <w:tcBorders>
              <w:top w:val="single" w:sz="8" w:space="0" w:color="011E41"/>
              <w:left w:val="single" w:sz="8" w:space="0" w:color="011E41"/>
              <w:bottom w:val="single" w:sz="8" w:space="0" w:color="011E41"/>
              <w:right w:val="single" w:sz="8" w:space="0" w:color="011E41"/>
            </w:tcBorders>
            <w:shd w:val="clear" w:color="auto" w:fill="F5A800"/>
            <w:tcMar>
              <w:top w:w="15" w:type="dxa"/>
              <w:left w:w="97" w:type="dxa"/>
              <w:bottom w:w="0" w:type="dxa"/>
              <w:right w:w="97" w:type="dxa"/>
            </w:tcMar>
            <w:vAlign w:val="bottom"/>
            <w:hideMark/>
          </w:tcPr>
          <w:p w14:paraId="50EB73CC" w14:textId="77777777" w:rsidR="001F1227" w:rsidRPr="00D249BA" w:rsidRDefault="001F1227" w:rsidP="00BA5849">
            <w:pPr>
              <w:pStyle w:val="HeadingStyle2-14pt"/>
              <w:rPr>
                <w:sz w:val="20"/>
                <w:szCs w:val="20"/>
                <w:lang w:val="en-IN"/>
              </w:rPr>
            </w:pPr>
            <w:r w:rsidRPr="00D249BA">
              <w:rPr>
                <w:sz w:val="20"/>
                <w:szCs w:val="20"/>
              </w:rPr>
              <w:t>Proposed Rate</w:t>
            </w:r>
          </w:p>
        </w:tc>
      </w:tr>
      <w:tr w:rsidR="001F1227" w:rsidRPr="00D249BA" w14:paraId="7BA72D4D" w14:textId="77777777" w:rsidTr="00CF6A56">
        <w:trPr>
          <w:trHeight w:val="2330"/>
          <w:jc w:val="center"/>
        </w:trPr>
        <w:tc>
          <w:tcPr>
            <w:tcW w:w="459" w:type="pct"/>
            <w:tcBorders>
              <w:top w:val="single" w:sz="8" w:space="0" w:color="011E41"/>
              <w:left w:val="single" w:sz="8" w:space="0" w:color="011E41"/>
              <w:bottom w:val="single" w:sz="8" w:space="0" w:color="011E41"/>
              <w:right w:val="single" w:sz="8" w:space="0" w:color="011E41"/>
            </w:tcBorders>
            <w:shd w:val="clear" w:color="auto" w:fill="FDF1E7"/>
            <w:tcMar>
              <w:top w:w="15" w:type="dxa"/>
              <w:left w:w="97" w:type="dxa"/>
              <w:bottom w:w="0" w:type="dxa"/>
              <w:right w:w="97" w:type="dxa"/>
            </w:tcMar>
            <w:hideMark/>
          </w:tcPr>
          <w:p w14:paraId="14DFAE7D" w14:textId="77777777" w:rsidR="001F1227" w:rsidRPr="00D249BA" w:rsidRDefault="001F1227" w:rsidP="00BA5849">
            <w:pPr>
              <w:pStyle w:val="HeadingStyle2-14pt"/>
              <w:rPr>
                <w:b w:val="0"/>
                <w:sz w:val="20"/>
                <w:szCs w:val="20"/>
                <w:lang w:val="en-IN"/>
              </w:rPr>
            </w:pPr>
            <w:r w:rsidRPr="00D249BA">
              <w:rPr>
                <w:b w:val="0"/>
                <w:sz w:val="20"/>
                <w:szCs w:val="20"/>
              </w:rPr>
              <w:t>1.</w:t>
            </w:r>
          </w:p>
        </w:tc>
        <w:tc>
          <w:tcPr>
            <w:tcW w:w="1624" w:type="pct"/>
            <w:tcBorders>
              <w:top w:val="single" w:sz="8" w:space="0" w:color="011E41"/>
              <w:left w:val="single" w:sz="8" w:space="0" w:color="011E41"/>
              <w:bottom w:val="single" w:sz="8" w:space="0" w:color="011E41"/>
              <w:right w:val="single" w:sz="8" w:space="0" w:color="011E41"/>
            </w:tcBorders>
            <w:shd w:val="clear" w:color="auto" w:fill="FDF1E7"/>
            <w:tcMar>
              <w:top w:w="15" w:type="dxa"/>
              <w:left w:w="97" w:type="dxa"/>
              <w:bottom w:w="0" w:type="dxa"/>
              <w:right w:w="97" w:type="dxa"/>
            </w:tcMar>
            <w:hideMark/>
          </w:tcPr>
          <w:p w14:paraId="6435A7E2" w14:textId="77777777" w:rsidR="001F1227" w:rsidRPr="00D249BA" w:rsidRDefault="001F1227" w:rsidP="00BA5849">
            <w:pPr>
              <w:pStyle w:val="HeadingStyle2-14pt"/>
              <w:rPr>
                <w:b w:val="0"/>
                <w:sz w:val="20"/>
                <w:szCs w:val="20"/>
                <w:lang w:val="en-IN"/>
              </w:rPr>
            </w:pPr>
            <w:r w:rsidRPr="00D249BA">
              <w:rPr>
                <w:b w:val="0"/>
                <w:sz w:val="20"/>
                <w:szCs w:val="20"/>
              </w:rPr>
              <w:t xml:space="preserve">Remittance under the </w:t>
            </w:r>
            <w:proofErr w:type="spellStart"/>
            <w:r w:rsidRPr="00D249BA">
              <w:rPr>
                <w:b w:val="0"/>
                <w:sz w:val="20"/>
                <w:szCs w:val="20"/>
              </w:rPr>
              <w:t>Liberalised</w:t>
            </w:r>
            <w:proofErr w:type="spellEnd"/>
            <w:r w:rsidRPr="00D249BA">
              <w:rPr>
                <w:b w:val="0"/>
                <w:sz w:val="20"/>
                <w:szCs w:val="20"/>
              </w:rPr>
              <w:t xml:space="preserve"> Remittance Scheme of an amount or aggregate of the amounts exceeding ten lakh rupees</w:t>
            </w:r>
            <w:r>
              <w:rPr>
                <w:b w:val="0"/>
                <w:sz w:val="20"/>
                <w:szCs w:val="20"/>
              </w:rPr>
              <w:t xml:space="preserve"> -</w:t>
            </w:r>
          </w:p>
        </w:tc>
        <w:tc>
          <w:tcPr>
            <w:tcW w:w="1392" w:type="pct"/>
            <w:tcBorders>
              <w:top w:val="single" w:sz="8" w:space="0" w:color="011E41"/>
              <w:left w:val="single" w:sz="8" w:space="0" w:color="011E41"/>
              <w:bottom w:val="single" w:sz="8" w:space="0" w:color="011E41"/>
              <w:right w:val="single" w:sz="8" w:space="0" w:color="011E41"/>
            </w:tcBorders>
            <w:shd w:val="clear" w:color="auto" w:fill="FDF1E7"/>
            <w:tcMar>
              <w:top w:w="15" w:type="dxa"/>
              <w:left w:w="97" w:type="dxa"/>
              <w:bottom w:w="0" w:type="dxa"/>
              <w:right w:w="97" w:type="dxa"/>
            </w:tcMar>
            <w:hideMark/>
          </w:tcPr>
          <w:p w14:paraId="797664F6" w14:textId="77777777" w:rsidR="001F1227" w:rsidRPr="00D249BA" w:rsidRDefault="001F1227" w:rsidP="00BA5849">
            <w:pPr>
              <w:pStyle w:val="HeadingStyle2-14pt"/>
              <w:numPr>
                <w:ilvl w:val="0"/>
                <w:numId w:val="57"/>
              </w:numPr>
              <w:tabs>
                <w:tab w:val="clear" w:pos="720"/>
              </w:tabs>
              <w:ind w:left="416" w:hanging="283"/>
              <w:rPr>
                <w:b w:val="0"/>
                <w:sz w:val="20"/>
                <w:szCs w:val="20"/>
                <w:lang w:val="en-IN"/>
              </w:rPr>
            </w:pPr>
            <w:r w:rsidRPr="00D249BA">
              <w:rPr>
                <w:b w:val="0"/>
                <w:sz w:val="20"/>
                <w:szCs w:val="20"/>
              </w:rPr>
              <w:t xml:space="preserve">5% for purposes of education or medical </w:t>
            </w:r>
            <w:proofErr w:type="gramStart"/>
            <w:r w:rsidRPr="00D249BA">
              <w:rPr>
                <w:b w:val="0"/>
                <w:sz w:val="20"/>
                <w:szCs w:val="20"/>
              </w:rPr>
              <w:t>treatment;</w:t>
            </w:r>
            <w:proofErr w:type="gramEnd"/>
          </w:p>
          <w:p w14:paraId="4E0C25BB" w14:textId="77777777" w:rsidR="001F1227" w:rsidRPr="004E4970" w:rsidRDefault="001F1227" w:rsidP="00BA5849">
            <w:pPr>
              <w:pStyle w:val="HeadingStyle2-14pt"/>
              <w:numPr>
                <w:ilvl w:val="0"/>
                <w:numId w:val="57"/>
              </w:numPr>
              <w:tabs>
                <w:tab w:val="clear" w:pos="720"/>
              </w:tabs>
              <w:ind w:left="416" w:hanging="283"/>
              <w:rPr>
                <w:b w:val="0"/>
                <w:sz w:val="20"/>
                <w:szCs w:val="20"/>
                <w:lang w:val="en-IN"/>
              </w:rPr>
            </w:pPr>
            <w:r w:rsidRPr="00D249BA">
              <w:rPr>
                <w:b w:val="0"/>
                <w:sz w:val="20"/>
                <w:szCs w:val="20"/>
              </w:rPr>
              <w:t>20% for purposes other than education or medical treatment.</w:t>
            </w:r>
          </w:p>
        </w:tc>
        <w:tc>
          <w:tcPr>
            <w:tcW w:w="1525" w:type="pct"/>
            <w:tcBorders>
              <w:top w:val="single" w:sz="8" w:space="0" w:color="011E41"/>
              <w:left w:val="single" w:sz="8" w:space="0" w:color="011E41"/>
              <w:bottom w:val="single" w:sz="8" w:space="0" w:color="011E41"/>
              <w:right w:val="single" w:sz="8" w:space="0" w:color="011E41"/>
            </w:tcBorders>
            <w:shd w:val="clear" w:color="auto" w:fill="FDF1E7"/>
            <w:tcMar>
              <w:top w:w="15" w:type="dxa"/>
              <w:left w:w="97" w:type="dxa"/>
              <w:bottom w:w="0" w:type="dxa"/>
              <w:right w:w="97" w:type="dxa"/>
            </w:tcMar>
            <w:hideMark/>
          </w:tcPr>
          <w:p w14:paraId="43105438" w14:textId="77777777" w:rsidR="001F1227" w:rsidRPr="00D249BA" w:rsidRDefault="001F1227" w:rsidP="00BA5849">
            <w:pPr>
              <w:pStyle w:val="HeadingStyle2-14pt"/>
              <w:numPr>
                <w:ilvl w:val="0"/>
                <w:numId w:val="58"/>
              </w:numPr>
              <w:tabs>
                <w:tab w:val="clear" w:pos="720"/>
                <w:tab w:val="num" w:pos="431"/>
              </w:tabs>
              <w:ind w:hanging="573"/>
              <w:rPr>
                <w:b w:val="0"/>
                <w:sz w:val="20"/>
                <w:szCs w:val="20"/>
                <w:lang w:val="en-IN"/>
              </w:rPr>
            </w:pPr>
            <w:r w:rsidRPr="00D249BA">
              <w:rPr>
                <w:b w:val="0"/>
                <w:sz w:val="20"/>
                <w:szCs w:val="20"/>
              </w:rPr>
              <w:t xml:space="preserve">2% for purposes of education or medical </w:t>
            </w:r>
            <w:proofErr w:type="gramStart"/>
            <w:r w:rsidRPr="00D249BA">
              <w:rPr>
                <w:b w:val="0"/>
                <w:sz w:val="20"/>
                <w:szCs w:val="20"/>
              </w:rPr>
              <w:t>treatment;</w:t>
            </w:r>
            <w:proofErr w:type="gramEnd"/>
          </w:p>
          <w:p w14:paraId="647BC7A7" w14:textId="77777777" w:rsidR="001F1227" w:rsidRPr="00D249BA" w:rsidRDefault="001F1227" w:rsidP="00BA5849">
            <w:pPr>
              <w:pStyle w:val="HeadingStyle2-14pt"/>
              <w:numPr>
                <w:ilvl w:val="0"/>
                <w:numId w:val="58"/>
              </w:numPr>
              <w:tabs>
                <w:tab w:val="clear" w:pos="720"/>
                <w:tab w:val="num" w:pos="431"/>
              </w:tabs>
              <w:ind w:hanging="573"/>
              <w:rPr>
                <w:b w:val="0"/>
                <w:sz w:val="20"/>
                <w:szCs w:val="20"/>
                <w:lang w:val="en-IN"/>
              </w:rPr>
            </w:pPr>
            <w:r w:rsidRPr="00D249BA">
              <w:rPr>
                <w:b w:val="0"/>
                <w:sz w:val="20"/>
                <w:szCs w:val="20"/>
              </w:rPr>
              <w:t>20% for purposes</w:t>
            </w:r>
            <w:r>
              <w:rPr>
                <w:b w:val="0"/>
                <w:sz w:val="20"/>
                <w:szCs w:val="20"/>
              </w:rPr>
              <w:t xml:space="preserve"> </w:t>
            </w:r>
            <w:r w:rsidRPr="00D249BA">
              <w:rPr>
                <w:b w:val="0"/>
                <w:sz w:val="20"/>
                <w:szCs w:val="20"/>
              </w:rPr>
              <w:t>other than</w:t>
            </w:r>
            <w:r>
              <w:rPr>
                <w:b w:val="0"/>
                <w:sz w:val="20"/>
                <w:szCs w:val="20"/>
              </w:rPr>
              <w:t xml:space="preserve"> </w:t>
            </w:r>
            <w:r w:rsidRPr="00D249BA">
              <w:rPr>
                <w:b w:val="0"/>
                <w:sz w:val="20"/>
                <w:szCs w:val="20"/>
              </w:rPr>
              <w:t>education or medical treatment.</w:t>
            </w:r>
          </w:p>
        </w:tc>
      </w:tr>
      <w:tr w:rsidR="001F1227" w:rsidRPr="00D249BA" w14:paraId="4EFBEBA6" w14:textId="77777777" w:rsidTr="00CF6A56">
        <w:trPr>
          <w:trHeight w:val="3145"/>
          <w:jc w:val="center"/>
        </w:trPr>
        <w:tc>
          <w:tcPr>
            <w:tcW w:w="459" w:type="pct"/>
            <w:tcBorders>
              <w:top w:val="single" w:sz="8" w:space="0" w:color="011E41"/>
              <w:left w:val="single" w:sz="8" w:space="0" w:color="011E41"/>
              <w:bottom w:val="single" w:sz="8" w:space="0" w:color="011E41"/>
              <w:right w:val="single" w:sz="8" w:space="0" w:color="011E41"/>
            </w:tcBorders>
            <w:tcMar>
              <w:top w:w="15" w:type="dxa"/>
              <w:left w:w="97" w:type="dxa"/>
              <w:bottom w:w="0" w:type="dxa"/>
              <w:right w:w="97" w:type="dxa"/>
            </w:tcMar>
            <w:hideMark/>
          </w:tcPr>
          <w:p w14:paraId="5781E8CB" w14:textId="77777777" w:rsidR="001F1227" w:rsidRPr="00D249BA" w:rsidRDefault="001F1227" w:rsidP="00BA5849">
            <w:pPr>
              <w:pStyle w:val="HeadingStyle2-14pt"/>
              <w:rPr>
                <w:b w:val="0"/>
                <w:sz w:val="20"/>
                <w:szCs w:val="20"/>
                <w:lang w:val="en-IN"/>
              </w:rPr>
            </w:pPr>
            <w:r w:rsidRPr="00D249BA">
              <w:rPr>
                <w:b w:val="0"/>
                <w:sz w:val="20"/>
                <w:szCs w:val="20"/>
              </w:rPr>
              <w:t>2.</w:t>
            </w:r>
          </w:p>
        </w:tc>
        <w:tc>
          <w:tcPr>
            <w:tcW w:w="1624" w:type="pct"/>
            <w:tcBorders>
              <w:top w:val="single" w:sz="8" w:space="0" w:color="011E41"/>
              <w:left w:val="single" w:sz="8" w:space="0" w:color="011E41"/>
              <w:bottom w:val="single" w:sz="8" w:space="0" w:color="011E41"/>
              <w:right w:val="single" w:sz="8" w:space="0" w:color="011E41"/>
            </w:tcBorders>
            <w:tcMar>
              <w:top w:w="15" w:type="dxa"/>
              <w:left w:w="97" w:type="dxa"/>
              <w:bottom w:w="0" w:type="dxa"/>
              <w:right w:w="97" w:type="dxa"/>
            </w:tcMar>
            <w:hideMark/>
          </w:tcPr>
          <w:p w14:paraId="2DCC9D52" w14:textId="77777777" w:rsidR="001F1227" w:rsidRPr="00D249BA" w:rsidRDefault="001F1227" w:rsidP="00BA5849">
            <w:pPr>
              <w:pStyle w:val="HeadingStyle2-14pt"/>
              <w:rPr>
                <w:b w:val="0"/>
                <w:sz w:val="20"/>
                <w:szCs w:val="20"/>
                <w:lang w:val="en-IN"/>
              </w:rPr>
            </w:pPr>
            <w:r w:rsidRPr="00D249BA">
              <w:rPr>
                <w:b w:val="0"/>
                <w:sz w:val="20"/>
                <w:szCs w:val="20"/>
              </w:rPr>
              <w:t xml:space="preserve">Sale of “overseas tour </w:t>
            </w:r>
            <w:proofErr w:type="spellStart"/>
            <w:r w:rsidRPr="00D249BA">
              <w:rPr>
                <w:b w:val="0"/>
                <w:sz w:val="20"/>
                <w:szCs w:val="20"/>
              </w:rPr>
              <w:t>programme</w:t>
            </w:r>
            <w:proofErr w:type="spellEnd"/>
            <w:r w:rsidRPr="00D249BA">
              <w:rPr>
                <w:b w:val="0"/>
                <w:sz w:val="20"/>
                <w:szCs w:val="20"/>
              </w:rPr>
              <w:t xml:space="preserve"> package” including expenses for travel or hotel stay or boarding or lodging or any such similar or related expenditure.</w:t>
            </w:r>
          </w:p>
        </w:tc>
        <w:tc>
          <w:tcPr>
            <w:tcW w:w="1392" w:type="pct"/>
            <w:tcBorders>
              <w:top w:val="single" w:sz="8" w:space="0" w:color="011E41"/>
              <w:left w:val="single" w:sz="8" w:space="0" w:color="011E41"/>
              <w:bottom w:val="single" w:sz="8" w:space="0" w:color="011E41"/>
              <w:right w:val="single" w:sz="8" w:space="0" w:color="011E41"/>
            </w:tcBorders>
            <w:tcMar>
              <w:top w:w="15" w:type="dxa"/>
              <w:left w:w="97" w:type="dxa"/>
              <w:bottom w:w="0" w:type="dxa"/>
              <w:right w:w="97" w:type="dxa"/>
            </w:tcMar>
            <w:hideMark/>
          </w:tcPr>
          <w:p w14:paraId="1DBC2A02" w14:textId="77777777" w:rsidR="001F1227" w:rsidRPr="00D249BA" w:rsidRDefault="001F1227" w:rsidP="00BA5849">
            <w:pPr>
              <w:pStyle w:val="HeadingStyle2-14pt"/>
              <w:numPr>
                <w:ilvl w:val="0"/>
                <w:numId w:val="59"/>
              </w:numPr>
              <w:tabs>
                <w:tab w:val="clear" w:pos="720"/>
              </w:tabs>
              <w:ind w:left="417" w:hanging="283"/>
              <w:rPr>
                <w:b w:val="0"/>
                <w:sz w:val="20"/>
                <w:szCs w:val="20"/>
                <w:lang w:val="en-IN"/>
              </w:rPr>
            </w:pPr>
            <w:r w:rsidRPr="00D249BA">
              <w:rPr>
                <w:b w:val="0"/>
                <w:sz w:val="20"/>
                <w:szCs w:val="20"/>
              </w:rPr>
              <w:t xml:space="preserve">5% of amount or aggregate of amounts up to ten lakh </w:t>
            </w:r>
            <w:proofErr w:type="gramStart"/>
            <w:r w:rsidRPr="00D249BA">
              <w:rPr>
                <w:b w:val="0"/>
                <w:sz w:val="20"/>
                <w:szCs w:val="20"/>
              </w:rPr>
              <w:t>rupees;</w:t>
            </w:r>
            <w:proofErr w:type="gramEnd"/>
          </w:p>
          <w:p w14:paraId="56A452AF" w14:textId="77777777" w:rsidR="001F1227" w:rsidRPr="00D249BA" w:rsidRDefault="001F1227" w:rsidP="00BA5849">
            <w:pPr>
              <w:pStyle w:val="HeadingStyle2-14pt"/>
              <w:numPr>
                <w:ilvl w:val="0"/>
                <w:numId w:val="59"/>
              </w:numPr>
              <w:tabs>
                <w:tab w:val="clear" w:pos="720"/>
              </w:tabs>
              <w:ind w:left="417" w:hanging="283"/>
              <w:rPr>
                <w:b w:val="0"/>
                <w:sz w:val="20"/>
                <w:szCs w:val="20"/>
                <w:lang w:val="en-IN"/>
              </w:rPr>
            </w:pPr>
            <w:r w:rsidRPr="00D249BA">
              <w:rPr>
                <w:b w:val="0"/>
                <w:sz w:val="20"/>
                <w:szCs w:val="20"/>
              </w:rPr>
              <w:t>20% of amount or aggregate of amounts exceeding ten lakh rupees.</w:t>
            </w:r>
          </w:p>
        </w:tc>
        <w:tc>
          <w:tcPr>
            <w:tcW w:w="1525" w:type="pct"/>
            <w:tcBorders>
              <w:top w:val="single" w:sz="8" w:space="0" w:color="011E41"/>
              <w:left w:val="single" w:sz="8" w:space="0" w:color="011E41"/>
              <w:bottom w:val="single" w:sz="8" w:space="0" w:color="011E41"/>
              <w:right w:val="single" w:sz="8" w:space="0" w:color="011E41"/>
            </w:tcBorders>
            <w:tcMar>
              <w:top w:w="15" w:type="dxa"/>
              <w:left w:w="97" w:type="dxa"/>
              <w:bottom w:w="0" w:type="dxa"/>
              <w:right w:w="97" w:type="dxa"/>
            </w:tcMar>
            <w:vAlign w:val="center"/>
            <w:hideMark/>
          </w:tcPr>
          <w:p w14:paraId="7904FA1C" w14:textId="77777777" w:rsidR="001F1227" w:rsidRPr="00D249BA" w:rsidRDefault="001F1227" w:rsidP="00BA5849">
            <w:pPr>
              <w:pStyle w:val="HeadingStyle2-14pt"/>
              <w:rPr>
                <w:b w:val="0"/>
                <w:sz w:val="20"/>
                <w:szCs w:val="20"/>
                <w:lang w:val="en-IN"/>
              </w:rPr>
            </w:pPr>
            <w:r w:rsidRPr="00D249BA">
              <w:rPr>
                <w:b w:val="0"/>
                <w:sz w:val="20"/>
                <w:szCs w:val="20"/>
              </w:rPr>
              <w:t>2%</w:t>
            </w:r>
          </w:p>
        </w:tc>
      </w:tr>
    </w:tbl>
    <w:p w14:paraId="318C134D" w14:textId="77777777" w:rsidR="001F1227" w:rsidRDefault="001F1227" w:rsidP="00BA5849">
      <w:pPr>
        <w:pStyle w:val="HeadingStyle2-14pt"/>
      </w:pPr>
    </w:p>
    <w:p w14:paraId="65CD3C33" w14:textId="77777777" w:rsidR="001F1227" w:rsidRDefault="001F1227" w:rsidP="00BA5849">
      <w:pPr>
        <w:pStyle w:val="HeadingStyle2-14pt"/>
      </w:pPr>
    </w:p>
    <w:p w14:paraId="0D8B5875" w14:textId="77777777" w:rsidR="001F1227" w:rsidRDefault="001F1227" w:rsidP="00BA5849">
      <w:pPr>
        <w:pStyle w:val="HeadingStyle2-14pt"/>
      </w:pPr>
    </w:p>
    <w:p w14:paraId="35CD3182" w14:textId="77777777" w:rsidR="001F1227" w:rsidRDefault="001F1227" w:rsidP="00BA5849">
      <w:pPr>
        <w:pStyle w:val="HeadingStyle2-14pt"/>
      </w:pPr>
    </w:p>
    <w:p w14:paraId="1BF11A20" w14:textId="77777777" w:rsidR="001F1227" w:rsidRDefault="001F1227" w:rsidP="00BA5849">
      <w:pPr>
        <w:pStyle w:val="HeadingStyle2-14pt"/>
      </w:pPr>
    </w:p>
    <w:p w14:paraId="0B84058F" w14:textId="77777777" w:rsidR="001F1227" w:rsidRDefault="001F1227" w:rsidP="00BA5849">
      <w:pPr>
        <w:pStyle w:val="HeadingStyle2-14pt"/>
      </w:pPr>
    </w:p>
    <w:p w14:paraId="62D600CF" w14:textId="77777777" w:rsidR="001F1227" w:rsidRDefault="001F1227" w:rsidP="00BA5849">
      <w:pPr>
        <w:pStyle w:val="HeadingStyle2-14pt"/>
      </w:pPr>
    </w:p>
    <w:p w14:paraId="46E9F870" w14:textId="77777777" w:rsidR="001F1227" w:rsidRDefault="001F1227" w:rsidP="00BA5849">
      <w:pPr>
        <w:pStyle w:val="HeadingStyle2-14pt"/>
      </w:pPr>
    </w:p>
    <w:p w14:paraId="18ECC877" w14:textId="77777777" w:rsidR="001F1227" w:rsidRDefault="001F1227" w:rsidP="00BA5849">
      <w:pPr>
        <w:pStyle w:val="HeadingStyle2-14pt"/>
        <w:spacing w:line="360" w:lineRule="auto"/>
      </w:pPr>
      <w:r w:rsidRPr="0035054C">
        <w:lastRenderedPageBreak/>
        <w:t>Indirect</w:t>
      </w:r>
      <w:r>
        <w:t xml:space="preserve"> </w:t>
      </w:r>
      <w:r w:rsidRPr="0035054C">
        <w:t>Taxation</w:t>
      </w:r>
    </w:p>
    <w:p w14:paraId="4ED346A9" w14:textId="77777777" w:rsidR="001F1227" w:rsidRPr="004252DB" w:rsidRDefault="001F1227" w:rsidP="00BA5849">
      <w:pPr>
        <w:pStyle w:val="HeadingStyle2-14pt"/>
        <w:spacing w:before="0" w:line="360" w:lineRule="auto"/>
        <w:rPr>
          <w:sz w:val="24"/>
          <w:szCs w:val="24"/>
        </w:rPr>
      </w:pPr>
      <w:r w:rsidRPr="004252DB">
        <w:rPr>
          <w:sz w:val="24"/>
          <w:szCs w:val="24"/>
        </w:rPr>
        <w:t>Transformation of Intermediary Service Taxation (Sec 13(8)(b) IGST)</w:t>
      </w:r>
    </w:p>
    <w:p w14:paraId="1A4A9B89" w14:textId="77777777" w:rsidR="001F1227" w:rsidRPr="00166647" w:rsidRDefault="001F1227" w:rsidP="00BA5849">
      <w:pPr>
        <w:pStyle w:val="HeadingStyle2-14pt"/>
        <w:spacing w:before="0" w:line="276" w:lineRule="auto"/>
        <w:rPr>
          <w:b w:val="0"/>
          <w:bCs/>
          <w:sz w:val="20"/>
          <w:szCs w:val="20"/>
        </w:rPr>
      </w:pPr>
      <w:r w:rsidRPr="00166647">
        <w:rPr>
          <w:b w:val="0"/>
          <w:bCs/>
          <w:sz w:val="20"/>
          <w:szCs w:val="20"/>
        </w:rPr>
        <w:t>Proposal to delete Section 13(8)(b) shifts intermediary service taxation from supplier location to destination-based taxation.</w:t>
      </w:r>
    </w:p>
    <w:p w14:paraId="3B3D9DF4" w14:textId="77777777" w:rsidR="001F1227" w:rsidRPr="00D129A2" w:rsidRDefault="001F1227" w:rsidP="00BA5849">
      <w:pPr>
        <w:pStyle w:val="HeadingStyle2-14pt"/>
        <w:spacing w:line="276" w:lineRule="auto"/>
        <w:rPr>
          <w:sz w:val="20"/>
          <w:szCs w:val="20"/>
        </w:rPr>
      </w:pPr>
      <w:r w:rsidRPr="00D129A2">
        <w:rPr>
          <w:sz w:val="20"/>
          <w:szCs w:val="20"/>
        </w:rPr>
        <w:t>Key Implications:</w:t>
      </w:r>
    </w:p>
    <w:p w14:paraId="45E1628C" w14:textId="77777777" w:rsidR="001F1227" w:rsidRPr="00D62239" w:rsidRDefault="001F1227" w:rsidP="00BA5849">
      <w:pPr>
        <w:pStyle w:val="HeadingStyle2-14pt"/>
        <w:numPr>
          <w:ilvl w:val="0"/>
          <w:numId w:val="62"/>
        </w:numPr>
        <w:tabs>
          <w:tab w:val="clear" w:pos="720"/>
          <w:tab w:val="num" w:pos="426"/>
        </w:tabs>
        <w:spacing w:line="276" w:lineRule="auto"/>
        <w:ind w:left="284" w:hanging="284"/>
        <w:rPr>
          <w:b w:val="0"/>
          <w:bCs/>
          <w:sz w:val="20"/>
          <w:szCs w:val="20"/>
        </w:rPr>
      </w:pPr>
      <w:r w:rsidRPr="00D62239">
        <w:rPr>
          <w:b w:val="0"/>
          <w:bCs/>
          <w:sz w:val="20"/>
          <w:szCs w:val="20"/>
        </w:rPr>
        <w:t>By removing the specific carve-out for intermediaries, the Place of Supply (POS) now defaults to the recipient’s location under Section 13(2). This allows intermediary services to qualify as “Export of Services”, enabling zero-rating and subsequent refunds.</w:t>
      </w:r>
    </w:p>
    <w:p w14:paraId="728E6495" w14:textId="77777777" w:rsidR="001F1227" w:rsidRPr="00D62239" w:rsidRDefault="001F1227" w:rsidP="00BA5849">
      <w:pPr>
        <w:pStyle w:val="HeadingStyle2-14pt"/>
        <w:numPr>
          <w:ilvl w:val="0"/>
          <w:numId w:val="62"/>
        </w:numPr>
        <w:tabs>
          <w:tab w:val="clear" w:pos="720"/>
          <w:tab w:val="num" w:pos="426"/>
        </w:tabs>
        <w:spacing w:line="276" w:lineRule="auto"/>
        <w:ind w:left="284" w:hanging="284"/>
        <w:rPr>
          <w:b w:val="0"/>
          <w:bCs/>
          <w:sz w:val="20"/>
          <w:szCs w:val="20"/>
        </w:rPr>
      </w:pPr>
      <w:r w:rsidRPr="00D62239">
        <w:rPr>
          <w:b w:val="0"/>
          <w:bCs/>
          <w:sz w:val="20"/>
          <w:szCs w:val="20"/>
        </w:rPr>
        <w:t>The 18% GST previously embedded as a non-recoverable cost for foreign recipients is eliminated. This directly benefits the IT-enabled services (ITES), Global Capability Centers (GCCs), and back-office sectors having such disputes.</w:t>
      </w:r>
    </w:p>
    <w:p w14:paraId="5BB58C28" w14:textId="77777777" w:rsidR="001F1227" w:rsidRPr="00D62239" w:rsidRDefault="001F1227" w:rsidP="00BA5849">
      <w:pPr>
        <w:pStyle w:val="HeadingStyle2-14pt"/>
        <w:numPr>
          <w:ilvl w:val="0"/>
          <w:numId w:val="62"/>
        </w:numPr>
        <w:tabs>
          <w:tab w:val="clear" w:pos="720"/>
          <w:tab w:val="num" w:pos="426"/>
        </w:tabs>
        <w:spacing w:line="276" w:lineRule="auto"/>
        <w:ind w:left="284" w:hanging="284"/>
        <w:rPr>
          <w:b w:val="0"/>
          <w:bCs/>
          <w:sz w:val="20"/>
          <w:szCs w:val="20"/>
        </w:rPr>
      </w:pPr>
      <w:r w:rsidRPr="00D62239">
        <w:rPr>
          <w:b w:val="0"/>
          <w:bCs/>
          <w:sz w:val="20"/>
          <w:szCs w:val="20"/>
        </w:rPr>
        <w:t>This amendment also addresses systemic litigation regarding the "intermediary" classification, providing long-awaited tax certainty for cross-border service contracts.</w:t>
      </w:r>
    </w:p>
    <w:p w14:paraId="5ECEC740" w14:textId="77777777" w:rsidR="001F1227" w:rsidRPr="00683BF9" w:rsidRDefault="001F1227" w:rsidP="00BA5849">
      <w:pPr>
        <w:pStyle w:val="HeadingStyle2-14pt"/>
        <w:rPr>
          <w:sz w:val="24"/>
          <w:szCs w:val="24"/>
        </w:rPr>
      </w:pPr>
      <w:r w:rsidRPr="00683BF9">
        <w:rPr>
          <w:sz w:val="24"/>
          <w:szCs w:val="24"/>
        </w:rPr>
        <w:t>Rationalization of Post-Sale Discounts and Refund Limits</w:t>
      </w:r>
    </w:p>
    <w:p w14:paraId="3DBED198" w14:textId="77777777" w:rsidR="001F1227" w:rsidRPr="001C74D6" w:rsidRDefault="001F1227" w:rsidP="00BA5849">
      <w:pPr>
        <w:pStyle w:val="HeadingStyle2-14pt"/>
        <w:numPr>
          <w:ilvl w:val="0"/>
          <w:numId w:val="64"/>
        </w:numPr>
        <w:tabs>
          <w:tab w:val="clear" w:pos="720"/>
          <w:tab w:val="num" w:pos="284"/>
        </w:tabs>
        <w:ind w:hanging="720"/>
        <w:rPr>
          <w:sz w:val="20"/>
          <w:szCs w:val="20"/>
        </w:rPr>
      </w:pPr>
      <w:r w:rsidRPr="001C74D6">
        <w:rPr>
          <w:sz w:val="20"/>
          <w:szCs w:val="20"/>
        </w:rPr>
        <w:t>Valuation of Supply (Section 15(3) and Section 34): </w:t>
      </w:r>
    </w:p>
    <w:p w14:paraId="5C7B8AE9" w14:textId="77777777" w:rsidR="001F1227" w:rsidRPr="00683BF9" w:rsidRDefault="001F1227" w:rsidP="00BA5849">
      <w:pPr>
        <w:pStyle w:val="HeadingStyle2-14pt"/>
        <w:spacing w:before="0"/>
        <w:ind w:left="284"/>
        <w:rPr>
          <w:b w:val="0"/>
          <w:bCs/>
          <w:sz w:val="20"/>
          <w:szCs w:val="20"/>
        </w:rPr>
      </w:pPr>
      <w:r w:rsidRPr="00683BF9">
        <w:rPr>
          <w:b w:val="0"/>
          <w:bCs/>
          <w:sz w:val="20"/>
          <w:szCs w:val="20"/>
        </w:rPr>
        <w:t>The compliance framework for excluding post-supply discounts from taxable value has been significantly liberalized. The rigid prerequisites of a "prior agreement" and "invoice-wise linking" have been removed. Exclusion is now permitted solely based on the issuance of a credit note by the supplier and the subsequent reversal of Input Tax Credit by the recipient under Section 34.</w:t>
      </w:r>
    </w:p>
    <w:p w14:paraId="0A8CEC8E" w14:textId="77777777" w:rsidR="001F1227" w:rsidRPr="00CC4E9E" w:rsidRDefault="001F1227" w:rsidP="00BA5849">
      <w:pPr>
        <w:pStyle w:val="HeadingStyle2-14pt"/>
        <w:numPr>
          <w:ilvl w:val="0"/>
          <w:numId w:val="64"/>
        </w:numPr>
        <w:tabs>
          <w:tab w:val="clear" w:pos="720"/>
          <w:tab w:val="num" w:pos="284"/>
        </w:tabs>
        <w:ind w:hanging="720"/>
        <w:rPr>
          <w:sz w:val="20"/>
          <w:szCs w:val="20"/>
        </w:rPr>
      </w:pPr>
      <w:r w:rsidRPr="00CC4E9E">
        <w:rPr>
          <w:sz w:val="20"/>
          <w:szCs w:val="20"/>
        </w:rPr>
        <w:t>Minimum Refund Threshold (Section 54(14)): </w:t>
      </w:r>
    </w:p>
    <w:p w14:paraId="5B5BCA3E" w14:textId="77777777" w:rsidR="001F1227" w:rsidRDefault="001F1227" w:rsidP="00BA5849">
      <w:pPr>
        <w:pStyle w:val="HeadingStyle2-14pt"/>
        <w:spacing w:before="0"/>
        <w:ind w:left="284"/>
        <w:rPr>
          <w:b w:val="0"/>
          <w:bCs/>
          <w:sz w:val="20"/>
          <w:szCs w:val="20"/>
        </w:rPr>
      </w:pPr>
      <w:r w:rsidRPr="0085589B">
        <w:rPr>
          <w:b w:val="0"/>
          <w:bCs/>
          <w:sz w:val="20"/>
          <w:szCs w:val="20"/>
        </w:rPr>
        <w:t>The statutory bar on processing refund claims below ₹1,000 has been selectively lifted for export of goods with payment cases. </w:t>
      </w:r>
    </w:p>
    <w:p w14:paraId="6B6A9160" w14:textId="77777777" w:rsidR="001F1227" w:rsidRPr="0085589B" w:rsidRDefault="001F1227" w:rsidP="00BA5849">
      <w:pPr>
        <w:pStyle w:val="HeadingStyle2-14pt"/>
        <w:spacing w:before="0"/>
        <w:ind w:left="284"/>
        <w:rPr>
          <w:b w:val="0"/>
          <w:bCs/>
          <w:sz w:val="20"/>
          <w:szCs w:val="20"/>
        </w:rPr>
      </w:pPr>
    </w:p>
    <w:p w14:paraId="7257FC71" w14:textId="77777777" w:rsidR="001F1227" w:rsidRPr="00D42347" w:rsidRDefault="001F1227" w:rsidP="00BA5849">
      <w:pPr>
        <w:pStyle w:val="HeadingStyle2-14pt"/>
        <w:numPr>
          <w:ilvl w:val="0"/>
          <w:numId w:val="64"/>
        </w:numPr>
        <w:tabs>
          <w:tab w:val="clear" w:pos="720"/>
        </w:tabs>
        <w:spacing w:before="0"/>
        <w:ind w:left="284" w:hanging="284"/>
        <w:rPr>
          <w:sz w:val="20"/>
          <w:szCs w:val="20"/>
        </w:rPr>
      </w:pPr>
      <w:r w:rsidRPr="00D42347">
        <w:rPr>
          <w:sz w:val="20"/>
          <w:szCs w:val="20"/>
        </w:rPr>
        <w:t>Expansion of Provisional Refunds (Section 54(6)): </w:t>
      </w:r>
    </w:p>
    <w:p w14:paraId="347C82E6" w14:textId="77777777" w:rsidR="001F1227" w:rsidRPr="00816867" w:rsidRDefault="001F1227" w:rsidP="00BA5849">
      <w:pPr>
        <w:pStyle w:val="HeadingStyle2-14pt"/>
        <w:spacing w:before="0"/>
        <w:ind w:left="284"/>
        <w:rPr>
          <w:b w:val="0"/>
          <w:bCs/>
          <w:sz w:val="20"/>
          <w:szCs w:val="20"/>
        </w:rPr>
      </w:pPr>
      <w:r w:rsidRPr="00816867">
        <w:rPr>
          <w:b w:val="0"/>
          <w:bCs/>
          <w:sz w:val="20"/>
          <w:szCs w:val="20"/>
        </w:rPr>
        <w:t>The 90% provisional refund mechanism—previously reserved for zero-rated supplies—is now extended to cases of Inverted Duty Structure (IDS). </w:t>
      </w:r>
    </w:p>
    <w:p w14:paraId="27B6712C" w14:textId="77777777" w:rsidR="001F1227" w:rsidRDefault="001F1227" w:rsidP="00BA5849">
      <w:pPr>
        <w:pStyle w:val="HeadingStyle2-14pt"/>
        <w:rPr>
          <w:b w:val="0"/>
          <w:bCs/>
        </w:rPr>
      </w:pPr>
    </w:p>
    <w:p w14:paraId="1D2060A1" w14:textId="77777777" w:rsidR="001F1227" w:rsidRDefault="001F1227" w:rsidP="00BA5849">
      <w:pPr>
        <w:pStyle w:val="HeadingStyle2-14pt"/>
        <w:rPr>
          <w:b w:val="0"/>
          <w:bCs/>
        </w:rPr>
      </w:pPr>
    </w:p>
    <w:p w14:paraId="7E27CA70" w14:textId="77777777" w:rsidR="001F1227" w:rsidRDefault="001F1227" w:rsidP="00BA5849">
      <w:pPr>
        <w:pStyle w:val="HeadingStyle2-14pt"/>
        <w:rPr>
          <w:b w:val="0"/>
          <w:bCs/>
        </w:rPr>
      </w:pPr>
    </w:p>
    <w:p w14:paraId="578E359A" w14:textId="77777777" w:rsidR="001F1227" w:rsidRDefault="001F1227" w:rsidP="00BA5849">
      <w:pPr>
        <w:pStyle w:val="HeadingStyle2-14pt"/>
        <w:spacing w:before="0"/>
        <w:rPr>
          <w:b w:val="0"/>
          <w:bCs/>
        </w:rPr>
      </w:pPr>
    </w:p>
    <w:p w14:paraId="05AB4C03" w14:textId="77777777" w:rsidR="001F1227" w:rsidRPr="00193354" w:rsidRDefault="001F1227" w:rsidP="00BA5849">
      <w:pPr>
        <w:pStyle w:val="HeadingStyle2-14pt"/>
        <w:rPr>
          <w:sz w:val="24"/>
          <w:szCs w:val="24"/>
        </w:rPr>
      </w:pPr>
      <w:r w:rsidRPr="00193354">
        <w:rPr>
          <w:sz w:val="24"/>
          <w:szCs w:val="24"/>
        </w:rPr>
        <w:lastRenderedPageBreak/>
        <w:t>Provisional Refunds and Administrative Continuity</w:t>
      </w:r>
    </w:p>
    <w:p w14:paraId="178FB442" w14:textId="77777777" w:rsidR="001F1227" w:rsidRPr="00FC7C37" w:rsidRDefault="001F1227" w:rsidP="00BA5849">
      <w:pPr>
        <w:pStyle w:val="HeadingStyle2-14pt"/>
        <w:numPr>
          <w:ilvl w:val="0"/>
          <w:numId w:val="64"/>
        </w:numPr>
        <w:tabs>
          <w:tab w:val="clear" w:pos="720"/>
          <w:tab w:val="num" w:pos="284"/>
        </w:tabs>
        <w:ind w:left="284" w:hanging="284"/>
        <w:rPr>
          <w:b w:val="0"/>
          <w:bCs/>
          <w:sz w:val="20"/>
          <w:szCs w:val="20"/>
        </w:rPr>
      </w:pPr>
      <w:r w:rsidRPr="00722796">
        <w:rPr>
          <w:sz w:val="20"/>
          <w:szCs w:val="20"/>
        </w:rPr>
        <w:t>Interim Measures for Advance Ruling Appeals (Section 101A):</w:t>
      </w:r>
      <w:r w:rsidRPr="00FC7C37">
        <w:rPr>
          <w:b w:val="0"/>
          <w:bCs/>
          <w:sz w:val="20"/>
          <w:szCs w:val="20"/>
        </w:rPr>
        <w:t> To address the non-constitution of the National Appellate Authority for Advance Ruling (NAAAR), the law now provides a transitional mechanism. </w:t>
      </w:r>
    </w:p>
    <w:p w14:paraId="7F02FF0C" w14:textId="77777777" w:rsidR="001F1227" w:rsidRPr="00FC7C37" w:rsidRDefault="001F1227" w:rsidP="00BA5849">
      <w:pPr>
        <w:pStyle w:val="HeadingStyle2-14pt"/>
        <w:numPr>
          <w:ilvl w:val="1"/>
          <w:numId w:val="64"/>
        </w:numPr>
        <w:ind w:left="709" w:hanging="425"/>
        <w:rPr>
          <w:b w:val="0"/>
          <w:bCs/>
          <w:sz w:val="20"/>
          <w:szCs w:val="20"/>
        </w:rPr>
      </w:pPr>
      <w:r w:rsidRPr="00722796">
        <w:rPr>
          <w:sz w:val="20"/>
          <w:szCs w:val="20"/>
        </w:rPr>
        <w:t>Judicial Continuity:</w:t>
      </w:r>
      <w:r w:rsidRPr="00FC7C37">
        <w:rPr>
          <w:b w:val="0"/>
          <w:bCs/>
          <w:sz w:val="20"/>
          <w:szCs w:val="20"/>
        </w:rPr>
        <w:t> New sub-section (1A) empowers the Government to designate an existing authority or Tribunal to adjudicate appeals involving conflicting advance rulings from different States. </w:t>
      </w:r>
    </w:p>
    <w:p w14:paraId="30FF5C9B" w14:textId="77777777" w:rsidR="001F1227" w:rsidRPr="00FC7C37" w:rsidRDefault="001F1227" w:rsidP="00BA5849">
      <w:pPr>
        <w:pStyle w:val="HeadingStyle2-14pt"/>
        <w:numPr>
          <w:ilvl w:val="1"/>
          <w:numId w:val="64"/>
        </w:numPr>
        <w:ind w:left="709" w:hanging="425"/>
        <w:rPr>
          <w:b w:val="0"/>
          <w:bCs/>
          <w:sz w:val="20"/>
          <w:szCs w:val="20"/>
        </w:rPr>
      </w:pPr>
      <w:r w:rsidRPr="00722796">
        <w:rPr>
          <w:sz w:val="20"/>
          <w:szCs w:val="20"/>
        </w:rPr>
        <w:t>Legal Status:</w:t>
      </w:r>
      <w:r w:rsidRPr="00FC7C37">
        <w:rPr>
          <w:b w:val="0"/>
          <w:bCs/>
          <w:sz w:val="20"/>
          <w:szCs w:val="20"/>
        </w:rPr>
        <w:t> This designated body will perform all functions of the NAAAR, ensuring that taxpayers have an immediate and functional appellate remedy for resolving inter-state interpretational disputes. </w:t>
      </w:r>
    </w:p>
    <w:p w14:paraId="4F9079B4" w14:textId="77777777" w:rsidR="001F1227" w:rsidRPr="009C7995" w:rsidRDefault="001F1227" w:rsidP="00BA5849">
      <w:pPr>
        <w:pStyle w:val="HeadingStyle2-14pt"/>
        <w:spacing w:line="360" w:lineRule="auto"/>
      </w:pPr>
      <w:r w:rsidRPr="009C7995">
        <w:t>Proposed amendments to Customs Act, 1962 </w:t>
      </w:r>
    </w:p>
    <w:p w14:paraId="7499CE98" w14:textId="77777777" w:rsidR="001F1227" w:rsidRPr="00E5040E" w:rsidRDefault="001F1227" w:rsidP="00BA5849">
      <w:pPr>
        <w:pStyle w:val="HeadingStyle2-14pt"/>
        <w:spacing w:before="0" w:line="360" w:lineRule="auto"/>
        <w:rPr>
          <w:sz w:val="24"/>
          <w:szCs w:val="24"/>
        </w:rPr>
      </w:pPr>
      <w:r w:rsidRPr="00E5040E">
        <w:rPr>
          <w:sz w:val="24"/>
          <w:szCs w:val="24"/>
        </w:rPr>
        <w:t>Maritime Operations and Warehousing Logistics (Clauses 129, 130, 133, 134) </w:t>
      </w:r>
    </w:p>
    <w:p w14:paraId="4B97A61D" w14:textId="77777777" w:rsidR="001F1227" w:rsidRPr="00FB7512" w:rsidRDefault="001F1227" w:rsidP="00BA5849">
      <w:pPr>
        <w:pStyle w:val="HeadingStyle2-14pt"/>
        <w:spacing w:before="0"/>
        <w:rPr>
          <w:b w:val="0"/>
          <w:bCs/>
          <w:sz w:val="20"/>
          <w:szCs w:val="20"/>
        </w:rPr>
      </w:pPr>
      <w:r w:rsidRPr="00FB7512">
        <w:rPr>
          <w:b w:val="0"/>
          <w:bCs/>
          <w:sz w:val="20"/>
          <w:szCs w:val="20"/>
        </w:rPr>
        <w:t>This set of amendments streamlines the regulatory framework for marine activities and simplifies bonded cargo movement to enhance trade facilitation. </w:t>
      </w:r>
    </w:p>
    <w:p w14:paraId="13CC7AFB" w14:textId="77777777" w:rsidR="001F1227" w:rsidRPr="00140553" w:rsidRDefault="001F1227" w:rsidP="00BA5849">
      <w:pPr>
        <w:pStyle w:val="HeadingStyle2-14pt"/>
        <w:numPr>
          <w:ilvl w:val="0"/>
          <w:numId w:val="65"/>
        </w:numPr>
        <w:ind w:left="284"/>
        <w:rPr>
          <w:sz w:val="20"/>
          <w:szCs w:val="20"/>
        </w:rPr>
      </w:pPr>
      <w:r w:rsidRPr="00B15E64">
        <w:rPr>
          <w:sz w:val="20"/>
          <w:szCs w:val="20"/>
        </w:rPr>
        <w:t>Regulation of Fishing Activities: </w:t>
      </w:r>
      <w:r w:rsidRPr="00140553">
        <w:rPr>
          <w:b w:val="0"/>
          <w:bCs/>
          <w:sz w:val="20"/>
          <w:szCs w:val="20"/>
        </w:rPr>
        <w:t>Indian-flagged vessels are now formally governed by the Customs Act. This provides a clear legal structure for harvests gathered beyond Territorial Waters of India (TWI). </w:t>
      </w:r>
    </w:p>
    <w:p w14:paraId="2696BDDC" w14:textId="77777777" w:rsidR="001F1227" w:rsidRPr="00B15E64" w:rsidRDefault="001F1227" w:rsidP="00BA5849">
      <w:pPr>
        <w:pStyle w:val="HeadingStyle2-14pt"/>
        <w:numPr>
          <w:ilvl w:val="0"/>
          <w:numId w:val="66"/>
        </w:numPr>
        <w:spacing w:after="240"/>
        <w:rPr>
          <w:b w:val="0"/>
          <w:bCs/>
          <w:sz w:val="20"/>
          <w:szCs w:val="20"/>
        </w:rPr>
      </w:pPr>
      <w:r w:rsidRPr="00B15E64">
        <w:rPr>
          <w:b w:val="0"/>
          <w:bCs/>
          <w:sz w:val="20"/>
          <w:szCs w:val="20"/>
        </w:rPr>
        <w:t>Duty Treatment: Marine harvests brought into India from international waters are exempt from import duty. If these harvests are landed at foreign ports, they are officially categorized as Exports. </w:t>
      </w:r>
    </w:p>
    <w:p w14:paraId="7FFE701E" w14:textId="77777777" w:rsidR="001F1227" w:rsidRPr="0013655B" w:rsidRDefault="001F1227" w:rsidP="00BA5849">
      <w:pPr>
        <w:pStyle w:val="HeadingStyle2-14pt"/>
        <w:numPr>
          <w:ilvl w:val="0"/>
          <w:numId w:val="65"/>
        </w:numPr>
        <w:ind w:left="284" w:hanging="426"/>
        <w:rPr>
          <w:b w:val="0"/>
          <w:bCs/>
          <w:sz w:val="20"/>
          <w:szCs w:val="20"/>
        </w:rPr>
      </w:pPr>
      <w:r w:rsidRPr="002D5389">
        <w:rPr>
          <w:sz w:val="20"/>
          <w:szCs w:val="20"/>
        </w:rPr>
        <w:t>Self-Managed Warehouse Transfers</w:t>
      </w:r>
      <w:r w:rsidRPr="001C6CC1">
        <w:rPr>
          <w:b w:val="0"/>
          <w:bCs/>
          <w:sz w:val="20"/>
          <w:szCs w:val="20"/>
        </w:rPr>
        <w:t>: </w:t>
      </w:r>
      <w:r w:rsidRPr="0013655B">
        <w:rPr>
          <w:b w:val="0"/>
          <w:bCs/>
          <w:sz w:val="20"/>
          <w:szCs w:val="20"/>
        </w:rPr>
        <w:t>The requirement for prior permission from a Proper Officer to move goods from one warehouse to another has been removed. </w:t>
      </w:r>
    </w:p>
    <w:p w14:paraId="5F202EE0" w14:textId="77777777" w:rsidR="001F1227" w:rsidRDefault="001F1227" w:rsidP="00BA5849">
      <w:pPr>
        <w:pStyle w:val="HeadingStyle2-14pt"/>
        <w:numPr>
          <w:ilvl w:val="0"/>
          <w:numId w:val="65"/>
        </w:numPr>
        <w:ind w:left="284"/>
        <w:rPr>
          <w:b w:val="0"/>
          <w:bCs/>
          <w:sz w:val="20"/>
          <w:szCs w:val="20"/>
        </w:rPr>
      </w:pPr>
      <w:r w:rsidRPr="005802E9">
        <w:rPr>
          <w:sz w:val="20"/>
          <w:szCs w:val="20"/>
        </w:rPr>
        <w:t>Auto Goods Registration:</w:t>
      </w:r>
      <w:r w:rsidRPr="00B633D5">
        <w:rPr>
          <w:b w:val="0"/>
          <w:bCs/>
          <w:sz w:val="20"/>
          <w:szCs w:val="20"/>
        </w:rPr>
        <w:t xml:space="preserve"> New facility of system driven registration of goods upon arrival at port for AEO T2, AEO T3, eligible manufactures and others reducing lead times.</w:t>
      </w:r>
    </w:p>
    <w:p w14:paraId="70B32A81" w14:textId="77777777" w:rsidR="001F1227" w:rsidRDefault="001F1227" w:rsidP="00BA5849">
      <w:pPr>
        <w:pStyle w:val="HeadingStyle2-14pt"/>
        <w:rPr>
          <w:b w:val="0"/>
          <w:bCs/>
          <w:sz w:val="20"/>
          <w:szCs w:val="20"/>
        </w:rPr>
      </w:pPr>
    </w:p>
    <w:p w14:paraId="24727C9E" w14:textId="77777777" w:rsidR="001F1227" w:rsidRDefault="001F1227" w:rsidP="00BA5849">
      <w:pPr>
        <w:pStyle w:val="HeadingStyle2-14pt"/>
        <w:rPr>
          <w:b w:val="0"/>
          <w:bCs/>
          <w:sz w:val="20"/>
          <w:szCs w:val="20"/>
        </w:rPr>
      </w:pPr>
    </w:p>
    <w:p w14:paraId="57238680" w14:textId="77777777" w:rsidR="001F1227" w:rsidRDefault="001F1227" w:rsidP="00BA5849">
      <w:pPr>
        <w:pStyle w:val="HeadingStyle2-14pt"/>
        <w:rPr>
          <w:b w:val="0"/>
          <w:bCs/>
          <w:sz w:val="20"/>
          <w:szCs w:val="20"/>
        </w:rPr>
      </w:pPr>
    </w:p>
    <w:p w14:paraId="08EBB2D2" w14:textId="77777777" w:rsidR="001F1227" w:rsidRDefault="001F1227" w:rsidP="00BA5849">
      <w:pPr>
        <w:pStyle w:val="HeadingStyle2-14pt"/>
        <w:rPr>
          <w:b w:val="0"/>
          <w:bCs/>
          <w:sz w:val="20"/>
          <w:szCs w:val="20"/>
        </w:rPr>
      </w:pPr>
    </w:p>
    <w:p w14:paraId="5537DF5B" w14:textId="77777777" w:rsidR="001F1227" w:rsidRPr="00B633D5" w:rsidRDefault="001F1227" w:rsidP="00BA5849">
      <w:pPr>
        <w:pStyle w:val="HeadingStyle2-14pt"/>
        <w:rPr>
          <w:b w:val="0"/>
          <w:bCs/>
          <w:sz w:val="20"/>
          <w:szCs w:val="20"/>
        </w:rPr>
      </w:pPr>
    </w:p>
    <w:p w14:paraId="5B808152" w14:textId="77777777" w:rsidR="001F1227" w:rsidRPr="005833E9" w:rsidRDefault="001F1227" w:rsidP="00BA5849">
      <w:pPr>
        <w:pStyle w:val="HeadingStyle2-14pt"/>
        <w:spacing w:line="360" w:lineRule="auto"/>
        <w:rPr>
          <w:sz w:val="24"/>
          <w:szCs w:val="24"/>
        </w:rPr>
      </w:pPr>
      <w:r w:rsidRPr="005833E9">
        <w:rPr>
          <w:sz w:val="24"/>
          <w:szCs w:val="24"/>
        </w:rPr>
        <w:t>Advance Rulings and Statutory Enforcement (Clauses 131,132)</w:t>
      </w:r>
    </w:p>
    <w:p w14:paraId="6BEE09C4" w14:textId="77777777" w:rsidR="001F1227" w:rsidRPr="006019F4" w:rsidRDefault="001F1227" w:rsidP="00BA5849">
      <w:pPr>
        <w:pStyle w:val="HeadingStyle2-14pt"/>
        <w:spacing w:before="0" w:line="360" w:lineRule="auto"/>
        <w:rPr>
          <w:b w:val="0"/>
          <w:sz w:val="20"/>
          <w:szCs w:val="20"/>
        </w:rPr>
      </w:pPr>
      <w:r w:rsidRPr="006019F4">
        <w:rPr>
          <w:b w:val="0"/>
          <w:sz w:val="20"/>
          <w:szCs w:val="20"/>
        </w:rPr>
        <w:t>These updates focus on providing long-term legal certainty and resolving ambiguities in the recovery of duties and penalties. </w:t>
      </w:r>
    </w:p>
    <w:p w14:paraId="25F9A262" w14:textId="77777777" w:rsidR="001F1227" w:rsidRPr="00A14FF0" w:rsidRDefault="001F1227" w:rsidP="00BA5849">
      <w:pPr>
        <w:pStyle w:val="HeadingStyle2-14pt"/>
        <w:numPr>
          <w:ilvl w:val="0"/>
          <w:numId w:val="56"/>
        </w:numPr>
        <w:ind w:left="284"/>
        <w:rPr>
          <w:sz w:val="20"/>
          <w:szCs w:val="20"/>
        </w:rPr>
      </w:pPr>
      <w:r w:rsidRPr="00A14FF0">
        <w:rPr>
          <w:sz w:val="20"/>
          <w:szCs w:val="20"/>
        </w:rPr>
        <w:t>Validity of Customs Advance Rulings (CAR): </w:t>
      </w:r>
      <w:r w:rsidRPr="00D4418A">
        <w:rPr>
          <w:b w:val="0"/>
          <w:sz w:val="20"/>
          <w:szCs w:val="20"/>
        </w:rPr>
        <w:t>To assist in long-term financial planning, Customs Advance Rulings are now valid for a fixed period of five years</w:t>
      </w:r>
      <w:r w:rsidRPr="00A14FF0">
        <w:rPr>
          <w:sz w:val="20"/>
          <w:szCs w:val="20"/>
        </w:rPr>
        <w:t>. </w:t>
      </w:r>
    </w:p>
    <w:p w14:paraId="74D75EF1" w14:textId="77777777" w:rsidR="001F1227" w:rsidRPr="008E5819" w:rsidRDefault="001F1227" w:rsidP="00BA5849">
      <w:pPr>
        <w:pStyle w:val="HeadingStyle2-14pt"/>
        <w:numPr>
          <w:ilvl w:val="1"/>
          <w:numId w:val="56"/>
        </w:numPr>
        <w:ind w:left="567"/>
        <w:rPr>
          <w:b w:val="0"/>
          <w:sz w:val="20"/>
          <w:szCs w:val="20"/>
        </w:rPr>
      </w:pPr>
      <w:r w:rsidRPr="00A14FF0">
        <w:rPr>
          <w:sz w:val="20"/>
          <w:szCs w:val="20"/>
        </w:rPr>
        <w:t>Retrospective Extension: </w:t>
      </w:r>
      <w:r w:rsidRPr="008E5819">
        <w:rPr>
          <w:b w:val="0"/>
          <w:sz w:val="20"/>
          <w:szCs w:val="20"/>
        </w:rPr>
        <w:t>This validity period applies retrospectively to existing rulings, extending their life to five years from the original date of issuance once Presidential Assent is received. </w:t>
      </w:r>
    </w:p>
    <w:p w14:paraId="05623F7C" w14:textId="77777777" w:rsidR="001F1227" w:rsidRPr="00134D74" w:rsidRDefault="001F1227" w:rsidP="00BA5849">
      <w:pPr>
        <w:pStyle w:val="HeadingStyle2-14pt"/>
        <w:numPr>
          <w:ilvl w:val="0"/>
          <w:numId w:val="56"/>
        </w:numPr>
        <w:ind w:left="284"/>
        <w:rPr>
          <w:b w:val="0"/>
          <w:sz w:val="20"/>
          <w:szCs w:val="20"/>
        </w:rPr>
      </w:pPr>
      <w:r w:rsidRPr="00A14FF0">
        <w:rPr>
          <w:sz w:val="20"/>
          <w:szCs w:val="20"/>
        </w:rPr>
        <w:t>Statutory Closure under Section 28(6): </w:t>
      </w:r>
      <w:r w:rsidRPr="00134D74">
        <w:rPr>
          <w:b w:val="0"/>
          <w:sz w:val="20"/>
          <w:szCs w:val="20"/>
        </w:rPr>
        <w:t>This amendment addresses disputes regarding the nature of penalties paid during the voluntary closure of duty recovery proceedings (Show Cause Notices). </w:t>
      </w:r>
    </w:p>
    <w:p w14:paraId="252A3C29" w14:textId="77777777" w:rsidR="001F1227" w:rsidRPr="00134D74" w:rsidRDefault="001F1227" w:rsidP="00BA5849">
      <w:pPr>
        <w:pStyle w:val="HeadingStyle2-14pt"/>
        <w:numPr>
          <w:ilvl w:val="1"/>
          <w:numId w:val="56"/>
        </w:numPr>
        <w:ind w:left="567"/>
        <w:rPr>
          <w:b w:val="0"/>
          <w:sz w:val="20"/>
          <w:szCs w:val="20"/>
        </w:rPr>
      </w:pPr>
      <w:r w:rsidRPr="00A14FF0">
        <w:rPr>
          <w:sz w:val="20"/>
          <w:szCs w:val="20"/>
        </w:rPr>
        <w:t>Penalty Appropriation: </w:t>
      </w:r>
      <w:r w:rsidRPr="00134D74">
        <w:rPr>
          <w:b w:val="0"/>
          <w:sz w:val="20"/>
          <w:szCs w:val="20"/>
        </w:rPr>
        <w:t>Penalties paid voluntarily under Section 28(5) are now legally deemed to be a "charge" for the non-payment of duty. </w:t>
      </w:r>
    </w:p>
    <w:p w14:paraId="6052A8A4" w14:textId="77777777" w:rsidR="001F1227" w:rsidRPr="0059763F" w:rsidRDefault="001F1227" w:rsidP="00BA5849">
      <w:pPr>
        <w:pStyle w:val="HeadingStyle2-14pt"/>
        <w:numPr>
          <w:ilvl w:val="1"/>
          <w:numId w:val="56"/>
        </w:numPr>
        <w:ind w:left="567"/>
        <w:rPr>
          <w:sz w:val="20"/>
          <w:szCs w:val="20"/>
        </w:rPr>
      </w:pPr>
      <w:r w:rsidRPr="00A14FF0">
        <w:rPr>
          <w:sz w:val="20"/>
          <w:szCs w:val="20"/>
        </w:rPr>
        <w:t>Litigation Reduction: </w:t>
      </w:r>
      <w:r w:rsidRPr="00134D74">
        <w:rPr>
          <w:b w:val="0"/>
          <w:sz w:val="20"/>
          <w:szCs w:val="20"/>
        </w:rPr>
        <w:t>By formalizing this appropriation, the law ensures that closed proceedings cannot be reopened due to technicalities regarding the status of the penalty paid, providing finality to the adjudication process.</w:t>
      </w:r>
      <w:r w:rsidRPr="00A14FF0">
        <w:rPr>
          <w:sz w:val="20"/>
          <w:szCs w:val="20"/>
        </w:rPr>
        <w:t> </w:t>
      </w:r>
    </w:p>
    <w:p w14:paraId="5E1C7ACF" w14:textId="77777777" w:rsidR="001F1227" w:rsidRPr="005833E9" w:rsidRDefault="001F1227" w:rsidP="00BA5849">
      <w:pPr>
        <w:pStyle w:val="HeadingStyle2-14pt"/>
        <w:rPr>
          <w:sz w:val="24"/>
          <w:szCs w:val="24"/>
        </w:rPr>
      </w:pPr>
      <w:r w:rsidRPr="005833E9">
        <w:rPr>
          <w:sz w:val="24"/>
          <w:szCs w:val="24"/>
        </w:rPr>
        <w:t xml:space="preserve">Customs Duty Proposals: </w:t>
      </w:r>
      <w:proofErr w:type="spellStart"/>
      <w:r w:rsidRPr="005833E9">
        <w:rPr>
          <w:sz w:val="24"/>
          <w:szCs w:val="24"/>
        </w:rPr>
        <w:t>Rationalisation</w:t>
      </w:r>
      <w:proofErr w:type="spellEnd"/>
      <w:r w:rsidRPr="005833E9">
        <w:rPr>
          <w:sz w:val="24"/>
          <w:szCs w:val="24"/>
        </w:rPr>
        <w:t xml:space="preserve"> &amp; Structural Reforms</w:t>
      </w:r>
    </w:p>
    <w:p w14:paraId="05A0523C" w14:textId="77777777" w:rsidR="001F1227" w:rsidRPr="00E41C29" w:rsidRDefault="001F1227" w:rsidP="00BA5849">
      <w:pPr>
        <w:pStyle w:val="HeadingStyle2-14pt"/>
        <w:numPr>
          <w:ilvl w:val="0"/>
          <w:numId w:val="56"/>
        </w:numPr>
        <w:ind w:left="284"/>
        <w:rPr>
          <w:b w:val="0"/>
          <w:sz w:val="20"/>
          <w:szCs w:val="20"/>
        </w:rPr>
      </w:pPr>
      <w:r w:rsidRPr="00E41C29">
        <w:rPr>
          <w:sz w:val="20"/>
          <w:szCs w:val="20"/>
        </w:rPr>
        <w:t xml:space="preserve">Immediate Duty </w:t>
      </w:r>
      <w:proofErr w:type="spellStart"/>
      <w:r w:rsidRPr="00E41C29">
        <w:rPr>
          <w:sz w:val="20"/>
          <w:szCs w:val="20"/>
        </w:rPr>
        <w:t>Rationalisation</w:t>
      </w:r>
      <w:proofErr w:type="spellEnd"/>
      <w:r w:rsidRPr="00E41C29">
        <w:rPr>
          <w:sz w:val="20"/>
          <w:szCs w:val="20"/>
        </w:rPr>
        <w:t>: </w:t>
      </w:r>
      <w:r w:rsidRPr="00E41C29">
        <w:rPr>
          <w:b w:val="0"/>
          <w:sz w:val="20"/>
          <w:szCs w:val="20"/>
        </w:rPr>
        <w:t>Implementation of immediate rate changes effective 2nd February 2026, to correct duty inversions and support domestic industry, including BCD hikes on items like umbrellas and reductions on critical minerals. </w:t>
      </w:r>
    </w:p>
    <w:p w14:paraId="727F8503" w14:textId="77777777" w:rsidR="001F1227" w:rsidRPr="008C64A7" w:rsidRDefault="001F1227" w:rsidP="00BA5849">
      <w:pPr>
        <w:pStyle w:val="HeadingStyle2-14pt"/>
        <w:numPr>
          <w:ilvl w:val="0"/>
          <w:numId w:val="56"/>
        </w:numPr>
        <w:ind w:left="284"/>
        <w:rPr>
          <w:b w:val="0"/>
          <w:sz w:val="20"/>
          <w:szCs w:val="20"/>
        </w:rPr>
      </w:pPr>
      <w:r w:rsidRPr="008C64A7">
        <w:rPr>
          <w:sz w:val="20"/>
          <w:szCs w:val="20"/>
        </w:rPr>
        <w:t>Structural Simplification via “</w:t>
      </w:r>
      <w:proofErr w:type="spellStart"/>
      <w:r w:rsidRPr="008C64A7">
        <w:rPr>
          <w:sz w:val="20"/>
          <w:szCs w:val="20"/>
        </w:rPr>
        <w:t>Tariffisation</w:t>
      </w:r>
      <w:proofErr w:type="spellEnd"/>
      <w:r w:rsidRPr="008C64A7">
        <w:rPr>
          <w:sz w:val="20"/>
          <w:szCs w:val="20"/>
        </w:rPr>
        <w:t>”: </w:t>
      </w:r>
      <w:r w:rsidRPr="008C64A7">
        <w:rPr>
          <w:b w:val="0"/>
          <w:sz w:val="20"/>
          <w:szCs w:val="20"/>
        </w:rPr>
        <w:t>A move to simplify the tax structure by incorporating "effective rates" from various notifications directly into the First Schedule of the Customs Tariff Act, 1975, effective 1st May 2026. </w:t>
      </w:r>
    </w:p>
    <w:p w14:paraId="211EAD4B" w14:textId="77777777" w:rsidR="001F1227" w:rsidRPr="008C64A7" w:rsidRDefault="001F1227" w:rsidP="00BA5849">
      <w:pPr>
        <w:pStyle w:val="HeadingStyle2-14pt"/>
        <w:numPr>
          <w:ilvl w:val="0"/>
          <w:numId w:val="56"/>
        </w:numPr>
        <w:ind w:left="284"/>
        <w:rPr>
          <w:b w:val="0"/>
          <w:sz w:val="20"/>
          <w:szCs w:val="20"/>
        </w:rPr>
      </w:pPr>
      <w:r w:rsidRPr="008C64A7">
        <w:rPr>
          <w:sz w:val="20"/>
          <w:szCs w:val="20"/>
        </w:rPr>
        <w:t>Expansion of Tariff Lines: </w:t>
      </w:r>
      <w:r w:rsidRPr="008C64A7">
        <w:rPr>
          <w:b w:val="0"/>
          <w:sz w:val="20"/>
          <w:szCs w:val="20"/>
        </w:rPr>
        <w:t>Creation of new tariff entries to facilitate better product identification and trade monitoring, specifically for items like blueberries, cranberries, and specific chemicals. </w:t>
      </w:r>
    </w:p>
    <w:p w14:paraId="30EACA9F" w14:textId="77777777" w:rsidR="001F1227" w:rsidRPr="008C64A7" w:rsidRDefault="001F1227" w:rsidP="00BA5849">
      <w:pPr>
        <w:pStyle w:val="HeadingStyle2-14pt"/>
        <w:numPr>
          <w:ilvl w:val="0"/>
          <w:numId w:val="56"/>
        </w:numPr>
        <w:ind w:left="284"/>
        <w:rPr>
          <w:b w:val="0"/>
          <w:sz w:val="20"/>
          <w:szCs w:val="20"/>
        </w:rPr>
      </w:pPr>
      <w:r w:rsidRPr="008C64A7">
        <w:rPr>
          <w:sz w:val="20"/>
          <w:szCs w:val="20"/>
        </w:rPr>
        <w:t>Comprehensive Review of Exemptions: </w:t>
      </w:r>
      <w:proofErr w:type="spellStart"/>
      <w:r w:rsidRPr="008C64A7">
        <w:rPr>
          <w:b w:val="0"/>
          <w:sz w:val="20"/>
          <w:szCs w:val="20"/>
        </w:rPr>
        <w:t>Rationalisation</w:t>
      </w:r>
      <w:proofErr w:type="spellEnd"/>
      <w:r w:rsidRPr="008C64A7">
        <w:rPr>
          <w:b w:val="0"/>
          <w:sz w:val="20"/>
          <w:szCs w:val="20"/>
        </w:rPr>
        <w:t xml:space="preserve"> of the exemption regime by removing redundant entries and extending conditional exemptions with a sunset clause up to 31st March 2028. </w:t>
      </w:r>
    </w:p>
    <w:p w14:paraId="2B86788E" w14:textId="3A6C0E54" w:rsidR="00A7148E" w:rsidRPr="00225C9E" w:rsidRDefault="001F1227" w:rsidP="00BA5849">
      <w:pPr>
        <w:pStyle w:val="HeadingStyle2-14pt"/>
        <w:numPr>
          <w:ilvl w:val="0"/>
          <w:numId w:val="56"/>
        </w:numPr>
        <w:ind w:left="284"/>
        <w:rPr>
          <w:sz w:val="20"/>
          <w:szCs w:val="20"/>
        </w:rPr>
        <w:sectPr w:rsidR="00A7148E" w:rsidRPr="00225C9E" w:rsidSect="001F14A6">
          <w:headerReference w:type="even" r:id="rId15"/>
          <w:headerReference w:type="default" r:id="rId16"/>
          <w:footerReference w:type="even" r:id="rId17"/>
          <w:footerReference w:type="default" r:id="rId18"/>
          <w:headerReference w:type="first" r:id="rId19"/>
          <w:footerReference w:type="first" r:id="rId20"/>
          <w:type w:val="continuous"/>
          <w:pgSz w:w="11906" w:h="16838"/>
          <w:pgMar w:top="2268" w:right="1361" w:bottom="1701" w:left="1361" w:header="1361" w:footer="720" w:gutter="0"/>
          <w:cols w:space="720"/>
          <w:titlePg/>
          <w:docGrid w:linePitch="360"/>
        </w:sectPr>
      </w:pPr>
      <w:r w:rsidRPr="008C64A7">
        <w:rPr>
          <w:sz w:val="20"/>
          <w:szCs w:val="20"/>
        </w:rPr>
        <w:t>Ease of Living Measures: </w:t>
      </w:r>
      <w:r w:rsidRPr="008C64A7">
        <w:rPr>
          <w:b w:val="0"/>
          <w:sz w:val="20"/>
          <w:szCs w:val="20"/>
        </w:rPr>
        <w:t>Reduction of the tariff rate on goods imported for personal use from 20% to 10% and the introduction of new Baggage Rules, 2026, to address passenger concerns and restructure Transfer of Residence benefi</w:t>
      </w:r>
      <w:r>
        <w:rPr>
          <w:b w:val="0"/>
          <w:sz w:val="20"/>
          <w:szCs w:val="20"/>
        </w:rPr>
        <w:t>t.</w:t>
      </w:r>
      <w:r w:rsidR="00F7380F" w:rsidRPr="00225C9E">
        <w:rPr>
          <w:sz w:val="16"/>
          <w:szCs w:val="16"/>
        </w:rPr>
        <w:br w:type="page"/>
      </w:r>
    </w:p>
    <w:p w14:paraId="614946D8" w14:textId="77777777" w:rsidR="00CC0659" w:rsidRPr="00D917D6" w:rsidRDefault="00CC0659" w:rsidP="00CC0659">
      <w:pPr>
        <w:pStyle w:val="HeadingStyle2-14pt"/>
        <w:spacing w:before="0" w:after="240"/>
      </w:pPr>
      <w:r>
        <w:lastRenderedPageBreak/>
        <w:t>Contact Information</w:t>
      </w:r>
      <w:r>
        <w:rPr>
          <w:bCs/>
        </w:rPr>
        <w:tab/>
      </w:r>
    </w:p>
    <w:p w14:paraId="3E572812" w14:textId="77777777" w:rsidR="00CC0659" w:rsidRPr="0020744A" w:rsidRDefault="00CC0659" w:rsidP="00CC0659">
      <w:pPr>
        <w:pStyle w:val="BodyCopy-Arial10pt"/>
      </w:pPr>
      <w:r w:rsidRPr="0020744A">
        <w:t xml:space="preserve">1105 Embassy Centre 207 Nariman Point Mumbai 400 021 </w:t>
      </w:r>
    </w:p>
    <w:p w14:paraId="30A921CB" w14:textId="77777777" w:rsidR="00CC0659" w:rsidRPr="0020744A" w:rsidRDefault="00CC0659" w:rsidP="00CC0659">
      <w:pPr>
        <w:pStyle w:val="BodyCopy-Arial10pt"/>
      </w:pPr>
      <w:r w:rsidRPr="0020744A">
        <w:t>Tel: +91-22-66311480</w:t>
      </w:r>
    </w:p>
    <w:p w14:paraId="638227C2" w14:textId="77777777" w:rsidR="00CC0659" w:rsidRPr="0020744A" w:rsidRDefault="00CC0659" w:rsidP="00CC0659">
      <w:pPr>
        <w:pStyle w:val="BodyCopy-Arial10pt"/>
      </w:pPr>
      <w:r w:rsidRPr="0020744A">
        <w:t>consult@crowe.in</w:t>
      </w:r>
    </w:p>
    <w:p w14:paraId="2F171CA3" w14:textId="1DBFEE7D" w:rsidR="00CC0659" w:rsidRDefault="00CC0659" w:rsidP="00CC0659">
      <w:pPr>
        <w:pStyle w:val="BodyCopy-Arial10pt"/>
        <w:spacing w:after="0"/>
      </w:pPr>
      <w:r>
        <w:t xml:space="preserve"> </w:t>
      </w:r>
    </w:p>
    <w:p w14:paraId="0E4F795E" w14:textId="77777777" w:rsidR="00CC0659" w:rsidRDefault="00CC0659" w:rsidP="00CC0659">
      <w:pPr>
        <w:pStyle w:val="BodyCopy-Arial10pt"/>
      </w:pPr>
    </w:p>
    <w:p w14:paraId="19EFCD2A" w14:textId="77777777" w:rsidR="00CC0659" w:rsidRDefault="00CC0659" w:rsidP="00CC0659">
      <w:pPr>
        <w:pStyle w:val="BodyCopy-Arial10pt"/>
      </w:pPr>
    </w:p>
    <w:p w14:paraId="1F9E78B6" w14:textId="77777777" w:rsidR="00CC0659" w:rsidRDefault="00CC0659" w:rsidP="00CC0659">
      <w:pPr>
        <w:pStyle w:val="BodyCopy-Arial10pt"/>
      </w:pPr>
    </w:p>
    <w:p w14:paraId="1D89974A" w14:textId="553EFBB9" w:rsidR="00CC0659" w:rsidRPr="006C1F49" w:rsidRDefault="00CC0659" w:rsidP="00CC0659">
      <w:pPr>
        <w:pStyle w:val="HeadingStyle1-18pt"/>
      </w:pPr>
      <w:r>
        <w:br w:type="column"/>
      </w:r>
      <w:r>
        <w:t>About us</w:t>
      </w:r>
    </w:p>
    <w:p w14:paraId="30B39F23" w14:textId="77777777" w:rsidR="00CC0659" w:rsidRPr="00B51F89" w:rsidRDefault="00CC0659" w:rsidP="00CC0659">
      <w:pPr>
        <w:pStyle w:val="HeadingStyle2-14pt"/>
        <w:spacing w:before="0" w:line="240" w:lineRule="auto"/>
        <w:jc w:val="both"/>
        <w:rPr>
          <w:b w:val="0"/>
          <w:bCs/>
          <w:sz w:val="20"/>
          <w:szCs w:val="20"/>
        </w:rPr>
      </w:pPr>
      <w:r w:rsidRPr="00B51F89">
        <w:rPr>
          <w:b w:val="0"/>
          <w:bCs/>
          <w:sz w:val="20"/>
          <w:szCs w:val="20"/>
        </w:rPr>
        <w:t>Crowe Advisory Services (India) LLP (CAS) provides a wide range of advisory services comprising:</w:t>
      </w:r>
    </w:p>
    <w:p w14:paraId="75ECD362" w14:textId="77777777" w:rsidR="00CC0659" w:rsidRPr="00B51F89" w:rsidRDefault="00CC0659" w:rsidP="004D64C8">
      <w:pPr>
        <w:pStyle w:val="HeadingStyle2-14pt"/>
        <w:spacing w:before="120" w:line="240" w:lineRule="auto"/>
        <w:jc w:val="both"/>
        <w:rPr>
          <w:b w:val="0"/>
          <w:bCs/>
          <w:sz w:val="20"/>
          <w:szCs w:val="20"/>
        </w:rPr>
      </w:pPr>
      <w:r w:rsidRPr="00B51F89">
        <w:rPr>
          <w:b w:val="0"/>
          <w:bCs/>
          <w:sz w:val="20"/>
          <w:szCs w:val="20"/>
        </w:rPr>
        <w:t>• Corporate finance advisory</w:t>
      </w:r>
    </w:p>
    <w:p w14:paraId="1976565B" w14:textId="77777777" w:rsidR="00CC0659" w:rsidRPr="00B51F89" w:rsidRDefault="00CC0659" w:rsidP="00CC0659">
      <w:pPr>
        <w:pStyle w:val="HeadingStyle2-14pt"/>
        <w:spacing w:before="0" w:line="240" w:lineRule="auto"/>
        <w:jc w:val="both"/>
        <w:rPr>
          <w:b w:val="0"/>
          <w:bCs/>
          <w:sz w:val="20"/>
          <w:szCs w:val="20"/>
        </w:rPr>
      </w:pPr>
      <w:r w:rsidRPr="00B51F89">
        <w:rPr>
          <w:b w:val="0"/>
          <w:bCs/>
          <w:sz w:val="20"/>
          <w:szCs w:val="20"/>
        </w:rPr>
        <w:t>• Risk Consulting</w:t>
      </w:r>
    </w:p>
    <w:p w14:paraId="6BDBAF5B" w14:textId="77777777" w:rsidR="00CC0659" w:rsidRPr="00B51F89" w:rsidRDefault="00CC0659" w:rsidP="00CC0659">
      <w:pPr>
        <w:pStyle w:val="HeadingStyle2-14pt"/>
        <w:spacing w:before="0" w:line="240" w:lineRule="auto"/>
        <w:jc w:val="both"/>
        <w:rPr>
          <w:b w:val="0"/>
          <w:bCs/>
          <w:sz w:val="20"/>
          <w:szCs w:val="20"/>
        </w:rPr>
      </w:pPr>
      <w:r w:rsidRPr="00B51F89">
        <w:rPr>
          <w:b w:val="0"/>
          <w:bCs/>
          <w:sz w:val="20"/>
          <w:szCs w:val="20"/>
        </w:rPr>
        <w:t>• Tax Advisory and Compliance</w:t>
      </w:r>
    </w:p>
    <w:p w14:paraId="65E32F24" w14:textId="77777777" w:rsidR="00CC0659" w:rsidRPr="00B51F89" w:rsidRDefault="00CC0659" w:rsidP="00CC0659">
      <w:pPr>
        <w:pStyle w:val="HeadingStyle2-14pt"/>
        <w:spacing w:before="0" w:line="240" w:lineRule="auto"/>
        <w:jc w:val="both"/>
        <w:rPr>
          <w:b w:val="0"/>
          <w:bCs/>
          <w:sz w:val="20"/>
          <w:szCs w:val="20"/>
        </w:rPr>
      </w:pPr>
      <w:r w:rsidRPr="00B51F89">
        <w:rPr>
          <w:b w:val="0"/>
          <w:bCs/>
          <w:sz w:val="20"/>
          <w:szCs w:val="20"/>
        </w:rPr>
        <w:t>• Digital Security</w:t>
      </w:r>
    </w:p>
    <w:p w14:paraId="5794664C" w14:textId="77777777" w:rsidR="00CC0659" w:rsidRPr="00B51F89" w:rsidRDefault="00CC0659" w:rsidP="00CC0659">
      <w:pPr>
        <w:pStyle w:val="HeadingStyle2-14pt"/>
        <w:spacing w:before="0" w:line="240" w:lineRule="auto"/>
        <w:jc w:val="both"/>
        <w:rPr>
          <w:b w:val="0"/>
          <w:bCs/>
          <w:sz w:val="20"/>
          <w:szCs w:val="20"/>
        </w:rPr>
      </w:pPr>
      <w:r w:rsidRPr="00B51F89">
        <w:rPr>
          <w:b w:val="0"/>
          <w:bCs/>
          <w:sz w:val="20"/>
          <w:szCs w:val="20"/>
        </w:rPr>
        <w:t>• Data Sciences</w:t>
      </w:r>
    </w:p>
    <w:p w14:paraId="732552DD" w14:textId="77777777" w:rsidR="00CC0659" w:rsidRPr="00B51F89" w:rsidRDefault="00CC0659" w:rsidP="00CC0659">
      <w:pPr>
        <w:pStyle w:val="HeadingStyle2-14pt"/>
        <w:spacing w:before="0" w:line="240" w:lineRule="auto"/>
        <w:jc w:val="both"/>
        <w:rPr>
          <w:b w:val="0"/>
          <w:bCs/>
          <w:sz w:val="20"/>
          <w:szCs w:val="20"/>
        </w:rPr>
      </w:pPr>
      <w:r w:rsidRPr="00B51F89">
        <w:rPr>
          <w:b w:val="0"/>
          <w:bCs/>
          <w:sz w:val="20"/>
          <w:szCs w:val="20"/>
        </w:rPr>
        <w:t>• Business Process Outsourcing</w:t>
      </w:r>
    </w:p>
    <w:p w14:paraId="79E8DFA5" w14:textId="77777777" w:rsidR="00CC0659" w:rsidRDefault="00CC0659" w:rsidP="00CC0659">
      <w:pPr>
        <w:pStyle w:val="HeadingStyle2-14pt"/>
        <w:spacing w:before="0" w:line="240" w:lineRule="auto"/>
        <w:jc w:val="both"/>
        <w:rPr>
          <w:b w:val="0"/>
          <w:bCs/>
          <w:sz w:val="20"/>
          <w:szCs w:val="20"/>
        </w:rPr>
      </w:pPr>
    </w:p>
    <w:p w14:paraId="132870DE" w14:textId="250B333E" w:rsidR="00CC0659" w:rsidRPr="00B51F89" w:rsidRDefault="00CC0659" w:rsidP="00BA5849">
      <w:pPr>
        <w:pStyle w:val="HeadingStyle2-14pt"/>
        <w:spacing w:before="0" w:line="240" w:lineRule="auto"/>
        <w:rPr>
          <w:b w:val="0"/>
          <w:bCs/>
          <w:sz w:val="20"/>
          <w:szCs w:val="20"/>
        </w:rPr>
      </w:pPr>
      <w:r w:rsidRPr="00B51F89">
        <w:rPr>
          <w:b w:val="0"/>
          <w:bCs/>
          <w:sz w:val="20"/>
          <w:szCs w:val="20"/>
        </w:rPr>
        <w:t>CAS has offices in 8 cities in India; Crowe India (including the network accounting firms) has 36</w:t>
      </w:r>
      <w:r>
        <w:rPr>
          <w:b w:val="0"/>
          <w:bCs/>
          <w:sz w:val="20"/>
          <w:szCs w:val="20"/>
        </w:rPr>
        <w:t xml:space="preserve"> </w:t>
      </w:r>
      <w:r w:rsidRPr="00B51F89">
        <w:rPr>
          <w:b w:val="0"/>
          <w:bCs/>
          <w:sz w:val="20"/>
          <w:szCs w:val="20"/>
        </w:rPr>
        <w:t>Directors / Partners and over 1,</w:t>
      </w:r>
      <w:r>
        <w:rPr>
          <w:b w:val="0"/>
          <w:bCs/>
          <w:sz w:val="20"/>
          <w:szCs w:val="20"/>
        </w:rPr>
        <w:t>9</w:t>
      </w:r>
      <w:r w:rsidRPr="00B51F89">
        <w:rPr>
          <w:b w:val="0"/>
          <w:bCs/>
          <w:sz w:val="20"/>
          <w:szCs w:val="20"/>
        </w:rPr>
        <w:t>00 staff.</w:t>
      </w:r>
      <w:r>
        <w:rPr>
          <w:b w:val="0"/>
          <w:bCs/>
          <w:sz w:val="20"/>
          <w:szCs w:val="20"/>
        </w:rPr>
        <w:t xml:space="preserve"> </w:t>
      </w:r>
      <w:r w:rsidRPr="00B51F89">
        <w:rPr>
          <w:b w:val="0"/>
          <w:bCs/>
          <w:sz w:val="20"/>
          <w:szCs w:val="20"/>
        </w:rPr>
        <w:t xml:space="preserve">CAS is a member of Crowe Global since 1999. Crowe Global is the </w:t>
      </w:r>
      <w:r w:rsidR="004D64C8">
        <w:rPr>
          <w:b w:val="0"/>
          <w:bCs/>
          <w:sz w:val="20"/>
          <w:szCs w:val="20"/>
        </w:rPr>
        <w:t>9</w:t>
      </w:r>
      <w:r w:rsidRPr="00B51F89">
        <w:rPr>
          <w:b w:val="0"/>
          <w:bCs/>
          <w:sz w:val="20"/>
          <w:szCs w:val="20"/>
        </w:rPr>
        <w:t>th largest global accounting</w:t>
      </w:r>
      <w:r>
        <w:rPr>
          <w:b w:val="0"/>
          <w:bCs/>
          <w:sz w:val="20"/>
          <w:szCs w:val="20"/>
        </w:rPr>
        <w:t xml:space="preserve"> </w:t>
      </w:r>
      <w:r w:rsidRPr="00B51F89">
        <w:rPr>
          <w:b w:val="0"/>
          <w:bCs/>
          <w:sz w:val="20"/>
          <w:szCs w:val="20"/>
        </w:rPr>
        <w:t>network with independent member firms in 1</w:t>
      </w:r>
      <w:r>
        <w:rPr>
          <w:b w:val="0"/>
          <w:bCs/>
          <w:sz w:val="20"/>
          <w:szCs w:val="20"/>
        </w:rPr>
        <w:t>50+</w:t>
      </w:r>
      <w:r w:rsidRPr="00B51F89">
        <w:rPr>
          <w:b w:val="0"/>
          <w:bCs/>
          <w:sz w:val="20"/>
          <w:szCs w:val="20"/>
        </w:rPr>
        <w:t xml:space="preserve"> countries and with over 4</w:t>
      </w:r>
      <w:r>
        <w:rPr>
          <w:b w:val="0"/>
          <w:bCs/>
          <w:sz w:val="20"/>
          <w:szCs w:val="20"/>
        </w:rPr>
        <w:t>2</w:t>
      </w:r>
      <w:r w:rsidRPr="00B51F89">
        <w:rPr>
          <w:b w:val="0"/>
          <w:bCs/>
          <w:sz w:val="20"/>
          <w:szCs w:val="20"/>
        </w:rPr>
        <w:t>,000 people.</w:t>
      </w:r>
    </w:p>
    <w:p w14:paraId="2E23A848" w14:textId="30E83501" w:rsidR="00D917D6" w:rsidRPr="00AC66F1" w:rsidRDefault="00D917D6" w:rsidP="0020744A">
      <w:pPr>
        <w:pStyle w:val="BodyCopy-Arial10pt"/>
      </w:pPr>
    </w:p>
    <w:sectPr w:rsidR="00D917D6" w:rsidRPr="00AC66F1" w:rsidSect="00A7148E">
      <w:headerReference w:type="first" r:id="rId21"/>
      <w:footerReference w:type="first" r:id="rId22"/>
      <w:pgSz w:w="11906" w:h="16838"/>
      <w:pgMar w:top="2835" w:right="1361" w:bottom="2268" w:left="1361" w:header="720" w:footer="720" w:gutter="0"/>
      <w:cols w:num="2" w:space="720" w:equalWidth="0">
        <w:col w:w="3043" w:space="720"/>
        <w:col w:w="5420"/>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3C6B4" w14:textId="77777777" w:rsidR="008A4AFE" w:rsidRDefault="008A4AFE" w:rsidP="00604D76">
      <w:r>
        <w:separator/>
      </w:r>
    </w:p>
  </w:endnote>
  <w:endnote w:type="continuationSeparator" w:id="0">
    <w:p w14:paraId="5A3C8B13" w14:textId="77777777" w:rsidR="008A4AFE" w:rsidRDefault="008A4AFE" w:rsidP="00604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624"/>
    </w:tblGrid>
    <w:tr w:rsidR="00004733" w:rsidRPr="004E1CA0" w14:paraId="345C2D62" w14:textId="77777777" w:rsidTr="007A656C">
      <w:tc>
        <w:tcPr>
          <w:tcW w:w="4814" w:type="dxa"/>
        </w:tcPr>
        <w:p w14:paraId="2B544DE6" w14:textId="00AF21E4" w:rsidR="00095378" w:rsidRPr="004E1CA0" w:rsidRDefault="00095378" w:rsidP="00095378">
          <w:pPr>
            <w:pStyle w:val="BasicParagraph"/>
            <w:rPr>
              <w:rFonts w:ascii="Arial" w:hAnsi="Arial" w:cs="Arial"/>
              <w:b/>
              <w:bCs/>
              <w:color w:val="000000" w:themeColor="text1"/>
            </w:rPr>
          </w:pPr>
        </w:p>
      </w:tc>
      <w:tc>
        <w:tcPr>
          <w:tcW w:w="4814" w:type="dxa"/>
        </w:tcPr>
        <w:p w14:paraId="5C3D3D0E" w14:textId="634B2EF2" w:rsidR="00095378" w:rsidRPr="004E1CA0" w:rsidRDefault="00095378" w:rsidP="00095378">
          <w:pPr>
            <w:pStyle w:val="BasicParagraph"/>
            <w:jc w:val="right"/>
            <w:rPr>
              <w:rFonts w:ascii="Arial" w:hAnsi="Arial" w:cs="Arial"/>
              <w:b/>
              <w:bCs/>
              <w:color w:val="000000" w:themeColor="text1"/>
            </w:rPr>
          </w:pPr>
          <w:r w:rsidRPr="004E1CA0">
            <w:rPr>
              <w:rStyle w:val="Bold"/>
              <w:rFonts w:ascii="Arial" w:hAnsi="Arial" w:cs="Arial"/>
              <w:color w:val="000000" w:themeColor="text1"/>
            </w:rPr>
            <w:t>Smart decisions. Lasting</w:t>
          </w:r>
          <w:r w:rsidR="007A656C" w:rsidRPr="004E1CA0">
            <w:rPr>
              <w:rStyle w:val="Bold"/>
              <w:rFonts w:ascii="Arial" w:hAnsi="Arial" w:cs="Arial"/>
              <w:color w:val="000000" w:themeColor="text1"/>
            </w:rPr>
            <w:t xml:space="preserve"> v</w:t>
          </w:r>
          <w:r w:rsidRPr="004E1CA0">
            <w:rPr>
              <w:rStyle w:val="Bold"/>
              <w:rFonts w:ascii="Arial" w:hAnsi="Arial" w:cs="Arial"/>
              <w:color w:val="000000" w:themeColor="text1"/>
            </w:rPr>
            <w:t>alue.</w:t>
          </w:r>
        </w:p>
      </w:tc>
    </w:tr>
  </w:tbl>
  <w:p w14:paraId="66091E21" w14:textId="77777777" w:rsidR="00344590" w:rsidRPr="004E1CA0" w:rsidRDefault="00344590" w:rsidP="007A656C">
    <w:pPr>
      <w:pStyle w:val="Footer"/>
      <w:spacing w:after="240"/>
      <w:rPr>
        <w:rFonts w:ascii="Arial" w:hAnsi="Arial" w:cs="Arial"/>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1706063"/>
      <w:docPartObj>
        <w:docPartGallery w:val="Page Numbers (Bottom of Page)"/>
        <w:docPartUnique/>
      </w:docPartObj>
    </w:sdtPr>
    <w:sdtContent>
      <w:p w14:paraId="5474D2EC" w14:textId="77777777" w:rsidR="00AC66F1" w:rsidRDefault="00AC66F1" w:rsidP="000471CD">
        <w:pPr>
          <w:pStyle w:val="Footer"/>
          <w:framePr w:wrap="none" w:vAnchor="text" w:hAnchor="margin" w:xAlign="right" w:y="1"/>
          <w:rPr>
            <w:rStyle w:val="PageNumber"/>
          </w:rPr>
        </w:pPr>
        <w:r w:rsidRPr="000A0B8C">
          <w:rPr>
            <w:rStyle w:val="PageNumber"/>
            <w:rFonts w:ascii="Arial" w:hAnsi="Arial" w:cs="Arial"/>
            <w:sz w:val="18"/>
            <w:szCs w:val="18"/>
          </w:rPr>
          <w:fldChar w:fldCharType="begin"/>
        </w:r>
        <w:r w:rsidRPr="000A0B8C">
          <w:rPr>
            <w:rStyle w:val="PageNumber"/>
            <w:rFonts w:ascii="Arial" w:hAnsi="Arial" w:cs="Arial"/>
            <w:sz w:val="18"/>
            <w:szCs w:val="18"/>
          </w:rPr>
          <w:instrText xml:space="preserve"> PAGE </w:instrText>
        </w:r>
        <w:r w:rsidRPr="000A0B8C">
          <w:rPr>
            <w:rStyle w:val="PageNumber"/>
            <w:rFonts w:ascii="Arial" w:hAnsi="Arial" w:cs="Arial"/>
            <w:sz w:val="18"/>
            <w:szCs w:val="18"/>
          </w:rPr>
          <w:fldChar w:fldCharType="separate"/>
        </w:r>
        <w:r w:rsidRPr="000A0B8C">
          <w:rPr>
            <w:rStyle w:val="PageNumber"/>
            <w:rFonts w:ascii="Arial" w:hAnsi="Arial" w:cs="Arial"/>
            <w:noProof/>
            <w:sz w:val="18"/>
            <w:szCs w:val="18"/>
          </w:rPr>
          <w:t>1</w:t>
        </w:r>
        <w:r w:rsidRPr="000A0B8C">
          <w:rPr>
            <w:rStyle w:val="PageNumber"/>
            <w:rFonts w:ascii="Arial" w:hAnsi="Arial" w:cs="Arial"/>
            <w:sz w:val="18"/>
            <w:szCs w:val="18"/>
          </w:rPr>
          <w:fldChar w:fldCharType="end"/>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87"/>
      <w:gridCol w:w="4587"/>
    </w:tblGrid>
    <w:tr w:rsidR="00AC66F1" w:rsidRPr="009051B0" w14:paraId="3D275B27" w14:textId="77777777" w:rsidTr="00AC66F1">
      <w:tc>
        <w:tcPr>
          <w:tcW w:w="4587" w:type="dxa"/>
          <w:vAlign w:val="bottom"/>
        </w:tcPr>
        <w:p w14:paraId="7274AEB5" w14:textId="779986FE" w:rsidR="00AC66F1" w:rsidRPr="009051B0" w:rsidRDefault="00AC66F1" w:rsidP="00AC66F1">
          <w:pPr>
            <w:ind w:right="360"/>
            <w:rPr>
              <w:rFonts w:ascii="Arial" w:hAnsi="Arial" w:cs="Arial"/>
              <w:sz w:val="18"/>
              <w:szCs w:val="18"/>
            </w:rPr>
          </w:pPr>
          <w:r w:rsidRPr="009051B0">
            <w:rPr>
              <w:rFonts w:ascii="Arial" w:hAnsi="Arial" w:cs="Arial"/>
              <w:sz w:val="18"/>
              <w:szCs w:val="18"/>
            </w:rPr>
            <w:t>© Year Your Firm Legal Name</w:t>
          </w:r>
        </w:p>
      </w:tc>
      <w:tc>
        <w:tcPr>
          <w:tcW w:w="4587" w:type="dxa"/>
          <w:vAlign w:val="bottom"/>
        </w:tcPr>
        <w:p w14:paraId="015F3956" w14:textId="77777777" w:rsidR="00AC66F1" w:rsidRPr="009051B0" w:rsidRDefault="00AC66F1" w:rsidP="00AC66F1">
          <w:pPr>
            <w:rPr>
              <w:rFonts w:ascii="Arial" w:hAnsi="Arial" w:cs="Arial"/>
              <w:sz w:val="18"/>
              <w:szCs w:val="18"/>
            </w:rPr>
          </w:pPr>
        </w:p>
      </w:tc>
    </w:tr>
  </w:tbl>
  <w:p w14:paraId="768B5BCC" w14:textId="77777777" w:rsidR="00AC66F1" w:rsidRPr="00AC66F1" w:rsidRDefault="00AC66F1">
    <w:pP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9284" w14:textId="77777777" w:rsidR="00170342" w:rsidRDefault="001703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5048049"/>
      <w:docPartObj>
        <w:docPartGallery w:val="Page Numbers (Bottom of Page)"/>
        <w:docPartUnique/>
      </w:docPartObj>
    </w:sdtPr>
    <w:sdtContent>
      <w:p w14:paraId="11A4BC9E" w14:textId="77777777" w:rsidR="006534B5" w:rsidRDefault="006534B5" w:rsidP="006534B5">
        <w:pPr>
          <w:pStyle w:val="Footer"/>
          <w:framePr w:wrap="none" w:vAnchor="text" w:hAnchor="margin" w:xAlign="right" w:y="1"/>
          <w:rPr>
            <w:rStyle w:val="PageNumber"/>
          </w:rPr>
        </w:pPr>
        <w:r w:rsidRPr="000A0B8C">
          <w:rPr>
            <w:rStyle w:val="PageNumber"/>
            <w:rFonts w:ascii="Arial" w:hAnsi="Arial" w:cs="Arial"/>
            <w:sz w:val="18"/>
            <w:szCs w:val="18"/>
          </w:rPr>
          <w:fldChar w:fldCharType="begin"/>
        </w:r>
        <w:r w:rsidRPr="000A0B8C">
          <w:rPr>
            <w:rStyle w:val="PageNumber"/>
            <w:rFonts w:ascii="Arial" w:hAnsi="Arial" w:cs="Arial"/>
            <w:sz w:val="18"/>
            <w:szCs w:val="18"/>
          </w:rPr>
          <w:instrText xml:space="preserve"> PAGE </w:instrText>
        </w:r>
        <w:r w:rsidRPr="000A0B8C">
          <w:rPr>
            <w:rStyle w:val="PageNumber"/>
            <w:rFonts w:ascii="Arial" w:hAnsi="Arial" w:cs="Arial"/>
            <w:sz w:val="18"/>
            <w:szCs w:val="18"/>
          </w:rPr>
          <w:fldChar w:fldCharType="separate"/>
        </w:r>
        <w:r>
          <w:rPr>
            <w:rStyle w:val="PageNumber"/>
            <w:rFonts w:ascii="Arial" w:hAnsi="Arial" w:cs="Arial"/>
            <w:sz w:val="18"/>
            <w:szCs w:val="18"/>
          </w:rPr>
          <w:t>2</w:t>
        </w:r>
        <w:r w:rsidRPr="000A0B8C">
          <w:rPr>
            <w:rStyle w:val="PageNumber"/>
            <w:rFonts w:ascii="Arial" w:hAnsi="Arial" w:cs="Arial"/>
            <w:sz w:val="18"/>
            <w:szCs w:val="18"/>
          </w:rPr>
          <w:fldChar w:fldCharType="end"/>
        </w:r>
      </w:p>
    </w:sdtContent>
  </w:sdt>
  <w:tbl>
    <w:tblPr>
      <w:tblStyle w:val="TableGrid"/>
      <w:tblW w:w="13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87"/>
      <w:gridCol w:w="4587"/>
      <w:gridCol w:w="4587"/>
    </w:tblGrid>
    <w:tr w:rsidR="00A249FB" w:rsidRPr="009051B0" w14:paraId="5880A306" w14:textId="77777777" w:rsidTr="00E437DE">
      <w:tc>
        <w:tcPr>
          <w:tcW w:w="4587" w:type="dxa"/>
          <w:vAlign w:val="bottom"/>
        </w:tcPr>
        <w:p w14:paraId="2218089A" w14:textId="7B657E77" w:rsidR="00A249FB" w:rsidRPr="009051B0" w:rsidRDefault="00A249FB" w:rsidP="00A249FB">
          <w:pPr>
            <w:ind w:right="360"/>
            <w:rPr>
              <w:rFonts w:ascii="Arial" w:hAnsi="Arial" w:cs="Arial"/>
              <w:sz w:val="18"/>
              <w:szCs w:val="18"/>
            </w:rPr>
          </w:pPr>
          <w:r w:rsidRPr="009051B0">
            <w:rPr>
              <w:rFonts w:ascii="Arial" w:hAnsi="Arial" w:cs="Arial"/>
              <w:sz w:val="18"/>
              <w:szCs w:val="18"/>
            </w:rPr>
            <w:t xml:space="preserve">© </w:t>
          </w:r>
          <w:proofErr w:type="gramStart"/>
          <w:r>
            <w:rPr>
              <w:rFonts w:ascii="Arial" w:hAnsi="Arial" w:cs="Arial"/>
              <w:sz w:val="18"/>
              <w:szCs w:val="18"/>
            </w:rPr>
            <w:t xml:space="preserve">2026 </w:t>
          </w:r>
          <w:r w:rsidRPr="009051B0">
            <w:rPr>
              <w:rFonts w:ascii="Arial" w:hAnsi="Arial" w:cs="Arial"/>
              <w:sz w:val="18"/>
              <w:szCs w:val="18"/>
            </w:rPr>
            <w:t xml:space="preserve"> </w:t>
          </w:r>
          <w:r>
            <w:rPr>
              <w:rFonts w:ascii="Arial" w:hAnsi="Arial" w:cs="Arial"/>
              <w:sz w:val="18"/>
              <w:szCs w:val="18"/>
            </w:rPr>
            <w:t>Crowe</w:t>
          </w:r>
          <w:proofErr w:type="gramEnd"/>
          <w:r>
            <w:rPr>
              <w:rFonts w:ascii="Arial" w:hAnsi="Arial" w:cs="Arial"/>
              <w:sz w:val="18"/>
              <w:szCs w:val="18"/>
            </w:rPr>
            <w:t xml:space="preserve"> Advisory Services (India) LLP</w:t>
          </w:r>
        </w:p>
      </w:tc>
      <w:tc>
        <w:tcPr>
          <w:tcW w:w="4587" w:type="dxa"/>
          <w:vAlign w:val="bottom"/>
        </w:tcPr>
        <w:p w14:paraId="77E4A740" w14:textId="7FB184F3" w:rsidR="00A249FB" w:rsidRPr="009051B0" w:rsidRDefault="00A249FB" w:rsidP="00A249FB">
          <w:pPr>
            <w:ind w:right="360"/>
            <w:rPr>
              <w:rFonts w:ascii="Arial" w:hAnsi="Arial" w:cs="Arial"/>
              <w:sz w:val="18"/>
              <w:szCs w:val="18"/>
            </w:rPr>
          </w:pPr>
        </w:p>
      </w:tc>
      <w:tc>
        <w:tcPr>
          <w:tcW w:w="4587" w:type="dxa"/>
          <w:vAlign w:val="bottom"/>
        </w:tcPr>
        <w:p w14:paraId="19F148C0" w14:textId="77777777" w:rsidR="00A249FB" w:rsidRPr="009051B0" w:rsidRDefault="00A249FB" w:rsidP="00A249FB">
          <w:pPr>
            <w:rPr>
              <w:rFonts w:ascii="Arial" w:hAnsi="Arial" w:cs="Arial"/>
              <w:sz w:val="18"/>
              <w:szCs w:val="18"/>
            </w:rPr>
          </w:pPr>
        </w:p>
      </w:tc>
    </w:tr>
  </w:tbl>
  <w:p w14:paraId="4923A800" w14:textId="7C3A7336" w:rsidR="00170342" w:rsidRPr="006534B5" w:rsidRDefault="00170342" w:rsidP="006534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7397602"/>
      <w:docPartObj>
        <w:docPartGallery w:val="Page Numbers (Bottom of Page)"/>
        <w:docPartUnique/>
      </w:docPartObj>
    </w:sdtPr>
    <w:sdtContent>
      <w:p w14:paraId="6E4BE797" w14:textId="77777777" w:rsidR="00CB4F14" w:rsidRDefault="00CB4F14" w:rsidP="000471CD">
        <w:pPr>
          <w:pStyle w:val="Footer"/>
          <w:framePr w:wrap="none" w:vAnchor="text" w:hAnchor="margin" w:xAlign="right" w:y="1"/>
          <w:rPr>
            <w:rStyle w:val="PageNumber"/>
          </w:rPr>
        </w:pPr>
        <w:r w:rsidRPr="000A0B8C">
          <w:rPr>
            <w:rStyle w:val="PageNumber"/>
            <w:rFonts w:ascii="Arial" w:hAnsi="Arial" w:cs="Arial"/>
            <w:sz w:val="18"/>
            <w:szCs w:val="18"/>
          </w:rPr>
          <w:fldChar w:fldCharType="begin"/>
        </w:r>
        <w:r w:rsidRPr="000A0B8C">
          <w:rPr>
            <w:rStyle w:val="PageNumber"/>
            <w:rFonts w:ascii="Arial" w:hAnsi="Arial" w:cs="Arial"/>
            <w:sz w:val="18"/>
            <w:szCs w:val="18"/>
          </w:rPr>
          <w:instrText xml:space="preserve"> PAGE </w:instrText>
        </w:r>
        <w:r w:rsidRPr="000A0B8C">
          <w:rPr>
            <w:rStyle w:val="PageNumber"/>
            <w:rFonts w:ascii="Arial" w:hAnsi="Arial" w:cs="Arial"/>
            <w:sz w:val="18"/>
            <w:szCs w:val="18"/>
          </w:rPr>
          <w:fldChar w:fldCharType="separate"/>
        </w:r>
        <w:r w:rsidRPr="000A0B8C">
          <w:rPr>
            <w:rStyle w:val="PageNumber"/>
            <w:rFonts w:ascii="Arial" w:hAnsi="Arial" w:cs="Arial"/>
            <w:noProof/>
            <w:sz w:val="18"/>
            <w:szCs w:val="18"/>
          </w:rPr>
          <w:t>1</w:t>
        </w:r>
        <w:r w:rsidRPr="000A0B8C">
          <w:rPr>
            <w:rStyle w:val="PageNumber"/>
            <w:rFonts w:ascii="Arial" w:hAnsi="Arial" w:cs="Arial"/>
            <w:sz w:val="18"/>
            <w:szCs w:val="18"/>
          </w:rPr>
          <w:fldChar w:fldCharType="end"/>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87"/>
      <w:gridCol w:w="4587"/>
    </w:tblGrid>
    <w:tr w:rsidR="00CB4F14" w:rsidRPr="009051B0" w14:paraId="38E1B027" w14:textId="77777777" w:rsidTr="00AC66F1">
      <w:tc>
        <w:tcPr>
          <w:tcW w:w="4587" w:type="dxa"/>
          <w:vAlign w:val="bottom"/>
        </w:tcPr>
        <w:p w14:paraId="71008FE0" w14:textId="295E4795" w:rsidR="00CB4F14" w:rsidRPr="009051B0" w:rsidRDefault="00CB4F14" w:rsidP="00AC66F1">
          <w:pPr>
            <w:ind w:right="360"/>
            <w:rPr>
              <w:rFonts w:ascii="Arial" w:hAnsi="Arial" w:cs="Arial"/>
              <w:sz w:val="18"/>
              <w:szCs w:val="18"/>
            </w:rPr>
          </w:pPr>
          <w:r w:rsidRPr="009051B0">
            <w:rPr>
              <w:rFonts w:ascii="Arial" w:hAnsi="Arial" w:cs="Arial"/>
              <w:sz w:val="18"/>
              <w:szCs w:val="18"/>
            </w:rPr>
            <w:t xml:space="preserve">© </w:t>
          </w:r>
          <w:proofErr w:type="gramStart"/>
          <w:r w:rsidR="006832CE">
            <w:rPr>
              <w:rFonts w:ascii="Arial" w:hAnsi="Arial" w:cs="Arial"/>
              <w:sz w:val="18"/>
              <w:szCs w:val="18"/>
            </w:rPr>
            <w:t xml:space="preserve">2026 </w:t>
          </w:r>
          <w:r w:rsidRPr="009051B0">
            <w:rPr>
              <w:rFonts w:ascii="Arial" w:hAnsi="Arial" w:cs="Arial"/>
              <w:sz w:val="18"/>
              <w:szCs w:val="18"/>
            </w:rPr>
            <w:t xml:space="preserve"> </w:t>
          </w:r>
          <w:r w:rsidR="006832CE">
            <w:rPr>
              <w:rFonts w:ascii="Arial" w:hAnsi="Arial" w:cs="Arial"/>
              <w:sz w:val="18"/>
              <w:szCs w:val="18"/>
            </w:rPr>
            <w:t>Crowe</w:t>
          </w:r>
          <w:proofErr w:type="gramEnd"/>
          <w:r w:rsidR="006832CE">
            <w:rPr>
              <w:rFonts w:ascii="Arial" w:hAnsi="Arial" w:cs="Arial"/>
              <w:sz w:val="18"/>
              <w:szCs w:val="18"/>
            </w:rPr>
            <w:t xml:space="preserve"> Advisory Services (India) LLP</w:t>
          </w:r>
        </w:p>
      </w:tc>
      <w:tc>
        <w:tcPr>
          <w:tcW w:w="4587" w:type="dxa"/>
          <w:vAlign w:val="bottom"/>
        </w:tcPr>
        <w:p w14:paraId="3D9C8687" w14:textId="77777777" w:rsidR="00CB4F14" w:rsidRPr="009051B0" w:rsidRDefault="00CB4F14" w:rsidP="00AC66F1">
          <w:pPr>
            <w:rPr>
              <w:rFonts w:ascii="Arial" w:hAnsi="Arial" w:cs="Arial"/>
              <w:sz w:val="18"/>
              <w:szCs w:val="18"/>
            </w:rPr>
          </w:pPr>
        </w:p>
      </w:tc>
    </w:tr>
  </w:tbl>
  <w:p w14:paraId="452F8A1B" w14:textId="77777777" w:rsidR="00CB4F14" w:rsidRPr="00AC66F1" w:rsidRDefault="00CB4F14">
    <w:pPr>
      <w:rPr>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E01" w14:textId="5331BDA5" w:rsidR="00A7148E" w:rsidRPr="00A7148E" w:rsidRDefault="00A249FB" w:rsidP="00A7148E">
    <w:pPr>
      <w:pStyle w:val="BodyCopy-Arial10pt"/>
      <w:rPr>
        <w:sz w:val="16"/>
        <w:szCs w:val="16"/>
      </w:rPr>
    </w:pPr>
    <w:r>
      <w:rPr>
        <w:sz w:val="18"/>
        <w:szCs w:val="18"/>
      </w:rPr>
      <w:t>Crowe Advisory Services (India) LLP</w:t>
    </w:r>
    <w:r w:rsidR="00A7148E" w:rsidRPr="00A7148E">
      <w:rPr>
        <w:sz w:val="16"/>
        <w:szCs w:val="16"/>
      </w:rPr>
      <w:t xml:space="preserve"> is a member of Crowe Global, a Swiss verein. Each member firm of Crowe Global is a separate and independent legal entity. </w:t>
    </w:r>
    <w:r>
      <w:rPr>
        <w:sz w:val="18"/>
        <w:szCs w:val="18"/>
      </w:rPr>
      <w:t>Crowe Advisory Services (India) LLP</w:t>
    </w:r>
    <w:r w:rsidR="00A7148E" w:rsidRPr="00A7148E">
      <w:rPr>
        <w:sz w:val="16"/>
        <w:szCs w:val="16"/>
      </w:rPr>
      <w:t xml:space="preserve"> and its affiliates are not responsible or liable for any acts or omissions of Crowe Global or any other member of Crowe Global.</w:t>
    </w:r>
  </w:p>
  <w:p w14:paraId="47926077" w14:textId="7086C4C7" w:rsidR="00A7148E" w:rsidRPr="00A7148E" w:rsidRDefault="00A7148E" w:rsidP="00A7148E">
    <w:pPr>
      <w:rPr>
        <w:rFonts w:ascii="Arial" w:hAnsi="Arial" w:cs="Arial"/>
        <w:sz w:val="18"/>
        <w:szCs w:val="18"/>
      </w:rPr>
    </w:pPr>
    <w:r w:rsidRPr="00A7148E">
      <w:rPr>
        <w:rFonts w:ascii="Arial" w:hAnsi="Arial" w:cs="Arial"/>
        <w:sz w:val="16"/>
        <w:szCs w:val="16"/>
      </w:rPr>
      <w:t xml:space="preserve">© </w:t>
    </w:r>
    <w:r w:rsidR="00A249FB">
      <w:rPr>
        <w:rFonts w:ascii="Arial" w:hAnsi="Arial" w:cs="Arial"/>
        <w:sz w:val="16"/>
        <w:szCs w:val="16"/>
      </w:rPr>
      <w:t xml:space="preserve">2026 </w:t>
    </w:r>
    <w:r w:rsidR="00A249FB">
      <w:rPr>
        <w:rFonts w:ascii="Arial" w:hAnsi="Arial" w:cs="Arial"/>
        <w:sz w:val="18"/>
        <w:szCs w:val="18"/>
      </w:rPr>
      <w:t>Crowe Advisory Services (India) LLP</w:t>
    </w:r>
    <w:r w:rsidR="00A249FB" w:rsidRPr="00A7148E">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D6AC" w14:textId="77777777" w:rsidR="008A4AFE" w:rsidRDefault="008A4AFE" w:rsidP="00604D76">
      <w:r>
        <w:separator/>
      </w:r>
    </w:p>
  </w:footnote>
  <w:footnote w:type="continuationSeparator" w:id="0">
    <w:p w14:paraId="1C96E952" w14:textId="77777777" w:rsidR="008A4AFE" w:rsidRDefault="008A4AFE" w:rsidP="00604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3821" w14:textId="52EF0EF3" w:rsidR="00604D76" w:rsidRDefault="009C6C15">
    <w:pPr>
      <w:pStyle w:val="Header"/>
    </w:pPr>
    <w:r>
      <w:rPr>
        <w:noProof/>
      </w:rPr>
      <w:drawing>
        <wp:anchor distT="0" distB="0" distL="114300" distR="114300" simplePos="0" relativeHeight="251658240" behindDoc="1" locked="1" layoutInCell="1" allowOverlap="1" wp14:anchorId="381D5E3D" wp14:editId="7BC19532">
          <wp:simplePos x="0" y="0"/>
          <wp:positionH relativeFrom="page">
            <wp:posOffset>0</wp:posOffset>
          </wp:positionH>
          <wp:positionV relativeFrom="page">
            <wp:posOffset>0</wp:posOffset>
          </wp:positionV>
          <wp:extent cx="7602220" cy="10753090"/>
          <wp:effectExtent l="0" t="0" r="5080" b="3810"/>
          <wp:wrapNone/>
          <wp:docPr id="1329412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12931"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602220" cy="10753090"/>
                  </a:xfrm>
                  <a:prstGeom prst="rect">
                    <a:avLst/>
                  </a:prstGeom>
                </pic:spPr>
              </pic:pic>
            </a:graphicData>
          </a:graphic>
          <wp14:sizeRelH relativeFrom="margin">
            <wp14:pctWidth>0</wp14:pctWidth>
          </wp14:sizeRelH>
          <wp14:sizeRelV relativeFrom="margin">
            <wp14:pctHeight>0</wp14:pctHeight>
          </wp14:sizeRelV>
        </wp:anchor>
      </w:drawing>
    </w:r>
    <w:r w:rsidR="00095378">
      <w:rPr>
        <w:noProof/>
      </w:rPr>
      <w:drawing>
        <wp:anchor distT="0" distB="0" distL="114300" distR="114300" simplePos="0" relativeHeight="251657215" behindDoc="0" locked="1" layoutInCell="1" allowOverlap="0" wp14:anchorId="5216BC36" wp14:editId="3DFD625C">
          <wp:simplePos x="0" y="0"/>
          <wp:positionH relativeFrom="page">
            <wp:posOffset>427355</wp:posOffset>
          </wp:positionH>
          <wp:positionV relativeFrom="page">
            <wp:posOffset>427355</wp:posOffset>
          </wp:positionV>
          <wp:extent cx="2433955" cy="1284605"/>
          <wp:effectExtent l="0" t="0" r="0" b="0"/>
          <wp:wrapNone/>
          <wp:docPr id="36960336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03369" name="Graphic 3"/>
                  <pic:cNvPicPr/>
                </pic:nvPicPr>
                <pic:blipFill>
                  <a:blip r:embed="rId2">
                    <a:extLst>
                      <a:ext uri="{96DAC541-7B7A-43D3-8B79-37D633B846F1}">
                        <asvg:svgBlip xmlns:asvg="http://schemas.microsoft.com/office/drawing/2016/SVG/main" r:embed="rId3"/>
                      </a:ext>
                    </a:extLst>
                  </a:blip>
                  <a:stretch>
                    <a:fillRect/>
                  </a:stretch>
                </pic:blipFill>
                <pic:spPr>
                  <a:xfrm>
                    <a:off x="0" y="0"/>
                    <a:ext cx="2433955" cy="128460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CellMar>
        <w:left w:w="0" w:type="dxa"/>
        <w:bottom w:w="113" w:type="dxa"/>
        <w:right w:w="1134" w:type="dxa"/>
      </w:tblCellMar>
      <w:tblLook w:val="04A0" w:firstRow="1" w:lastRow="0" w:firstColumn="1" w:lastColumn="0" w:noHBand="0" w:noVBand="1"/>
    </w:tblPr>
    <w:tblGrid>
      <w:gridCol w:w="9174"/>
    </w:tblGrid>
    <w:tr w:rsidR="00AC66F1" w:rsidRPr="009051B0" w14:paraId="35854BD0" w14:textId="77777777" w:rsidTr="00AC66F1">
      <w:tc>
        <w:tcPr>
          <w:tcW w:w="9174" w:type="dxa"/>
          <w:tcBorders>
            <w:top w:val="nil"/>
            <w:left w:val="nil"/>
            <w:bottom w:val="single" w:sz="8" w:space="0" w:color="F5A800"/>
            <w:right w:val="nil"/>
          </w:tcBorders>
        </w:tcPr>
        <w:p w14:paraId="4E47DA0F" w14:textId="545F6CDA" w:rsidR="00AC66F1" w:rsidRPr="009051B0" w:rsidRDefault="00AC66F1">
          <w:pPr>
            <w:pStyle w:val="Header"/>
            <w:rPr>
              <w:rFonts w:ascii="Arial" w:hAnsi="Arial" w:cs="Arial"/>
              <w:sz w:val="20"/>
              <w:szCs w:val="20"/>
            </w:rPr>
          </w:pPr>
          <w:r w:rsidRPr="009051B0">
            <w:rPr>
              <w:rFonts w:ascii="Arial" w:hAnsi="Arial" w:cs="Arial"/>
              <w:b/>
              <w:bCs/>
              <w:sz w:val="20"/>
              <w:szCs w:val="20"/>
            </w:rPr>
            <w:t>Place your document</w:t>
          </w:r>
          <w:r w:rsidRPr="009051B0">
            <w:rPr>
              <w:rFonts w:ascii="Arial" w:hAnsi="Arial" w:cs="Arial"/>
              <w:sz w:val="20"/>
              <w:szCs w:val="20"/>
            </w:rPr>
            <w:t xml:space="preserve"> or section title here</w:t>
          </w:r>
        </w:p>
      </w:tc>
    </w:tr>
  </w:tbl>
  <w:p w14:paraId="392B070E" w14:textId="77777777" w:rsidR="00AC66F1" w:rsidRDefault="00AC6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2EF7" w14:textId="77777777" w:rsidR="00170342" w:rsidRDefault="001703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74" w:type="dxa"/>
      <w:tblCellMar>
        <w:left w:w="0" w:type="dxa"/>
        <w:bottom w:w="113" w:type="dxa"/>
        <w:right w:w="1134" w:type="dxa"/>
      </w:tblCellMar>
      <w:tblLook w:val="04A0" w:firstRow="1" w:lastRow="0" w:firstColumn="1" w:lastColumn="0" w:noHBand="0" w:noVBand="1"/>
    </w:tblPr>
    <w:tblGrid>
      <w:gridCol w:w="9174"/>
    </w:tblGrid>
    <w:tr w:rsidR="00225C9E" w:rsidRPr="009051B0" w14:paraId="786C9CDB" w14:textId="77777777" w:rsidTr="00225C9E">
      <w:tc>
        <w:tcPr>
          <w:tcW w:w="9174" w:type="dxa"/>
          <w:tcBorders>
            <w:top w:val="nil"/>
            <w:left w:val="nil"/>
            <w:bottom w:val="single" w:sz="8" w:space="0" w:color="F5A800"/>
            <w:right w:val="nil"/>
          </w:tcBorders>
        </w:tcPr>
        <w:p w14:paraId="064BCAB2" w14:textId="5DCCAD00" w:rsidR="00225C9E" w:rsidRDefault="00225C9E" w:rsidP="00225C9E">
          <w:pPr>
            <w:pStyle w:val="Header"/>
            <w:rPr>
              <w:rFonts w:ascii="Arial" w:hAnsi="Arial" w:cs="Arial"/>
              <w:b/>
              <w:bCs/>
              <w:sz w:val="20"/>
              <w:szCs w:val="20"/>
            </w:rPr>
          </w:pPr>
          <w:r w:rsidRPr="00BF2454">
            <w:rPr>
              <w:rFonts w:ascii="Arial" w:hAnsi="Arial" w:cs="Arial"/>
              <w:b/>
              <w:bCs/>
              <w:sz w:val="20"/>
              <w:szCs w:val="20"/>
            </w:rPr>
            <w:t>Budget Proposals 2026</w:t>
          </w:r>
          <w:r>
            <w:rPr>
              <w:rFonts w:ascii="Arial" w:hAnsi="Arial" w:cs="Arial"/>
              <w:b/>
              <w:bCs/>
              <w:sz w:val="20"/>
              <w:szCs w:val="20"/>
            </w:rPr>
            <w:t xml:space="preserve"> </w:t>
          </w:r>
          <w:r w:rsidR="00BA5849">
            <w:rPr>
              <w:rFonts w:ascii="Arial" w:hAnsi="Arial" w:cs="Arial"/>
              <w:b/>
              <w:bCs/>
              <w:sz w:val="20"/>
              <w:szCs w:val="20"/>
            </w:rPr>
            <w:t>–</w:t>
          </w:r>
          <w:r>
            <w:rPr>
              <w:rFonts w:ascii="Arial" w:hAnsi="Arial" w:cs="Arial"/>
              <w:b/>
              <w:bCs/>
              <w:sz w:val="20"/>
              <w:szCs w:val="20"/>
            </w:rPr>
            <w:t xml:space="preserve"> </w:t>
          </w:r>
          <w:r w:rsidR="00BA5849">
            <w:rPr>
              <w:rFonts w:ascii="Arial" w:hAnsi="Arial" w:cs="Arial"/>
              <w:sz w:val="20"/>
              <w:szCs w:val="20"/>
            </w:rPr>
            <w:t>Tax Proposals</w:t>
          </w:r>
        </w:p>
      </w:tc>
    </w:tr>
  </w:tbl>
  <w:p w14:paraId="79CA857A" w14:textId="77777777" w:rsidR="006534B5" w:rsidRDefault="006534B5" w:rsidP="006534B5">
    <w:pPr>
      <w:pStyle w:val="Header"/>
      <w:tabs>
        <w:tab w:val="clear" w:pos="4680"/>
        <w:tab w:val="clear" w:pos="9360"/>
        <w:tab w:val="left" w:pos="4038"/>
      </w:tabs>
    </w:pPr>
    <w:r>
      <w:tab/>
    </w:r>
  </w:p>
  <w:p w14:paraId="49674875" w14:textId="77777777" w:rsidR="00170342" w:rsidRPr="006534B5" w:rsidRDefault="00170342" w:rsidP="006534B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CellMar>
        <w:left w:w="0" w:type="dxa"/>
        <w:bottom w:w="113" w:type="dxa"/>
        <w:right w:w="1134" w:type="dxa"/>
      </w:tblCellMar>
      <w:tblLook w:val="04A0" w:firstRow="1" w:lastRow="0" w:firstColumn="1" w:lastColumn="0" w:noHBand="0" w:noVBand="1"/>
    </w:tblPr>
    <w:tblGrid>
      <w:gridCol w:w="9174"/>
    </w:tblGrid>
    <w:tr w:rsidR="00CB4F14" w:rsidRPr="009051B0" w14:paraId="3A9A840B" w14:textId="77777777" w:rsidTr="00AC66F1">
      <w:tc>
        <w:tcPr>
          <w:tcW w:w="9174" w:type="dxa"/>
          <w:tcBorders>
            <w:top w:val="nil"/>
            <w:left w:val="nil"/>
            <w:bottom w:val="single" w:sz="8" w:space="0" w:color="F5A800"/>
            <w:right w:val="nil"/>
          </w:tcBorders>
        </w:tcPr>
        <w:p w14:paraId="12935E6F" w14:textId="525E4818" w:rsidR="00CB4F14" w:rsidRPr="009051B0" w:rsidRDefault="00CB4F14">
          <w:pPr>
            <w:pStyle w:val="Header"/>
            <w:rPr>
              <w:rFonts w:ascii="Arial" w:hAnsi="Arial" w:cs="Arial"/>
              <w:sz w:val="20"/>
              <w:szCs w:val="20"/>
            </w:rPr>
          </w:pPr>
        </w:p>
      </w:tc>
    </w:tr>
  </w:tbl>
  <w:p w14:paraId="54C86AEB" w14:textId="7DF823C1" w:rsidR="00CB4F14" w:rsidRDefault="006534B5" w:rsidP="006534B5">
    <w:pPr>
      <w:pStyle w:val="Header"/>
      <w:tabs>
        <w:tab w:val="clear" w:pos="4680"/>
        <w:tab w:val="clear" w:pos="9360"/>
        <w:tab w:val="left" w:pos="4038"/>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DF06" w14:textId="14D5642C" w:rsidR="00A7148E" w:rsidRPr="00A7148E" w:rsidRDefault="00A7148E" w:rsidP="00A7148E">
    <w:pPr>
      <w:pStyle w:val="Header"/>
    </w:pPr>
    <w:r>
      <w:rPr>
        <w:noProof/>
      </w:rPr>
      <w:drawing>
        <wp:anchor distT="0" distB="0" distL="114300" distR="114300" simplePos="0" relativeHeight="251660288" behindDoc="0" locked="1" layoutInCell="1" allowOverlap="0" wp14:anchorId="5970B21E" wp14:editId="4121515A">
          <wp:simplePos x="0" y="0"/>
          <wp:positionH relativeFrom="page">
            <wp:posOffset>427355</wp:posOffset>
          </wp:positionH>
          <wp:positionV relativeFrom="page">
            <wp:posOffset>427355</wp:posOffset>
          </wp:positionV>
          <wp:extent cx="2433320" cy="1283970"/>
          <wp:effectExtent l="0" t="0" r="0" b="0"/>
          <wp:wrapNone/>
          <wp:docPr id="2335675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38492" name="Graphic 3"/>
                  <pic:cNvPicPr/>
                </pic:nvPicPr>
                <pic:blipFill>
                  <a:blip r:embed="rId1">
                    <a:extLst>
                      <a:ext uri="{96DAC541-7B7A-43D3-8B79-37D633B846F1}">
                        <asvg:svgBlip xmlns:asvg="http://schemas.microsoft.com/office/drawing/2016/SVG/main" r:embed="rId2"/>
                      </a:ext>
                    </a:extLst>
                  </a:blip>
                  <a:stretch>
                    <a:fillRect/>
                  </a:stretch>
                </pic:blipFill>
                <pic:spPr>
                  <a:xfrm>
                    <a:off x="0" y="0"/>
                    <a:ext cx="2433320" cy="12839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A7"/>
    <w:multiLevelType w:val="multilevel"/>
    <w:tmpl w:val="23E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029C"/>
    <w:multiLevelType w:val="hybridMultilevel"/>
    <w:tmpl w:val="1CEE4108"/>
    <w:lvl w:ilvl="0" w:tplc="FFFFFFFF">
      <w:start w:val="1"/>
      <w:numFmt w:val="bullet"/>
      <w:lvlText w:val=""/>
      <w:lvlJc w:val="left"/>
      <w:pPr>
        <w:ind w:left="720" w:hanging="360"/>
      </w:pPr>
      <w:rPr>
        <w:rFonts w:ascii="Symbol" w:hAnsi="Symbol" w:hint="default"/>
      </w:rPr>
    </w:lvl>
    <w:lvl w:ilvl="1" w:tplc="CEB6A88C">
      <w:numFmt w:val="bullet"/>
      <w:lvlText w:val="–"/>
      <w:lvlJc w:val="left"/>
      <w:pPr>
        <w:ind w:left="1353"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7961D6"/>
    <w:multiLevelType w:val="multilevel"/>
    <w:tmpl w:val="4AD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16C0"/>
    <w:multiLevelType w:val="hybridMultilevel"/>
    <w:tmpl w:val="E09C71B2"/>
    <w:lvl w:ilvl="0" w:tplc="FFFFFFFF">
      <w:start w:val="1"/>
      <w:numFmt w:val="bullet"/>
      <w:lvlText w:val=""/>
      <w:lvlJc w:val="left"/>
      <w:pPr>
        <w:ind w:left="720" w:hanging="360"/>
      </w:pPr>
      <w:rPr>
        <w:rFonts w:ascii="Symbol" w:hAnsi="Symbol" w:hint="default"/>
      </w:rPr>
    </w:lvl>
    <w:lvl w:ilvl="1" w:tplc="CEB6A88C">
      <w:numFmt w:val="bullet"/>
      <w:lvlText w:val="–"/>
      <w:lvlJc w:val="left"/>
      <w:pPr>
        <w:ind w:left="1353"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922DF5"/>
    <w:multiLevelType w:val="multilevel"/>
    <w:tmpl w:val="B61CD6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560C2"/>
    <w:multiLevelType w:val="hybridMultilevel"/>
    <w:tmpl w:val="6E8A3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DF232E"/>
    <w:multiLevelType w:val="multilevel"/>
    <w:tmpl w:val="C1D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56B9B"/>
    <w:multiLevelType w:val="multilevel"/>
    <w:tmpl w:val="E88E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420DA"/>
    <w:multiLevelType w:val="multilevel"/>
    <w:tmpl w:val="E38643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60246"/>
    <w:multiLevelType w:val="multilevel"/>
    <w:tmpl w:val="EE60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D1FBF"/>
    <w:multiLevelType w:val="multilevel"/>
    <w:tmpl w:val="587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47632"/>
    <w:multiLevelType w:val="multilevel"/>
    <w:tmpl w:val="4DB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0097F"/>
    <w:multiLevelType w:val="hybridMultilevel"/>
    <w:tmpl w:val="0EDAFDC4"/>
    <w:lvl w:ilvl="0" w:tplc="08FC1124">
      <w:start w:val="1"/>
      <w:numFmt w:val="lowerLetter"/>
      <w:lvlText w:val="%1)"/>
      <w:lvlJc w:val="left"/>
      <w:pPr>
        <w:tabs>
          <w:tab w:val="num" w:pos="720"/>
        </w:tabs>
        <w:ind w:left="720" w:hanging="360"/>
      </w:pPr>
    </w:lvl>
    <w:lvl w:ilvl="1" w:tplc="DD64064C" w:tentative="1">
      <w:start w:val="1"/>
      <w:numFmt w:val="lowerLetter"/>
      <w:lvlText w:val="%2)"/>
      <w:lvlJc w:val="left"/>
      <w:pPr>
        <w:tabs>
          <w:tab w:val="num" w:pos="1440"/>
        </w:tabs>
        <w:ind w:left="1440" w:hanging="360"/>
      </w:pPr>
    </w:lvl>
    <w:lvl w:ilvl="2" w:tplc="CA84E504" w:tentative="1">
      <w:start w:val="1"/>
      <w:numFmt w:val="lowerLetter"/>
      <w:lvlText w:val="%3)"/>
      <w:lvlJc w:val="left"/>
      <w:pPr>
        <w:tabs>
          <w:tab w:val="num" w:pos="2160"/>
        </w:tabs>
        <w:ind w:left="2160" w:hanging="360"/>
      </w:pPr>
    </w:lvl>
    <w:lvl w:ilvl="3" w:tplc="5FA48440" w:tentative="1">
      <w:start w:val="1"/>
      <w:numFmt w:val="lowerLetter"/>
      <w:lvlText w:val="%4)"/>
      <w:lvlJc w:val="left"/>
      <w:pPr>
        <w:tabs>
          <w:tab w:val="num" w:pos="2880"/>
        </w:tabs>
        <w:ind w:left="2880" w:hanging="360"/>
      </w:pPr>
    </w:lvl>
    <w:lvl w:ilvl="4" w:tplc="0658BEBA" w:tentative="1">
      <w:start w:val="1"/>
      <w:numFmt w:val="lowerLetter"/>
      <w:lvlText w:val="%5)"/>
      <w:lvlJc w:val="left"/>
      <w:pPr>
        <w:tabs>
          <w:tab w:val="num" w:pos="3600"/>
        </w:tabs>
        <w:ind w:left="3600" w:hanging="360"/>
      </w:pPr>
    </w:lvl>
    <w:lvl w:ilvl="5" w:tplc="8FC886C0" w:tentative="1">
      <w:start w:val="1"/>
      <w:numFmt w:val="lowerLetter"/>
      <w:lvlText w:val="%6)"/>
      <w:lvlJc w:val="left"/>
      <w:pPr>
        <w:tabs>
          <w:tab w:val="num" w:pos="4320"/>
        </w:tabs>
        <w:ind w:left="4320" w:hanging="360"/>
      </w:pPr>
    </w:lvl>
    <w:lvl w:ilvl="6" w:tplc="D512AF38" w:tentative="1">
      <w:start w:val="1"/>
      <w:numFmt w:val="lowerLetter"/>
      <w:lvlText w:val="%7)"/>
      <w:lvlJc w:val="left"/>
      <w:pPr>
        <w:tabs>
          <w:tab w:val="num" w:pos="5040"/>
        </w:tabs>
        <w:ind w:left="5040" w:hanging="360"/>
      </w:pPr>
    </w:lvl>
    <w:lvl w:ilvl="7" w:tplc="705036FA" w:tentative="1">
      <w:start w:val="1"/>
      <w:numFmt w:val="lowerLetter"/>
      <w:lvlText w:val="%8)"/>
      <w:lvlJc w:val="left"/>
      <w:pPr>
        <w:tabs>
          <w:tab w:val="num" w:pos="5760"/>
        </w:tabs>
        <w:ind w:left="5760" w:hanging="360"/>
      </w:pPr>
    </w:lvl>
    <w:lvl w:ilvl="8" w:tplc="6C2E7E14" w:tentative="1">
      <w:start w:val="1"/>
      <w:numFmt w:val="lowerLetter"/>
      <w:lvlText w:val="%9)"/>
      <w:lvlJc w:val="left"/>
      <w:pPr>
        <w:tabs>
          <w:tab w:val="num" w:pos="6480"/>
        </w:tabs>
        <w:ind w:left="6480" w:hanging="360"/>
      </w:pPr>
    </w:lvl>
  </w:abstractNum>
  <w:abstractNum w:abstractNumId="13" w15:restartNumberingAfterBreak="0">
    <w:nsid w:val="1A434359"/>
    <w:multiLevelType w:val="hybridMultilevel"/>
    <w:tmpl w:val="E1AAECCA"/>
    <w:lvl w:ilvl="0" w:tplc="91E44042">
      <w:start w:val="1"/>
      <w:numFmt w:val="lowerLetter"/>
      <w:lvlText w:val="%1)"/>
      <w:lvlJc w:val="left"/>
      <w:pPr>
        <w:tabs>
          <w:tab w:val="num" w:pos="720"/>
        </w:tabs>
        <w:ind w:left="720" w:hanging="360"/>
      </w:pPr>
    </w:lvl>
    <w:lvl w:ilvl="1" w:tplc="A7CCD34E" w:tentative="1">
      <w:start w:val="1"/>
      <w:numFmt w:val="lowerLetter"/>
      <w:lvlText w:val="%2)"/>
      <w:lvlJc w:val="left"/>
      <w:pPr>
        <w:tabs>
          <w:tab w:val="num" w:pos="1440"/>
        </w:tabs>
        <w:ind w:left="1440" w:hanging="360"/>
      </w:pPr>
    </w:lvl>
    <w:lvl w:ilvl="2" w:tplc="E3B88740" w:tentative="1">
      <w:start w:val="1"/>
      <w:numFmt w:val="lowerLetter"/>
      <w:lvlText w:val="%3)"/>
      <w:lvlJc w:val="left"/>
      <w:pPr>
        <w:tabs>
          <w:tab w:val="num" w:pos="2160"/>
        </w:tabs>
        <w:ind w:left="2160" w:hanging="360"/>
      </w:pPr>
    </w:lvl>
    <w:lvl w:ilvl="3" w:tplc="113CA7CC" w:tentative="1">
      <w:start w:val="1"/>
      <w:numFmt w:val="lowerLetter"/>
      <w:lvlText w:val="%4)"/>
      <w:lvlJc w:val="left"/>
      <w:pPr>
        <w:tabs>
          <w:tab w:val="num" w:pos="2880"/>
        </w:tabs>
        <w:ind w:left="2880" w:hanging="360"/>
      </w:pPr>
    </w:lvl>
    <w:lvl w:ilvl="4" w:tplc="D6A27BAE" w:tentative="1">
      <w:start w:val="1"/>
      <w:numFmt w:val="lowerLetter"/>
      <w:lvlText w:val="%5)"/>
      <w:lvlJc w:val="left"/>
      <w:pPr>
        <w:tabs>
          <w:tab w:val="num" w:pos="3600"/>
        </w:tabs>
        <w:ind w:left="3600" w:hanging="360"/>
      </w:pPr>
    </w:lvl>
    <w:lvl w:ilvl="5" w:tplc="4FCC99D6" w:tentative="1">
      <w:start w:val="1"/>
      <w:numFmt w:val="lowerLetter"/>
      <w:lvlText w:val="%6)"/>
      <w:lvlJc w:val="left"/>
      <w:pPr>
        <w:tabs>
          <w:tab w:val="num" w:pos="4320"/>
        </w:tabs>
        <w:ind w:left="4320" w:hanging="360"/>
      </w:pPr>
    </w:lvl>
    <w:lvl w:ilvl="6" w:tplc="14B83962" w:tentative="1">
      <w:start w:val="1"/>
      <w:numFmt w:val="lowerLetter"/>
      <w:lvlText w:val="%7)"/>
      <w:lvlJc w:val="left"/>
      <w:pPr>
        <w:tabs>
          <w:tab w:val="num" w:pos="5040"/>
        </w:tabs>
        <w:ind w:left="5040" w:hanging="360"/>
      </w:pPr>
    </w:lvl>
    <w:lvl w:ilvl="7" w:tplc="C47C5280" w:tentative="1">
      <w:start w:val="1"/>
      <w:numFmt w:val="lowerLetter"/>
      <w:lvlText w:val="%8)"/>
      <w:lvlJc w:val="left"/>
      <w:pPr>
        <w:tabs>
          <w:tab w:val="num" w:pos="5760"/>
        </w:tabs>
        <w:ind w:left="5760" w:hanging="360"/>
      </w:pPr>
    </w:lvl>
    <w:lvl w:ilvl="8" w:tplc="8420291E" w:tentative="1">
      <w:start w:val="1"/>
      <w:numFmt w:val="lowerLetter"/>
      <w:lvlText w:val="%9)"/>
      <w:lvlJc w:val="left"/>
      <w:pPr>
        <w:tabs>
          <w:tab w:val="num" w:pos="6480"/>
        </w:tabs>
        <w:ind w:left="6480" w:hanging="360"/>
      </w:pPr>
    </w:lvl>
  </w:abstractNum>
  <w:abstractNum w:abstractNumId="14" w15:restartNumberingAfterBreak="0">
    <w:nsid w:val="1B5D082D"/>
    <w:multiLevelType w:val="multilevel"/>
    <w:tmpl w:val="95288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B2B0D"/>
    <w:multiLevelType w:val="multilevel"/>
    <w:tmpl w:val="7AAEF4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977ADF"/>
    <w:multiLevelType w:val="hybridMultilevel"/>
    <w:tmpl w:val="41720DE2"/>
    <w:lvl w:ilvl="0" w:tplc="40090001">
      <w:start w:val="1"/>
      <w:numFmt w:val="bullet"/>
      <w:lvlText w:val=""/>
      <w:lvlJc w:val="left"/>
      <w:pPr>
        <w:tabs>
          <w:tab w:val="num" w:pos="720"/>
        </w:tabs>
        <w:ind w:left="720" w:hanging="360"/>
      </w:pPr>
      <w:rPr>
        <w:rFonts w:ascii="Symbol" w:hAnsi="Symbol" w:hint="default"/>
      </w:rPr>
    </w:lvl>
    <w:lvl w:ilvl="1" w:tplc="CEB6A88C">
      <w:numFmt w:val="bullet"/>
      <w:lvlText w:val="–"/>
      <w:lvlJc w:val="left"/>
      <w:pPr>
        <w:ind w:left="1440" w:hanging="360"/>
      </w:pPr>
      <w:rPr>
        <w:rFonts w:ascii="Arial" w:hAnsi="Arial" w:hint="default"/>
      </w:rPr>
    </w:lvl>
    <w:lvl w:ilvl="2" w:tplc="CEB6A88C">
      <w:numFmt w:val="bullet"/>
      <w:lvlText w:val="–"/>
      <w:lvlJc w:val="left"/>
      <w:pPr>
        <w:ind w:left="2160" w:hanging="360"/>
      </w:pPr>
      <w:rPr>
        <w:rFonts w:ascii="Arial" w:hAnsi="Arial" w:hint="default"/>
      </w:rPr>
    </w:lvl>
    <w:lvl w:ilvl="3" w:tplc="26CA94AE" w:tentative="1">
      <w:start w:val="1"/>
      <w:numFmt w:val="bullet"/>
      <w:lvlText w:val="•"/>
      <w:lvlJc w:val="left"/>
      <w:pPr>
        <w:tabs>
          <w:tab w:val="num" w:pos="2880"/>
        </w:tabs>
        <w:ind w:left="2880" w:hanging="360"/>
      </w:pPr>
      <w:rPr>
        <w:rFonts w:ascii="Arial" w:hAnsi="Arial" w:hint="default"/>
      </w:rPr>
    </w:lvl>
    <w:lvl w:ilvl="4" w:tplc="4B56B934" w:tentative="1">
      <w:start w:val="1"/>
      <w:numFmt w:val="bullet"/>
      <w:lvlText w:val="•"/>
      <w:lvlJc w:val="left"/>
      <w:pPr>
        <w:tabs>
          <w:tab w:val="num" w:pos="3600"/>
        </w:tabs>
        <w:ind w:left="3600" w:hanging="360"/>
      </w:pPr>
      <w:rPr>
        <w:rFonts w:ascii="Arial" w:hAnsi="Arial" w:hint="default"/>
      </w:rPr>
    </w:lvl>
    <w:lvl w:ilvl="5" w:tplc="8CD68536" w:tentative="1">
      <w:start w:val="1"/>
      <w:numFmt w:val="bullet"/>
      <w:lvlText w:val="•"/>
      <w:lvlJc w:val="left"/>
      <w:pPr>
        <w:tabs>
          <w:tab w:val="num" w:pos="4320"/>
        </w:tabs>
        <w:ind w:left="4320" w:hanging="360"/>
      </w:pPr>
      <w:rPr>
        <w:rFonts w:ascii="Arial" w:hAnsi="Arial" w:hint="default"/>
      </w:rPr>
    </w:lvl>
    <w:lvl w:ilvl="6" w:tplc="08DC345E" w:tentative="1">
      <w:start w:val="1"/>
      <w:numFmt w:val="bullet"/>
      <w:lvlText w:val="•"/>
      <w:lvlJc w:val="left"/>
      <w:pPr>
        <w:tabs>
          <w:tab w:val="num" w:pos="5040"/>
        </w:tabs>
        <w:ind w:left="5040" w:hanging="360"/>
      </w:pPr>
      <w:rPr>
        <w:rFonts w:ascii="Arial" w:hAnsi="Arial" w:hint="default"/>
      </w:rPr>
    </w:lvl>
    <w:lvl w:ilvl="7" w:tplc="517459A2" w:tentative="1">
      <w:start w:val="1"/>
      <w:numFmt w:val="bullet"/>
      <w:lvlText w:val="•"/>
      <w:lvlJc w:val="left"/>
      <w:pPr>
        <w:tabs>
          <w:tab w:val="num" w:pos="5760"/>
        </w:tabs>
        <w:ind w:left="5760" w:hanging="360"/>
      </w:pPr>
      <w:rPr>
        <w:rFonts w:ascii="Arial" w:hAnsi="Arial" w:hint="default"/>
      </w:rPr>
    </w:lvl>
    <w:lvl w:ilvl="8" w:tplc="13E0E28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1893662"/>
    <w:multiLevelType w:val="hybridMultilevel"/>
    <w:tmpl w:val="3BF81EDA"/>
    <w:lvl w:ilvl="0" w:tplc="FFFFFFFF">
      <w:start w:val="1"/>
      <w:numFmt w:val="bullet"/>
      <w:lvlText w:val=""/>
      <w:lvlJc w:val="left"/>
      <w:pPr>
        <w:ind w:left="720" w:hanging="360"/>
      </w:pPr>
      <w:rPr>
        <w:rFonts w:ascii="Symbol" w:hAnsi="Symbol" w:hint="default"/>
      </w:rPr>
    </w:lvl>
    <w:lvl w:ilvl="1" w:tplc="CEB6A88C">
      <w:numFmt w:val="bullet"/>
      <w:lvlText w:val="–"/>
      <w:lvlJc w:val="left"/>
      <w:pPr>
        <w:ind w:left="1353"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8C6729F"/>
    <w:multiLevelType w:val="multilevel"/>
    <w:tmpl w:val="0B7A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C4EBB"/>
    <w:multiLevelType w:val="multilevel"/>
    <w:tmpl w:val="2312E3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6E33D5"/>
    <w:multiLevelType w:val="hybridMultilevel"/>
    <w:tmpl w:val="6638E80E"/>
    <w:lvl w:ilvl="0" w:tplc="40090001">
      <w:start w:val="1"/>
      <w:numFmt w:val="bullet"/>
      <w:lvlText w:val=""/>
      <w:lvlJc w:val="left"/>
      <w:pPr>
        <w:tabs>
          <w:tab w:val="num" w:pos="720"/>
        </w:tabs>
        <w:ind w:left="720" w:hanging="360"/>
      </w:pPr>
      <w:rPr>
        <w:rFonts w:ascii="Symbol" w:hAnsi="Symbol" w:hint="default"/>
      </w:rPr>
    </w:lvl>
    <w:lvl w:ilvl="1" w:tplc="CEB6A88C">
      <w:numFmt w:val="bullet"/>
      <w:lvlText w:val="–"/>
      <w:lvlJc w:val="left"/>
      <w:pPr>
        <w:ind w:left="1440" w:hanging="360"/>
      </w:pPr>
      <w:rPr>
        <w:rFonts w:ascii="Arial" w:hAnsi="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FE59E2"/>
    <w:multiLevelType w:val="multilevel"/>
    <w:tmpl w:val="EED020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02C66"/>
    <w:multiLevelType w:val="multilevel"/>
    <w:tmpl w:val="E53810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0B6A81"/>
    <w:multiLevelType w:val="multilevel"/>
    <w:tmpl w:val="702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64524"/>
    <w:multiLevelType w:val="multilevel"/>
    <w:tmpl w:val="8FFE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D3DB0"/>
    <w:multiLevelType w:val="multilevel"/>
    <w:tmpl w:val="99FC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734C10"/>
    <w:multiLevelType w:val="multilevel"/>
    <w:tmpl w:val="6D249C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774708"/>
    <w:multiLevelType w:val="multilevel"/>
    <w:tmpl w:val="619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64B9C"/>
    <w:multiLevelType w:val="multilevel"/>
    <w:tmpl w:val="AAD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33A86"/>
    <w:multiLevelType w:val="multilevel"/>
    <w:tmpl w:val="F134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91256"/>
    <w:multiLevelType w:val="multilevel"/>
    <w:tmpl w:val="5E88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B442F"/>
    <w:multiLevelType w:val="multilevel"/>
    <w:tmpl w:val="1CEE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C30EDA"/>
    <w:multiLevelType w:val="hybridMultilevel"/>
    <w:tmpl w:val="43986A9C"/>
    <w:lvl w:ilvl="0" w:tplc="40090001">
      <w:start w:val="1"/>
      <w:numFmt w:val="bullet"/>
      <w:lvlText w:val=""/>
      <w:lvlJc w:val="left"/>
      <w:pPr>
        <w:ind w:left="720" w:hanging="360"/>
      </w:pPr>
      <w:rPr>
        <w:rFonts w:ascii="Symbol" w:hAnsi="Symbol" w:hint="default"/>
      </w:rPr>
    </w:lvl>
    <w:lvl w:ilvl="1" w:tplc="3CCE3A20">
      <w:start w:val="1"/>
      <w:numFmt w:val="bullet"/>
      <w:lvlText w:val="o"/>
      <w:lvlJc w:val="left"/>
      <w:pPr>
        <w:ind w:left="1353" w:hanging="360"/>
      </w:pPr>
      <w:rPr>
        <w:rFonts w:asciiTheme="minorHAnsi" w:hAnsiTheme="minorHAnsi" w:cstheme="minorHAnsi" w:hint="default"/>
        <w:sz w:val="20"/>
        <w:szCs w:val="2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0E13CC6"/>
    <w:multiLevelType w:val="multilevel"/>
    <w:tmpl w:val="526695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C00A5B"/>
    <w:multiLevelType w:val="multilevel"/>
    <w:tmpl w:val="E4D6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DF49AA"/>
    <w:multiLevelType w:val="hybridMultilevel"/>
    <w:tmpl w:val="9A16AEBE"/>
    <w:lvl w:ilvl="0" w:tplc="40090001">
      <w:start w:val="1"/>
      <w:numFmt w:val="bullet"/>
      <w:lvlText w:val=""/>
      <w:lvlJc w:val="left"/>
      <w:pPr>
        <w:tabs>
          <w:tab w:val="num" w:pos="720"/>
        </w:tabs>
        <w:ind w:left="720" w:hanging="360"/>
      </w:pPr>
      <w:rPr>
        <w:rFonts w:ascii="Symbol" w:hAnsi="Symbol" w:hint="default"/>
      </w:rPr>
    </w:lvl>
    <w:lvl w:ilvl="1" w:tplc="0B1A5A5A">
      <w:numFmt w:val="bullet"/>
      <w:lvlText w:val="•"/>
      <w:lvlJc w:val="left"/>
      <w:pPr>
        <w:tabs>
          <w:tab w:val="num" w:pos="1440"/>
        </w:tabs>
        <w:ind w:left="1440" w:hanging="360"/>
      </w:pPr>
      <w:rPr>
        <w:rFonts w:ascii="Times New Roman" w:hAnsi="Times New Roman" w:hint="default"/>
      </w:rPr>
    </w:lvl>
    <w:lvl w:ilvl="2" w:tplc="A7863B70" w:tentative="1">
      <w:start w:val="1"/>
      <w:numFmt w:val="bullet"/>
      <w:lvlText w:val="•"/>
      <w:lvlJc w:val="left"/>
      <w:pPr>
        <w:tabs>
          <w:tab w:val="num" w:pos="2160"/>
        </w:tabs>
        <w:ind w:left="2160" w:hanging="360"/>
      </w:pPr>
      <w:rPr>
        <w:rFonts w:ascii="Times New Roman" w:hAnsi="Times New Roman" w:hint="default"/>
      </w:rPr>
    </w:lvl>
    <w:lvl w:ilvl="3" w:tplc="B6460BAE" w:tentative="1">
      <w:start w:val="1"/>
      <w:numFmt w:val="bullet"/>
      <w:lvlText w:val="•"/>
      <w:lvlJc w:val="left"/>
      <w:pPr>
        <w:tabs>
          <w:tab w:val="num" w:pos="2880"/>
        </w:tabs>
        <w:ind w:left="2880" w:hanging="360"/>
      </w:pPr>
      <w:rPr>
        <w:rFonts w:ascii="Times New Roman" w:hAnsi="Times New Roman" w:hint="default"/>
      </w:rPr>
    </w:lvl>
    <w:lvl w:ilvl="4" w:tplc="8CFC2134" w:tentative="1">
      <w:start w:val="1"/>
      <w:numFmt w:val="bullet"/>
      <w:lvlText w:val="•"/>
      <w:lvlJc w:val="left"/>
      <w:pPr>
        <w:tabs>
          <w:tab w:val="num" w:pos="3600"/>
        </w:tabs>
        <w:ind w:left="3600" w:hanging="360"/>
      </w:pPr>
      <w:rPr>
        <w:rFonts w:ascii="Times New Roman" w:hAnsi="Times New Roman" w:hint="default"/>
      </w:rPr>
    </w:lvl>
    <w:lvl w:ilvl="5" w:tplc="275EB706" w:tentative="1">
      <w:start w:val="1"/>
      <w:numFmt w:val="bullet"/>
      <w:lvlText w:val="•"/>
      <w:lvlJc w:val="left"/>
      <w:pPr>
        <w:tabs>
          <w:tab w:val="num" w:pos="4320"/>
        </w:tabs>
        <w:ind w:left="4320" w:hanging="360"/>
      </w:pPr>
      <w:rPr>
        <w:rFonts w:ascii="Times New Roman" w:hAnsi="Times New Roman" w:hint="default"/>
      </w:rPr>
    </w:lvl>
    <w:lvl w:ilvl="6" w:tplc="F1F4B56C" w:tentative="1">
      <w:start w:val="1"/>
      <w:numFmt w:val="bullet"/>
      <w:lvlText w:val="•"/>
      <w:lvlJc w:val="left"/>
      <w:pPr>
        <w:tabs>
          <w:tab w:val="num" w:pos="5040"/>
        </w:tabs>
        <w:ind w:left="5040" w:hanging="360"/>
      </w:pPr>
      <w:rPr>
        <w:rFonts w:ascii="Times New Roman" w:hAnsi="Times New Roman" w:hint="default"/>
      </w:rPr>
    </w:lvl>
    <w:lvl w:ilvl="7" w:tplc="7DB2ADD6" w:tentative="1">
      <w:start w:val="1"/>
      <w:numFmt w:val="bullet"/>
      <w:lvlText w:val="•"/>
      <w:lvlJc w:val="left"/>
      <w:pPr>
        <w:tabs>
          <w:tab w:val="num" w:pos="5760"/>
        </w:tabs>
        <w:ind w:left="5760" w:hanging="360"/>
      </w:pPr>
      <w:rPr>
        <w:rFonts w:ascii="Times New Roman" w:hAnsi="Times New Roman" w:hint="default"/>
      </w:rPr>
    </w:lvl>
    <w:lvl w:ilvl="8" w:tplc="99D2AABC"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46C81D67"/>
    <w:multiLevelType w:val="multilevel"/>
    <w:tmpl w:val="73A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1B14D9"/>
    <w:multiLevelType w:val="multilevel"/>
    <w:tmpl w:val="ECE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3632B"/>
    <w:multiLevelType w:val="multilevel"/>
    <w:tmpl w:val="7C4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8436BF"/>
    <w:multiLevelType w:val="multilevel"/>
    <w:tmpl w:val="FCE2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9E007B"/>
    <w:multiLevelType w:val="multilevel"/>
    <w:tmpl w:val="2CE0F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54661F"/>
    <w:multiLevelType w:val="multilevel"/>
    <w:tmpl w:val="F54A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1A6E95"/>
    <w:multiLevelType w:val="multilevel"/>
    <w:tmpl w:val="2A0A08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BF2C12"/>
    <w:multiLevelType w:val="multilevel"/>
    <w:tmpl w:val="F0A0C4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7154FB"/>
    <w:multiLevelType w:val="hybridMultilevel"/>
    <w:tmpl w:val="06C659C4"/>
    <w:lvl w:ilvl="0" w:tplc="40090001">
      <w:start w:val="1"/>
      <w:numFmt w:val="bullet"/>
      <w:lvlText w:val=""/>
      <w:lvlJc w:val="left"/>
      <w:pPr>
        <w:ind w:left="720" w:hanging="360"/>
      </w:pPr>
      <w:rPr>
        <w:rFonts w:ascii="Symbol" w:hAnsi="Symbol" w:hint="default"/>
      </w:rPr>
    </w:lvl>
    <w:lvl w:ilvl="1" w:tplc="CEB6A88C">
      <w:numFmt w:val="bullet"/>
      <w:lvlText w:val="–"/>
      <w:lvlJc w:val="left"/>
      <w:pPr>
        <w:ind w:left="1440" w:hanging="360"/>
      </w:pPr>
      <w:rPr>
        <w:rFonts w:ascii="Arial" w:hAnsi="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3761E5B"/>
    <w:multiLevelType w:val="multilevel"/>
    <w:tmpl w:val="8F5E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376851"/>
    <w:multiLevelType w:val="multilevel"/>
    <w:tmpl w:val="648257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420DD6"/>
    <w:multiLevelType w:val="multilevel"/>
    <w:tmpl w:val="0318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B5EC6"/>
    <w:multiLevelType w:val="hybridMultilevel"/>
    <w:tmpl w:val="1DFE22E2"/>
    <w:lvl w:ilvl="0" w:tplc="A90CA102">
      <w:start w:val="1"/>
      <w:numFmt w:val="lowerLetter"/>
      <w:lvlText w:val="%1)"/>
      <w:lvlJc w:val="left"/>
      <w:pPr>
        <w:tabs>
          <w:tab w:val="num" w:pos="720"/>
        </w:tabs>
        <w:ind w:left="720" w:hanging="360"/>
      </w:pPr>
    </w:lvl>
    <w:lvl w:ilvl="1" w:tplc="42B0CD94" w:tentative="1">
      <w:start w:val="1"/>
      <w:numFmt w:val="lowerLetter"/>
      <w:lvlText w:val="%2)"/>
      <w:lvlJc w:val="left"/>
      <w:pPr>
        <w:tabs>
          <w:tab w:val="num" w:pos="1440"/>
        </w:tabs>
        <w:ind w:left="1440" w:hanging="360"/>
      </w:pPr>
    </w:lvl>
    <w:lvl w:ilvl="2" w:tplc="5C4095F4" w:tentative="1">
      <w:start w:val="1"/>
      <w:numFmt w:val="lowerLetter"/>
      <w:lvlText w:val="%3)"/>
      <w:lvlJc w:val="left"/>
      <w:pPr>
        <w:tabs>
          <w:tab w:val="num" w:pos="2160"/>
        </w:tabs>
        <w:ind w:left="2160" w:hanging="360"/>
      </w:pPr>
    </w:lvl>
    <w:lvl w:ilvl="3" w:tplc="5524B9E2" w:tentative="1">
      <w:start w:val="1"/>
      <w:numFmt w:val="lowerLetter"/>
      <w:lvlText w:val="%4)"/>
      <w:lvlJc w:val="left"/>
      <w:pPr>
        <w:tabs>
          <w:tab w:val="num" w:pos="2880"/>
        </w:tabs>
        <w:ind w:left="2880" w:hanging="360"/>
      </w:pPr>
    </w:lvl>
    <w:lvl w:ilvl="4" w:tplc="9E886978" w:tentative="1">
      <w:start w:val="1"/>
      <w:numFmt w:val="lowerLetter"/>
      <w:lvlText w:val="%5)"/>
      <w:lvlJc w:val="left"/>
      <w:pPr>
        <w:tabs>
          <w:tab w:val="num" w:pos="3600"/>
        </w:tabs>
        <w:ind w:left="3600" w:hanging="360"/>
      </w:pPr>
    </w:lvl>
    <w:lvl w:ilvl="5" w:tplc="85BE6B8A" w:tentative="1">
      <w:start w:val="1"/>
      <w:numFmt w:val="lowerLetter"/>
      <w:lvlText w:val="%6)"/>
      <w:lvlJc w:val="left"/>
      <w:pPr>
        <w:tabs>
          <w:tab w:val="num" w:pos="4320"/>
        </w:tabs>
        <w:ind w:left="4320" w:hanging="360"/>
      </w:pPr>
    </w:lvl>
    <w:lvl w:ilvl="6" w:tplc="FCF870DE" w:tentative="1">
      <w:start w:val="1"/>
      <w:numFmt w:val="lowerLetter"/>
      <w:lvlText w:val="%7)"/>
      <w:lvlJc w:val="left"/>
      <w:pPr>
        <w:tabs>
          <w:tab w:val="num" w:pos="5040"/>
        </w:tabs>
        <w:ind w:left="5040" w:hanging="360"/>
      </w:pPr>
    </w:lvl>
    <w:lvl w:ilvl="7" w:tplc="660A2796" w:tentative="1">
      <w:start w:val="1"/>
      <w:numFmt w:val="lowerLetter"/>
      <w:lvlText w:val="%8)"/>
      <w:lvlJc w:val="left"/>
      <w:pPr>
        <w:tabs>
          <w:tab w:val="num" w:pos="5760"/>
        </w:tabs>
        <w:ind w:left="5760" w:hanging="360"/>
      </w:pPr>
    </w:lvl>
    <w:lvl w:ilvl="8" w:tplc="180E4EA6" w:tentative="1">
      <w:start w:val="1"/>
      <w:numFmt w:val="lowerLetter"/>
      <w:lvlText w:val="%9)"/>
      <w:lvlJc w:val="left"/>
      <w:pPr>
        <w:tabs>
          <w:tab w:val="num" w:pos="6480"/>
        </w:tabs>
        <w:ind w:left="6480" w:hanging="360"/>
      </w:pPr>
    </w:lvl>
  </w:abstractNum>
  <w:abstractNum w:abstractNumId="49" w15:restartNumberingAfterBreak="0">
    <w:nsid w:val="5F685643"/>
    <w:multiLevelType w:val="hybridMultilevel"/>
    <w:tmpl w:val="1EBED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FE8046E"/>
    <w:multiLevelType w:val="multilevel"/>
    <w:tmpl w:val="330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A90329"/>
    <w:multiLevelType w:val="multilevel"/>
    <w:tmpl w:val="B1E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59154E"/>
    <w:multiLevelType w:val="multilevel"/>
    <w:tmpl w:val="26F00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9A272D"/>
    <w:multiLevelType w:val="hybridMultilevel"/>
    <w:tmpl w:val="2F60FE8A"/>
    <w:lvl w:ilvl="0" w:tplc="CEB6A88C">
      <w:numFmt w:val="bullet"/>
      <w:lvlText w:val="–"/>
      <w:lvlJc w:val="left"/>
      <w:pPr>
        <w:ind w:left="1004" w:hanging="360"/>
      </w:pPr>
      <w:rPr>
        <w:rFonts w:ascii="Arial" w:hAnsi="Aria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4" w15:restartNumberingAfterBreak="0">
    <w:nsid w:val="667D24C3"/>
    <w:multiLevelType w:val="multilevel"/>
    <w:tmpl w:val="164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781D8B"/>
    <w:multiLevelType w:val="multilevel"/>
    <w:tmpl w:val="206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564933"/>
    <w:multiLevelType w:val="hybridMultilevel"/>
    <w:tmpl w:val="145EB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9967F8A"/>
    <w:multiLevelType w:val="multilevel"/>
    <w:tmpl w:val="5E56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CE4284"/>
    <w:multiLevelType w:val="hybridMultilevel"/>
    <w:tmpl w:val="72BAE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2B714F1"/>
    <w:multiLevelType w:val="hybridMultilevel"/>
    <w:tmpl w:val="5EA6A328"/>
    <w:lvl w:ilvl="0" w:tplc="40090001">
      <w:start w:val="1"/>
      <w:numFmt w:val="bullet"/>
      <w:lvlText w:val=""/>
      <w:lvlJc w:val="left"/>
      <w:pPr>
        <w:tabs>
          <w:tab w:val="num" w:pos="720"/>
        </w:tabs>
        <w:ind w:left="720" w:hanging="360"/>
      </w:pPr>
      <w:rPr>
        <w:rFonts w:ascii="Symbol" w:hAnsi="Symbol" w:hint="default"/>
      </w:rPr>
    </w:lvl>
    <w:lvl w:ilvl="1" w:tplc="991AE4C4">
      <w:numFmt w:val="bullet"/>
      <w:lvlText w:val="•"/>
      <w:lvlJc w:val="left"/>
      <w:pPr>
        <w:tabs>
          <w:tab w:val="num" w:pos="1440"/>
        </w:tabs>
        <w:ind w:left="1440" w:hanging="360"/>
      </w:pPr>
      <w:rPr>
        <w:rFonts w:ascii="Times New Roman" w:hAnsi="Times New Roman" w:hint="default"/>
      </w:rPr>
    </w:lvl>
    <w:lvl w:ilvl="2" w:tplc="DBF6EDB6" w:tentative="1">
      <w:start w:val="1"/>
      <w:numFmt w:val="bullet"/>
      <w:lvlText w:val="•"/>
      <w:lvlJc w:val="left"/>
      <w:pPr>
        <w:tabs>
          <w:tab w:val="num" w:pos="2160"/>
        </w:tabs>
        <w:ind w:left="2160" w:hanging="360"/>
      </w:pPr>
      <w:rPr>
        <w:rFonts w:ascii="Helvetica" w:hAnsi="Helvetica" w:hint="default"/>
      </w:rPr>
    </w:lvl>
    <w:lvl w:ilvl="3" w:tplc="FBE63BF6" w:tentative="1">
      <w:start w:val="1"/>
      <w:numFmt w:val="bullet"/>
      <w:lvlText w:val="•"/>
      <w:lvlJc w:val="left"/>
      <w:pPr>
        <w:tabs>
          <w:tab w:val="num" w:pos="2880"/>
        </w:tabs>
        <w:ind w:left="2880" w:hanging="360"/>
      </w:pPr>
      <w:rPr>
        <w:rFonts w:ascii="Helvetica" w:hAnsi="Helvetica" w:hint="default"/>
      </w:rPr>
    </w:lvl>
    <w:lvl w:ilvl="4" w:tplc="DF80BC40" w:tentative="1">
      <w:start w:val="1"/>
      <w:numFmt w:val="bullet"/>
      <w:lvlText w:val="•"/>
      <w:lvlJc w:val="left"/>
      <w:pPr>
        <w:tabs>
          <w:tab w:val="num" w:pos="3600"/>
        </w:tabs>
        <w:ind w:left="3600" w:hanging="360"/>
      </w:pPr>
      <w:rPr>
        <w:rFonts w:ascii="Helvetica" w:hAnsi="Helvetica" w:hint="default"/>
      </w:rPr>
    </w:lvl>
    <w:lvl w:ilvl="5" w:tplc="6A64EE6E" w:tentative="1">
      <w:start w:val="1"/>
      <w:numFmt w:val="bullet"/>
      <w:lvlText w:val="•"/>
      <w:lvlJc w:val="left"/>
      <w:pPr>
        <w:tabs>
          <w:tab w:val="num" w:pos="4320"/>
        </w:tabs>
        <w:ind w:left="4320" w:hanging="360"/>
      </w:pPr>
      <w:rPr>
        <w:rFonts w:ascii="Helvetica" w:hAnsi="Helvetica" w:hint="default"/>
      </w:rPr>
    </w:lvl>
    <w:lvl w:ilvl="6" w:tplc="9FA27A2A" w:tentative="1">
      <w:start w:val="1"/>
      <w:numFmt w:val="bullet"/>
      <w:lvlText w:val="•"/>
      <w:lvlJc w:val="left"/>
      <w:pPr>
        <w:tabs>
          <w:tab w:val="num" w:pos="5040"/>
        </w:tabs>
        <w:ind w:left="5040" w:hanging="360"/>
      </w:pPr>
      <w:rPr>
        <w:rFonts w:ascii="Helvetica" w:hAnsi="Helvetica" w:hint="default"/>
      </w:rPr>
    </w:lvl>
    <w:lvl w:ilvl="7" w:tplc="08B42C56" w:tentative="1">
      <w:start w:val="1"/>
      <w:numFmt w:val="bullet"/>
      <w:lvlText w:val="•"/>
      <w:lvlJc w:val="left"/>
      <w:pPr>
        <w:tabs>
          <w:tab w:val="num" w:pos="5760"/>
        </w:tabs>
        <w:ind w:left="5760" w:hanging="360"/>
      </w:pPr>
      <w:rPr>
        <w:rFonts w:ascii="Helvetica" w:hAnsi="Helvetica" w:hint="default"/>
      </w:rPr>
    </w:lvl>
    <w:lvl w:ilvl="8" w:tplc="5C2458DC" w:tentative="1">
      <w:start w:val="1"/>
      <w:numFmt w:val="bullet"/>
      <w:lvlText w:val="•"/>
      <w:lvlJc w:val="left"/>
      <w:pPr>
        <w:tabs>
          <w:tab w:val="num" w:pos="6480"/>
        </w:tabs>
        <w:ind w:left="6480" w:hanging="360"/>
      </w:pPr>
      <w:rPr>
        <w:rFonts w:ascii="Helvetica" w:hAnsi="Helvetica" w:hint="default"/>
      </w:rPr>
    </w:lvl>
  </w:abstractNum>
  <w:abstractNum w:abstractNumId="60" w15:restartNumberingAfterBreak="0">
    <w:nsid w:val="74B359E8"/>
    <w:multiLevelType w:val="multilevel"/>
    <w:tmpl w:val="BC58EB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3C3F45"/>
    <w:multiLevelType w:val="multilevel"/>
    <w:tmpl w:val="EB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885B8D"/>
    <w:multiLevelType w:val="multilevel"/>
    <w:tmpl w:val="1952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8E5E1F"/>
    <w:multiLevelType w:val="multilevel"/>
    <w:tmpl w:val="105A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25484B"/>
    <w:multiLevelType w:val="multilevel"/>
    <w:tmpl w:val="2CAE6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DE1408"/>
    <w:multiLevelType w:val="multilevel"/>
    <w:tmpl w:val="726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1379D8"/>
    <w:multiLevelType w:val="multilevel"/>
    <w:tmpl w:val="704C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3F1FF7"/>
    <w:multiLevelType w:val="multilevel"/>
    <w:tmpl w:val="E65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526790"/>
    <w:multiLevelType w:val="multilevel"/>
    <w:tmpl w:val="7B5C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673482">
    <w:abstractNumId w:val="38"/>
  </w:num>
  <w:num w:numId="2" w16cid:durableId="432743452">
    <w:abstractNumId w:val="55"/>
  </w:num>
  <w:num w:numId="3" w16cid:durableId="138881891">
    <w:abstractNumId w:val="62"/>
  </w:num>
  <w:num w:numId="4" w16cid:durableId="574439723">
    <w:abstractNumId w:val="10"/>
  </w:num>
  <w:num w:numId="5" w16cid:durableId="147287712">
    <w:abstractNumId w:val="36"/>
  </w:num>
  <w:num w:numId="6" w16cid:durableId="797333866">
    <w:abstractNumId w:val="29"/>
  </w:num>
  <w:num w:numId="7" w16cid:durableId="125857692">
    <w:abstractNumId w:val="7"/>
  </w:num>
  <w:num w:numId="8" w16cid:durableId="2001884259">
    <w:abstractNumId w:val="63"/>
  </w:num>
  <w:num w:numId="9" w16cid:durableId="860708994">
    <w:abstractNumId w:val="9"/>
  </w:num>
  <w:num w:numId="10" w16cid:durableId="1803813230">
    <w:abstractNumId w:val="28"/>
  </w:num>
  <w:num w:numId="11" w16cid:durableId="37172205">
    <w:abstractNumId w:val="67"/>
  </w:num>
  <w:num w:numId="12" w16cid:durableId="739642916">
    <w:abstractNumId w:val="30"/>
  </w:num>
  <w:num w:numId="13" w16cid:durableId="749230212">
    <w:abstractNumId w:val="23"/>
  </w:num>
  <w:num w:numId="14" w16cid:durableId="1176730021">
    <w:abstractNumId w:val="2"/>
  </w:num>
  <w:num w:numId="15" w16cid:durableId="1090277494">
    <w:abstractNumId w:val="61"/>
  </w:num>
  <w:num w:numId="16" w16cid:durableId="438794608">
    <w:abstractNumId w:val="0"/>
  </w:num>
  <w:num w:numId="17" w16cid:durableId="2033916444">
    <w:abstractNumId w:val="11"/>
  </w:num>
  <w:num w:numId="18" w16cid:durableId="2086948909">
    <w:abstractNumId w:val="47"/>
  </w:num>
  <w:num w:numId="19" w16cid:durableId="1932811345">
    <w:abstractNumId w:val="6"/>
  </w:num>
  <w:num w:numId="20" w16cid:durableId="2019697708">
    <w:abstractNumId w:val="39"/>
  </w:num>
  <w:num w:numId="21" w16cid:durableId="1067993061">
    <w:abstractNumId w:val="45"/>
  </w:num>
  <w:num w:numId="22" w16cid:durableId="492179522">
    <w:abstractNumId w:val="41"/>
  </w:num>
  <w:num w:numId="23" w16cid:durableId="1425498016">
    <w:abstractNumId w:val="65"/>
  </w:num>
  <w:num w:numId="24" w16cid:durableId="773206226">
    <w:abstractNumId w:val="27"/>
  </w:num>
  <w:num w:numId="25" w16cid:durableId="1412237201">
    <w:abstractNumId w:val="18"/>
  </w:num>
  <w:num w:numId="26" w16cid:durableId="818040965">
    <w:abstractNumId w:val="66"/>
  </w:num>
  <w:num w:numId="27" w16cid:durableId="1181167553">
    <w:abstractNumId w:val="37"/>
  </w:num>
  <w:num w:numId="28" w16cid:durableId="114829897">
    <w:abstractNumId w:val="34"/>
  </w:num>
  <w:num w:numId="29" w16cid:durableId="878854720">
    <w:abstractNumId w:val="51"/>
  </w:num>
  <w:num w:numId="30" w16cid:durableId="215318218">
    <w:abstractNumId w:val="54"/>
  </w:num>
  <w:num w:numId="31" w16cid:durableId="243803120">
    <w:abstractNumId w:val="24"/>
  </w:num>
  <w:num w:numId="32" w16cid:durableId="2126806336">
    <w:abstractNumId w:val="50"/>
  </w:num>
  <w:num w:numId="33" w16cid:durableId="712073077">
    <w:abstractNumId w:val="31"/>
  </w:num>
  <w:num w:numId="34" w16cid:durableId="1630355851">
    <w:abstractNumId w:val="46"/>
  </w:num>
  <w:num w:numId="35" w16cid:durableId="177429983">
    <w:abstractNumId w:val="26"/>
  </w:num>
  <w:num w:numId="36" w16cid:durableId="429275833">
    <w:abstractNumId w:val="64"/>
  </w:num>
  <w:num w:numId="37" w16cid:durableId="916402752">
    <w:abstractNumId w:val="15"/>
  </w:num>
  <w:num w:numId="38" w16cid:durableId="1262104930">
    <w:abstractNumId w:val="25"/>
  </w:num>
  <w:num w:numId="39" w16cid:durableId="1801917583">
    <w:abstractNumId w:val="40"/>
  </w:num>
  <w:num w:numId="40" w16cid:durableId="919096947">
    <w:abstractNumId w:val="60"/>
  </w:num>
  <w:num w:numId="41" w16cid:durableId="1952861250">
    <w:abstractNumId w:val="43"/>
  </w:num>
  <w:num w:numId="42" w16cid:durableId="37433243">
    <w:abstractNumId w:val="33"/>
  </w:num>
  <w:num w:numId="43" w16cid:durableId="681056460">
    <w:abstractNumId w:val="4"/>
  </w:num>
  <w:num w:numId="44" w16cid:durableId="1126510031">
    <w:abstractNumId w:val="8"/>
  </w:num>
  <w:num w:numId="45" w16cid:durableId="795369095">
    <w:abstractNumId w:val="57"/>
  </w:num>
  <w:num w:numId="46" w16cid:durableId="1024213119">
    <w:abstractNumId w:val="22"/>
  </w:num>
  <w:num w:numId="47" w16cid:durableId="2037074217">
    <w:abstractNumId w:val="14"/>
  </w:num>
  <w:num w:numId="48" w16cid:durableId="1172180066">
    <w:abstractNumId w:val="68"/>
  </w:num>
  <w:num w:numId="49" w16cid:durableId="533272652">
    <w:abstractNumId w:val="19"/>
  </w:num>
  <w:num w:numId="50" w16cid:durableId="509367849">
    <w:abstractNumId w:val="42"/>
  </w:num>
  <w:num w:numId="51" w16cid:durableId="111246166">
    <w:abstractNumId w:val="21"/>
  </w:num>
  <w:num w:numId="52" w16cid:durableId="1562137502">
    <w:abstractNumId w:val="52"/>
  </w:num>
  <w:num w:numId="53" w16cid:durableId="1404330770">
    <w:abstractNumId w:val="16"/>
  </w:num>
  <w:num w:numId="54" w16cid:durableId="1253127093">
    <w:abstractNumId w:val="56"/>
  </w:num>
  <w:num w:numId="55" w16cid:durableId="468017071">
    <w:abstractNumId w:val="5"/>
  </w:num>
  <w:num w:numId="56" w16cid:durableId="1125391376">
    <w:abstractNumId w:val="44"/>
  </w:num>
  <w:num w:numId="57" w16cid:durableId="1731492682">
    <w:abstractNumId w:val="48"/>
  </w:num>
  <w:num w:numId="58" w16cid:durableId="1765491318">
    <w:abstractNumId w:val="13"/>
  </w:num>
  <w:num w:numId="59" w16cid:durableId="873275236">
    <w:abstractNumId w:val="12"/>
  </w:num>
  <w:num w:numId="60" w16cid:durableId="762796403">
    <w:abstractNumId w:val="49"/>
  </w:num>
  <w:num w:numId="61" w16cid:durableId="1086881154">
    <w:abstractNumId w:val="32"/>
  </w:num>
  <w:num w:numId="62" w16cid:durableId="596249896">
    <w:abstractNumId w:val="59"/>
  </w:num>
  <w:num w:numId="63" w16cid:durableId="1110122037">
    <w:abstractNumId w:val="35"/>
  </w:num>
  <w:num w:numId="64" w16cid:durableId="934174356">
    <w:abstractNumId w:val="20"/>
  </w:num>
  <w:num w:numId="65" w16cid:durableId="1074233154">
    <w:abstractNumId w:val="58"/>
  </w:num>
  <w:num w:numId="66" w16cid:durableId="283854407">
    <w:abstractNumId w:val="53"/>
  </w:num>
  <w:num w:numId="67" w16cid:durableId="1328559918">
    <w:abstractNumId w:val="1"/>
  </w:num>
  <w:num w:numId="68" w16cid:durableId="146897771">
    <w:abstractNumId w:val="17"/>
  </w:num>
  <w:num w:numId="69" w16cid:durableId="1769079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76"/>
    <w:rsid w:val="00004733"/>
    <w:rsid w:val="00031F3D"/>
    <w:rsid w:val="00064376"/>
    <w:rsid w:val="00095378"/>
    <w:rsid w:val="000A0B8C"/>
    <w:rsid w:val="000A6E26"/>
    <w:rsid w:val="000C6B98"/>
    <w:rsid w:val="000E6250"/>
    <w:rsid w:val="000F0E83"/>
    <w:rsid w:val="0015336C"/>
    <w:rsid w:val="00155B8E"/>
    <w:rsid w:val="00167ADC"/>
    <w:rsid w:val="00170342"/>
    <w:rsid w:val="001B06A0"/>
    <w:rsid w:val="001B54AC"/>
    <w:rsid w:val="001E4A47"/>
    <w:rsid w:val="001F1227"/>
    <w:rsid w:val="001F14A6"/>
    <w:rsid w:val="0020744A"/>
    <w:rsid w:val="00225C9E"/>
    <w:rsid w:val="00226ADE"/>
    <w:rsid w:val="00232CD7"/>
    <w:rsid w:val="002531BB"/>
    <w:rsid w:val="00313D15"/>
    <w:rsid w:val="00344590"/>
    <w:rsid w:val="00357BD5"/>
    <w:rsid w:val="00365F01"/>
    <w:rsid w:val="003852E0"/>
    <w:rsid w:val="00393CC9"/>
    <w:rsid w:val="003B4751"/>
    <w:rsid w:val="003C2355"/>
    <w:rsid w:val="003F5FB4"/>
    <w:rsid w:val="00415484"/>
    <w:rsid w:val="00463150"/>
    <w:rsid w:val="00480F10"/>
    <w:rsid w:val="00492533"/>
    <w:rsid w:val="004A1F50"/>
    <w:rsid w:val="004C7E24"/>
    <w:rsid w:val="004D64C8"/>
    <w:rsid w:val="004E1CA0"/>
    <w:rsid w:val="004E65DE"/>
    <w:rsid w:val="00511C73"/>
    <w:rsid w:val="00540365"/>
    <w:rsid w:val="00543B60"/>
    <w:rsid w:val="00571D1B"/>
    <w:rsid w:val="00591CF6"/>
    <w:rsid w:val="005A3E79"/>
    <w:rsid w:val="005C4157"/>
    <w:rsid w:val="005C5C88"/>
    <w:rsid w:val="00602005"/>
    <w:rsid w:val="00604D76"/>
    <w:rsid w:val="006534B5"/>
    <w:rsid w:val="00654F0C"/>
    <w:rsid w:val="00670036"/>
    <w:rsid w:val="00680B1F"/>
    <w:rsid w:val="00681623"/>
    <w:rsid w:val="006832CE"/>
    <w:rsid w:val="006C1F49"/>
    <w:rsid w:val="006D7DE7"/>
    <w:rsid w:val="0075426E"/>
    <w:rsid w:val="0076410B"/>
    <w:rsid w:val="007A2FBC"/>
    <w:rsid w:val="007A656C"/>
    <w:rsid w:val="00802089"/>
    <w:rsid w:val="00884337"/>
    <w:rsid w:val="008A4AFE"/>
    <w:rsid w:val="008B5F3F"/>
    <w:rsid w:val="008C63C3"/>
    <w:rsid w:val="008E31D8"/>
    <w:rsid w:val="009051B0"/>
    <w:rsid w:val="00967C70"/>
    <w:rsid w:val="00995BFB"/>
    <w:rsid w:val="009A4582"/>
    <w:rsid w:val="009C6C15"/>
    <w:rsid w:val="009D0907"/>
    <w:rsid w:val="00A07114"/>
    <w:rsid w:val="00A249FB"/>
    <w:rsid w:val="00A57A7C"/>
    <w:rsid w:val="00A677EF"/>
    <w:rsid w:val="00A7148E"/>
    <w:rsid w:val="00A76387"/>
    <w:rsid w:val="00AC66F1"/>
    <w:rsid w:val="00AD176D"/>
    <w:rsid w:val="00B834F5"/>
    <w:rsid w:val="00B8510D"/>
    <w:rsid w:val="00B855C4"/>
    <w:rsid w:val="00B87A50"/>
    <w:rsid w:val="00BA5849"/>
    <w:rsid w:val="00BC3980"/>
    <w:rsid w:val="00BC64FC"/>
    <w:rsid w:val="00BD3898"/>
    <w:rsid w:val="00BE57D9"/>
    <w:rsid w:val="00C236D7"/>
    <w:rsid w:val="00C372CA"/>
    <w:rsid w:val="00C54CE1"/>
    <w:rsid w:val="00C772A8"/>
    <w:rsid w:val="00CB4F14"/>
    <w:rsid w:val="00CC0659"/>
    <w:rsid w:val="00CE1BAC"/>
    <w:rsid w:val="00CE3A61"/>
    <w:rsid w:val="00D21260"/>
    <w:rsid w:val="00D616D7"/>
    <w:rsid w:val="00D6355F"/>
    <w:rsid w:val="00D86EC9"/>
    <w:rsid w:val="00D917D6"/>
    <w:rsid w:val="00E3099D"/>
    <w:rsid w:val="00E63866"/>
    <w:rsid w:val="00E817C8"/>
    <w:rsid w:val="00EA1346"/>
    <w:rsid w:val="00EA3BA1"/>
    <w:rsid w:val="00F054F5"/>
    <w:rsid w:val="00F16EE0"/>
    <w:rsid w:val="00F7380F"/>
    <w:rsid w:val="00FA5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FB77E"/>
  <w15:chartTrackingRefBased/>
  <w15:docId w15:val="{8A2A54D7-435E-6547-B5B4-9A0F667E8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9F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04D76"/>
    <w:pPr>
      <w:keepNext/>
      <w:keepLines/>
      <w:spacing w:before="360" w:after="80"/>
      <w:outlineLvl w:val="0"/>
    </w:pPr>
    <w:rPr>
      <w:rFonts w:asciiTheme="majorHAnsi" w:eastAsiaTheme="majorEastAsia" w:hAnsiTheme="majorHAnsi" w:cstheme="majorBidi"/>
      <w:color w:val="B77D00" w:themeColor="accent1" w:themeShade="BF"/>
      <w:sz w:val="40"/>
      <w:szCs w:val="40"/>
    </w:rPr>
  </w:style>
  <w:style w:type="paragraph" w:styleId="Heading2">
    <w:name w:val="heading 2"/>
    <w:basedOn w:val="Normal"/>
    <w:next w:val="Normal"/>
    <w:link w:val="Heading2Char"/>
    <w:uiPriority w:val="9"/>
    <w:semiHidden/>
    <w:unhideWhenUsed/>
    <w:qFormat/>
    <w:rsid w:val="00604D76"/>
    <w:pPr>
      <w:keepNext/>
      <w:keepLines/>
      <w:spacing w:before="160" w:after="80"/>
      <w:outlineLvl w:val="1"/>
    </w:pPr>
    <w:rPr>
      <w:rFonts w:asciiTheme="majorHAnsi" w:eastAsiaTheme="majorEastAsia" w:hAnsiTheme="majorHAnsi" w:cstheme="majorBidi"/>
      <w:color w:val="B77D00" w:themeColor="accent1" w:themeShade="BF"/>
      <w:sz w:val="32"/>
      <w:szCs w:val="32"/>
    </w:rPr>
  </w:style>
  <w:style w:type="paragraph" w:styleId="Heading3">
    <w:name w:val="heading 3"/>
    <w:basedOn w:val="Normal"/>
    <w:next w:val="Normal"/>
    <w:link w:val="Heading3Char"/>
    <w:uiPriority w:val="9"/>
    <w:unhideWhenUsed/>
    <w:qFormat/>
    <w:rsid w:val="00604D76"/>
    <w:pPr>
      <w:keepNext/>
      <w:keepLines/>
      <w:spacing w:before="160" w:after="80"/>
      <w:outlineLvl w:val="2"/>
    </w:pPr>
    <w:rPr>
      <w:rFonts w:eastAsiaTheme="majorEastAsia" w:cstheme="majorBidi"/>
      <w:color w:val="B77D00" w:themeColor="accent1" w:themeShade="BF"/>
      <w:sz w:val="28"/>
      <w:szCs w:val="28"/>
    </w:rPr>
  </w:style>
  <w:style w:type="paragraph" w:styleId="Heading4">
    <w:name w:val="heading 4"/>
    <w:basedOn w:val="Normal"/>
    <w:next w:val="Normal"/>
    <w:link w:val="Heading4Char"/>
    <w:uiPriority w:val="9"/>
    <w:semiHidden/>
    <w:unhideWhenUsed/>
    <w:qFormat/>
    <w:rsid w:val="00604D76"/>
    <w:pPr>
      <w:keepNext/>
      <w:keepLines/>
      <w:spacing w:before="80" w:after="40"/>
      <w:outlineLvl w:val="3"/>
    </w:pPr>
    <w:rPr>
      <w:rFonts w:eastAsiaTheme="majorEastAsia" w:cstheme="majorBidi"/>
      <w:i/>
      <w:iCs/>
      <w:color w:val="B77D00" w:themeColor="accent1" w:themeShade="BF"/>
    </w:rPr>
  </w:style>
  <w:style w:type="paragraph" w:styleId="Heading5">
    <w:name w:val="heading 5"/>
    <w:basedOn w:val="Normal"/>
    <w:next w:val="Normal"/>
    <w:link w:val="Heading5Char"/>
    <w:uiPriority w:val="9"/>
    <w:semiHidden/>
    <w:unhideWhenUsed/>
    <w:qFormat/>
    <w:rsid w:val="00604D76"/>
    <w:pPr>
      <w:keepNext/>
      <w:keepLines/>
      <w:spacing w:before="80" w:after="40"/>
      <w:outlineLvl w:val="4"/>
    </w:pPr>
    <w:rPr>
      <w:rFonts w:eastAsiaTheme="majorEastAsia" w:cstheme="majorBidi"/>
      <w:color w:val="B77D00" w:themeColor="accent1" w:themeShade="BF"/>
    </w:rPr>
  </w:style>
  <w:style w:type="paragraph" w:styleId="Heading6">
    <w:name w:val="heading 6"/>
    <w:basedOn w:val="Normal"/>
    <w:next w:val="Normal"/>
    <w:link w:val="Heading6Char"/>
    <w:uiPriority w:val="9"/>
    <w:semiHidden/>
    <w:unhideWhenUsed/>
    <w:qFormat/>
    <w:rsid w:val="00604D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D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D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D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D76"/>
    <w:rPr>
      <w:rFonts w:asciiTheme="majorHAnsi" w:eastAsiaTheme="majorEastAsia" w:hAnsiTheme="majorHAnsi" w:cstheme="majorBidi"/>
      <w:color w:val="B77D00" w:themeColor="accent1" w:themeShade="BF"/>
      <w:sz w:val="40"/>
      <w:szCs w:val="40"/>
    </w:rPr>
  </w:style>
  <w:style w:type="character" w:customStyle="1" w:styleId="Heading2Char">
    <w:name w:val="Heading 2 Char"/>
    <w:basedOn w:val="DefaultParagraphFont"/>
    <w:link w:val="Heading2"/>
    <w:uiPriority w:val="9"/>
    <w:semiHidden/>
    <w:rsid w:val="00604D76"/>
    <w:rPr>
      <w:rFonts w:asciiTheme="majorHAnsi" w:eastAsiaTheme="majorEastAsia" w:hAnsiTheme="majorHAnsi" w:cstheme="majorBidi"/>
      <w:color w:val="B77D00" w:themeColor="accent1" w:themeShade="BF"/>
      <w:sz w:val="32"/>
      <w:szCs w:val="32"/>
    </w:rPr>
  </w:style>
  <w:style w:type="character" w:customStyle="1" w:styleId="Heading3Char">
    <w:name w:val="Heading 3 Char"/>
    <w:basedOn w:val="DefaultParagraphFont"/>
    <w:link w:val="Heading3"/>
    <w:uiPriority w:val="9"/>
    <w:rsid w:val="00604D76"/>
    <w:rPr>
      <w:rFonts w:eastAsiaTheme="majorEastAsia" w:cstheme="majorBidi"/>
      <w:color w:val="B77D00" w:themeColor="accent1" w:themeShade="BF"/>
      <w:sz w:val="28"/>
      <w:szCs w:val="28"/>
    </w:rPr>
  </w:style>
  <w:style w:type="character" w:customStyle="1" w:styleId="Heading4Char">
    <w:name w:val="Heading 4 Char"/>
    <w:basedOn w:val="DefaultParagraphFont"/>
    <w:link w:val="Heading4"/>
    <w:uiPriority w:val="9"/>
    <w:semiHidden/>
    <w:rsid w:val="00604D76"/>
    <w:rPr>
      <w:rFonts w:eastAsiaTheme="majorEastAsia" w:cstheme="majorBidi"/>
      <w:i/>
      <w:iCs/>
      <w:color w:val="B77D00" w:themeColor="accent1" w:themeShade="BF"/>
    </w:rPr>
  </w:style>
  <w:style w:type="character" w:customStyle="1" w:styleId="Heading5Char">
    <w:name w:val="Heading 5 Char"/>
    <w:basedOn w:val="DefaultParagraphFont"/>
    <w:link w:val="Heading5"/>
    <w:uiPriority w:val="9"/>
    <w:semiHidden/>
    <w:rsid w:val="00604D76"/>
    <w:rPr>
      <w:rFonts w:eastAsiaTheme="majorEastAsia" w:cstheme="majorBidi"/>
      <w:color w:val="B77D00" w:themeColor="accent1" w:themeShade="BF"/>
    </w:rPr>
  </w:style>
  <w:style w:type="character" w:customStyle="1" w:styleId="Heading6Char">
    <w:name w:val="Heading 6 Char"/>
    <w:basedOn w:val="DefaultParagraphFont"/>
    <w:link w:val="Heading6"/>
    <w:uiPriority w:val="9"/>
    <w:semiHidden/>
    <w:rsid w:val="0060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D76"/>
    <w:rPr>
      <w:rFonts w:eastAsiaTheme="majorEastAsia" w:cstheme="majorBidi"/>
      <w:color w:val="272727" w:themeColor="text1" w:themeTint="D8"/>
    </w:rPr>
  </w:style>
  <w:style w:type="paragraph" w:styleId="Title">
    <w:name w:val="Title"/>
    <w:basedOn w:val="Normal"/>
    <w:next w:val="Normal"/>
    <w:link w:val="TitleChar"/>
    <w:uiPriority w:val="10"/>
    <w:qFormat/>
    <w:rsid w:val="00604D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D76"/>
    <w:pPr>
      <w:spacing w:before="160"/>
      <w:jc w:val="center"/>
    </w:pPr>
    <w:rPr>
      <w:i/>
      <w:iCs/>
      <w:color w:val="404040" w:themeColor="text1" w:themeTint="BF"/>
    </w:rPr>
  </w:style>
  <w:style w:type="character" w:customStyle="1" w:styleId="QuoteChar">
    <w:name w:val="Quote Char"/>
    <w:basedOn w:val="DefaultParagraphFont"/>
    <w:link w:val="Quote"/>
    <w:uiPriority w:val="29"/>
    <w:rsid w:val="00604D76"/>
    <w:rPr>
      <w:i/>
      <w:iCs/>
      <w:color w:val="404040" w:themeColor="text1" w:themeTint="BF"/>
    </w:rPr>
  </w:style>
  <w:style w:type="paragraph" w:styleId="ListParagraph">
    <w:name w:val="List Paragraph"/>
    <w:basedOn w:val="Normal"/>
    <w:uiPriority w:val="34"/>
    <w:qFormat/>
    <w:rsid w:val="00604D76"/>
    <w:pPr>
      <w:ind w:left="720"/>
      <w:contextualSpacing/>
    </w:pPr>
  </w:style>
  <w:style w:type="character" w:styleId="IntenseEmphasis">
    <w:name w:val="Intense Emphasis"/>
    <w:basedOn w:val="DefaultParagraphFont"/>
    <w:uiPriority w:val="21"/>
    <w:qFormat/>
    <w:rsid w:val="00604D76"/>
    <w:rPr>
      <w:i/>
      <w:iCs/>
      <w:color w:val="B77D00" w:themeColor="accent1" w:themeShade="BF"/>
    </w:rPr>
  </w:style>
  <w:style w:type="paragraph" w:styleId="IntenseQuote">
    <w:name w:val="Intense Quote"/>
    <w:basedOn w:val="Normal"/>
    <w:next w:val="Normal"/>
    <w:link w:val="IntenseQuoteChar"/>
    <w:uiPriority w:val="30"/>
    <w:qFormat/>
    <w:rsid w:val="00604D76"/>
    <w:pPr>
      <w:pBdr>
        <w:top w:val="single" w:sz="4" w:space="10" w:color="B77D00" w:themeColor="accent1" w:themeShade="BF"/>
        <w:bottom w:val="single" w:sz="4" w:space="10" w:color="B77D00" w:themeColor="accent1" w:themeShade="BF"/>
      </w:pBdr>
      <w:spacing w:before="360" w:after="360"/>
      <w:ind w:left="864" w:right="864"/>
      <w:jc w:val="center"/>
    </w:pPr>
    <w:rPr>
      <w:i/>
      <w:iCs/>
      <w:color w:val="B77D00" w:themeColor="accent1" w:themeShade="BF"/>
    </w:rPr>
  </w:style>
  <w:style w:type="character" w:customStyle="1" w:styleId="IntenseQuoteChar">
    <w:name w:val="Intense Quote Char"/>
    <w:basedOn w:val="DefaultParagraphFont"/>
    <w:link w:val="IntenseQuote"/>
    <w:uiPriority w:val="30"/>
    <w:rsid w:val="00604D76"/>
    <w:rPr>
      <w:i/>
      <w:iCs/>
      <w:color w:val="B77D00" w:themeColor="accent1" w:themeShade="BF"/>
    </w:rPr>
  </w:style>
  <w:style w:type="character" w:styleId="IntenseReference">
    <w:name w:val="Intense Reference"/>
    <w:basedOn w:val="DefaultParagraphFont"/>
    <w:uiPriority w:val="32"/>
    <w:qFormat/>
    <w:rsid w:val="00604D76"/>
    <w:rPr>
      <w:b/>
      <w:bCs/>
      <w:smallCaps/>
      <w:color w:val="B77D00" w:themeColor="accent1" w:themeShade="BF"/>
      <w:spacing w:val="5"/>
    </w:rPr>
  </w:style>
  <w:style w:type="paragraph" w:styleId="Header">
    <w:name w:val="header"/>
    <w:basedOn w:val="Normal"/>
    <w:link w:val="HeaderChar"/>
    <w:uiPriority w:val="99"/>
    <w:unhideWhenUsed/>
    <w:rsid w:val="00604D76"/>
    <w:pPr>
      <w:tabs>
        <w:tab w:val="center" w:pos="4680"/>
        <w:tab w:val="right" w:pos="9360"/>
      </w:tabs>
    </w:pPr>
  </w:style>
  <w:style w:type="character" w:customStyle="1" w:styleId="HeaderChar">
    <w:name w:val="Header Char"/>
    <w:basedOn w:val="DefaultParagraphFont"/>
    <w:link w:val="Header"/>
    <w:uiPriority w:val="99"/>
    <w:rsid w:val="00604D76"/>
  </w:style>
  <w:style w:type="paragraph" w:styleId="Footer">
    <w:name w:val="footer"/>
    <w:basedOn w:val="Normal"/>
    <w:link w:val="FooterChar"/>
    <w:uiPriority w:val="99"/>
    <w:unhideWhenUsed/>
    <w:rsid w:val="00604D76"/>
    <w:pPr>
      <w:tabs>
        <w:tab w:val="center" w:pos="4680"/>
        <w:tab w:val="right" w:pos="9360"/>
      </w:tabs>
    </w:pPr>
  </w:style>
  <w:style w:type="character" w:customStyle="1" w:styleId="FooterChar">
    <w:name w:val="Footer Char"/>
    <w:basedOn w:val="DefaultParagraphFont"/>
    <w:link w:val="Footer"/>
    <w:uiPriority w:val="99"/>
    <w:rsid w:val="00604D76"/>
  </w:style>
  <w:style w:type="table" w:styleId="TableGrid">
    <w:name w:val="Table Grid"/>
    <w:basedOn w:val="TableNormal"/>
    <w:uiPriority w:val="39"/>
    <w:rsid w:val="00095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095378"/>
    <w:pPr>
      <w:autoSpaceDE w:val="0"/>
      <w:autoSpaceDN w:val="0"/>
      <w:adjustRightInd w:val="0"/>
      <w:spacing w:line="288" w:lineRule="auto"/>
      <w:textAlignment w:val="center"/>
    </w:pPr>
    <w:rPr>
      <w:rFonts w:ascii="MinionPro-Regular" w:hAnsi="MinionPro-Regular" w:cs="MinionPro-Regular"/>
      <w:color w:val="000000"/>
    </w:rPr>
  </w:style>
  <w:style w:type="character" w:customStyle="1" w:styleId="Bold">
    <w:name w:val="Bold"/>
    <w:uiPriority w:val="99"/>
    <w:rsid w:val="00095378"/>
    <w:rPr>
      <w:b/>
      <w:bCs/>
      <w:color w:val="000000"/>
    </w:rPr>
  </w:style>
  <w:style w:type="paragraph" w:customStyle="1" w:styleId="CoverTitle-Arial48pt">
    <w:name w:val="Cover Title - Arial 48pt"/>
    <w:basedOn w:val="Normal"/>
    <w:qFormat/>
    <w:rsid w:val="001E4A47"/>
    <w:pPr>
      <w:spacing w:after="360" w:line="204" w:lineRule="auto"/>
      <w:ind w:right="1134"/>
    </w:pPr>
    <w:rPr>
      <w:rFonts w:ascii="Arial" w:hAnsi="Arial" w:cs="Arial"/>
      <w:b/>
      <w:bCs/>
      <w:spacing w:val="-30"/>
      <w:sz w:val="96"/>
      <w:szCs w:val="96"/>
    </w:rPr>
  </w:style>
  <w:style w:type="paragraph" w:customStyle="1" w:styleId="CoverText-Arial24pt">
    <w:name w:val="Cover Text - Arial 24pt"/>
    <w:qFormat/>
    <w:rsid w:val="001E4A47"/>
    <w:pPr>
      <w:spacing w:after="0" w:line="204" w:lineRule="auto"/>
      <w:ind w:right="1134"/>
    </w:pPr>
    <w:rPr>
      <w:rFonts w:ascii="Arial" w:hAnsi="Arial" w:cs="Arial"/>
      <w:bCs/>
      <w:spacing w:val="-5"/>
      <w:sz w:val="48"/>
      <w:szCs w:val="96"/>
    </w:rPr>
  </w:style>
  <w:style w:type="character" w:styleId="PageNumber">
    <w:name w:val="page number"/>
    <w:basedOn w:val="DefaultParagraphFont"/>
    <w:uiPriority w:val="99"/>
    <w:semiHidden/>
    <w:unhideWhenUsed/>
    <w:rsid w:val="007A2FBC"/>
  </w:style>
  <w:style w:type="paragraph" w:styleId="NoSpacing">
    <w:name w:val="No Spacing"/>
    <w:link w:val="NoSpacingChar"/>
    <w:uiPriority w:val="1"/>
    <w:qFormat/>
    <w:rsid w:val="00F054F5"/>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F054F5"/>
    <w:rPr>
      <w:rFonts w:eastAsiaTheme="minorEastAsia"/>
      <w:kern w:val="0"/>
      <w:sz w:val="22"/>
      <w:szCs w:val="22"/>
      <w:lang w:eastAsia="zh-CN"/>
      <w14:ligatures w14:val="none"/>
    </w:rPr>
  </w:style>
  <w:style w:type="paragraph" w:styleId="Revision">
    <w:name w:val="Revision"/>
    <w:hidden/>
    <w:uiPriority w:val="99"/>
    <w:semiHidden/>
    <w:rsid w:val="00492533"/>
    <w:pPr>
      <w:spacing w:after="0" w:line="240" w:lineRule="auto"/>
    </w:pPr>
  </w:style>
  <w:style w:type="paragraph" w:customStyle="1" w:styleId="BodyCopy-Arial10pt">
    <w:name w:val="Body Copy - Arial 10pt"/>
    <w:qFormat/>
    <w:rsid w:val="00AD176D"/>
    <w:pPr>
      <w:spacing w:after="180" w:line="288" w:lineRule="auto"/>
    </w:pPr>
    <w:rPr>
      <w:rFonts w:ascii="Arial" w:hAnsi="Arial" w:cs="Arial"/>
      <w:bCs/>
      <w:spacing w:val="-2"/>
      <w:sz w:val="20"/>
      <w:szCs w:val="20"/>
    </w:rPr>
  </w:style>
  <w:style w:type="paragraph" w:customStyle="1" w:styleId="HeadingStyle2-14pt">
    <w:name w:val="Heading Style 2 - 14pt"/>
    <w:basedOn w:val="BodyCopy-Arial10pt"/>
    <w:qFormat/>
    <w:rsid w:val="00681623"/>
    <w:pPr>
      <w:spacing w:before="360" w:after="0"/>
    </w:pPr>
    <w:rPr>
      <w:b/>
      <w:bCs w:val="0"/>
      <w:sz w:val="28"/>
      <w:szCs w:val="28"/>
    </w:rPr>
  </w:style>
  <w:style w:type="paragraph" w:customStyle="1" w:styleId="HeadingStyle3-12pt">
    <w:name w:val="Heading Style 3 - 12pt"/>
    <w:basedOn w:val="HeadingStyle2-14pt"/>
    <w:qFormat/>
    <w:rsid w:val="00681623"/>
    <w:rPr>
      <w:spacing w:val="0"/>
      <w:sz w:val="24"/>
      <w:szCs w:val="24"/>
    </w:rPr>
  </w:style>
  <w:style w:type="paragraph" w:customStyle="1" w:styleId="HeadingStyle1-18pt">
    <w:name w:val="Heading Style 1 - 18pt"/>
    <w:basedOn w:val="HeadingStyle2-14pt"/>
    <w:qFormat/>
    <w:rsid w:val="00681623"/>
    <w:rPr>
      <w:sz w:val="36"/>
      <w:szCs w:val="36"/>
    </w:rPr>
  </w:style>
  <w:style w:type="table" w:styleId="GridTable1Light-Accent1">
    <w:name w:val="Grid Table 1 Light Accent 1"/>
    <w:basedOn w:val="TableNormal"/>
    <w:uiPriority w:val="46"/>
    <w:rsid w:val="00B87A50"/>
    <w:pPr>
      <w:spacing w:after="0" w:line="240" w:lineRule="auto"/>
    </w:pPr>
    <w:tblPr>
      <w:tblStyleRowBandSize w:val="1"/>
      <w:tblStyleColBandSize w:val="1"/>
      <w:tblBorders>
        <w:top w:val="single" w:sz="4" w:space="0" w:color="FFDD95" w:themeColor="accent1" w:themeTint="66"/>
        <w:left w:val="single" w:sz="4" w:space="0" w:color="FFDD95" w:themeColor="accent1" w:themeTint="66"/>
        <w:bottom w:val="single" w:sz="4" w:space="0" w:color="FFDD95" w:themeColor="accent1" w:themeTint="66"/>
        <w:right w:val="single" w:sz="4" w:space="0" w:color="FFDD95" w:themeColor="accent1" w:themeTint="66"/>
        <w:insideH w:val="single" w:sz="4" w:space="0" w:color="FFDD95" w:themeColor="accent1" w:themeTint="66"/>
        <w:insideV w:val="single" w:sz="4" w:space="0" w:color="FFDD95" w:themeColor="accent1" w:themeTint="66"/>
      </w:tblBorders>
    </w:tblPr>
    <w:tblStylePr w:type="firstRow">
      <w:rPr>
        <w:b/>
        <w:bCs/>
      </w:rPr>
      <w:tblPr/>
      <w:tcPr>
        <w:tcBorders>
          <w:bottom w:val="single" w:sz="12" w:space="0" w:color="FFCC60" w:themeColor="accent1" w:themeTint="99"/>
        </w:tcBorders>
      </w:tcPr>
    </w:tblStylePr>
    <w:tblStylePr w:type="lastRow">
      <w:rPr>
        <w:b/>
        <w:bCs/>
      </w:rPr>
      <w:tblPr/>
      <w:tcPr>
        <w:tcBorders>
          <w:top w:val="double" w:sz="2" w:space="0" w:color="FFCC60"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B87A50"/>
    <w:pPr>
      <w:spacing w:after="0" w:line="240" w:lineRule="auto"/>
    </w:pPr>
    <w:tblPr>
      <w:tblStyleRowBandSize w:val="1"/>
      <w:tblStyleColBandSize w:val="1"/>
      <w:tblBorders>
        <w:top w:val="single" w:sz="2" w:space="0" w:color="FFCC60" w:themeColor="accent1" w:themeTint="99"/>
        <w:bottom w:val="single" w:sz="2" w:space="0" w:color="FFCC60" w:themeColor="accent1" w:themeTint="99"/>
        <w:insideH w:val="single" w:sz="2" w:space="0" w:color="FFCC60" w:themeColor="accent1" w:themeTint="99"/>
        <w:insideV w:val="single" w:sz="2" w:space="0" w:color="FFCC60" w:themeColor="accent1" w:themeTint="99"/>
      </w:tblBorders>
    </w:tblPr>
    <w:tblStylePr w:type="firstRow">
      <w:rPr>
        <w:b/>
        <w:bCs/>
      </w:rPr>
      <w:tblPr/>
      <w:tcPr>
        <w:tcBorders>
          <w:top w:val="nil"/>
          <w:bottom w:val="single" w:sz="12" w:space="0" w:color="FFCC60" w:themeColor="accent1" w:themeTint="99"/>
          <w:insideH w:val="nil"/>
          <w:insideV w:val="nil"/>
        </w:tcBorders>
        <w:shd w:val="clear" w:color="auto" w:fill="FFFFFF" w:themeFill="background1"/>
      </w:tcPr>
    </w:tblStylePr>
    <w:tblStylePr w:type="lastRow">
      <w:rPr>
        <w:b/>
        <w:bCs/>
      </w:rPr>
      <w:tblPr/>
      <w:tcPr>
        <w:tcBorders>
          <w:top w:val="double" w:sz="2" w:space="0" w:color="FFCC6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ECA" w:themeFill="accent1" w:themeFillTint="33"/>
      </w:tcPr>
    </w:tblStylePr>
    <w:tblStylePr w:type="band1Horz">
      <w:tblPr/>
      <w:tcPr>
        <w:shd w:val="clear" w:color="auto" w:fill="FFEECA" w:themeFill="accent1" w:themeFillTint="33"/>
      </w:tcPr>
    </w:tblStylePr>
  </w:style>
  <w:style w:type="table" w:styleId="GridTable3-Accent1">
    <w:name w:val="Grid Table 3 Accent 1"/>
    <w:basedOn w:val="TableNormal"/>
    <w:uiPriority w:val="48"/>
    <w:rsid w:val="00B87A50"/>
    <w:pPr>
      <w:spacing w:after="0" w:line="240" w:lineRule="auto"/>
    </w:pPr>
    <w:tblPr>
      <w:tblStyleRowBandSize w:val="1"/>
      <w:tblStyleColBandSize w:val="1"/>
      <w:tblBorders>
        <w:top w:val="single" w:sz="4" w:space="0" w:color="FFCC60" w:themeColor="accent1" w:themeTint="99"/>
        <w:left w:val="single" w:sz="4" w:space="0" w:color="FFCC60" w:themeColor="accent1" w:themeTint="99"/>
        <w:bottom w:val="single" w:sz="4" w:space="0" w:color="FFCC60" w:themeColor="accent1" w:themeTint="99"/>
        <w:right w:val="single" w:sz="4" w:space="0" w:color="FFCC60" w:themeColor="accent1" w:themeTint="99"/>
        <w:insideH w:val="single" w:sz="4" w:space="0" w:color="FFCC60" w:themeColor="accent1" w:themeTint="99"/>
        <w:insideV w:val="single" w:sz="4" w:space="0" w:color="FFCC6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ECA" w:themeFill="accent1" w:themeFillTint="33"/>
      </w:tcPr>
    </w:tblStylePr>
    <w:tblStylePr w:type="band1Horz">
      <w:tblPr/>
      <w:tcPr>
        <w:shd w:val="clear" w:color="auto" w:fill="FFEECA" w:themeFill="accent1" w:themeFillTint="33"/>
      </w:tcPr>
    </w:tblStylePr>
    <w:tblStylePr w:type="neCell">
      <w:tblPr/>
      <w:tcPr>
        <w:tcBorders>
          <w:bottom w:val="single" w:sz="4" w:space="0" w:color="FFCC60" w:themeColor="accent1" w:themeTint="99"/>
        </w:tcBorders>
      </w:tcPr>
    </w:tblStylePr>
    <w:tblStylePr w:type="nwCell">
      <w:tblPr/>
      <w:tcPr>
        <w:tcBorders>
          <w:bottom w:val="single" w:sz="4" w:space="0" w:color="FFCC60" w:themeColor="accent1" w:themeTint="99"/>
        </w:tcBorders>
      </w:tcPr>
    </w:tblStylePr>
    <w:tblStylePr w:type="seCell">
      <w:tblPr/>
      <w:tcPr>
        <w:tcBorders>
          <w:top w:val="single" w:sz="4" w:space="0" w:color="FFCC60" w:themeColor="accent1" w:themeTint="99"/>
        </w:tcBorders>
      </w:tcPr>
    </w:tblStylePr>
    <w:tblStylePr w:type="swCell">
      <w:tblPr/>
      <w:tcPr>
        <w:tcBorders>
          <w:top w:val="single" w:sz="4" w:space="0" w:color="FFCC60" w:themeColor="accent1" w:themeTint="99"/>
        </w:tcBorders>
      </w:tcPr>
    </w:tblStylePr>
  </w:style>
  <w:style w:type="table" w:styleId="GridTable6Colorful-Accent1">
    <w:name w:val="Grid Table 6 Colorful Accent 1"/>
    <w:basedOn w:val="TableNormal"/>
    <w:uiPriority w:val="51"/>
    <w:rsid w:val="00B87A50"/>
    <w:pPr>
      <w:spacing w:after="0" w:line="240" w:lineRule="auto"/>
    </w:pPr>
    <w:rPr>
      <w:color w:val="B77D00" w:themeColor="accent1" w:themeShade="BF"/>
    </w:rPr>
    <w:tblPr>
      <w:tblStyleRowBandSize w:val="1"/>
      <w:tblStyleColBandSize w:val="1"/>
      <w:tblBorders>
        <w:top w:val="single" w:sz="4" w:space="0" w:color="FFCC60" w:themeColor="accent1" w:themeTint="99"/>
        <w:left w:val="single" w:sz="4" w:space="0" w:color="FFCC60" w:themeColor="accent1" w:themeTint="99"/>
        <w:bottom w:val="single" w:sz="4" w:space="0" w:color="FFCC60" w:themeColor="accent1" w:themeTint="99"/>
        <w:right w:val="single" w:sz="4" w:space="0" w:color="FFCC60" w:themeColor="accent1" w:themeTint="99"/>
        <w:insideH w:val="single" w:sz="4" w:space="0" w:color="FFCC60" w:themeColor="accent1" w:themeTint="99"/>
        <w:insideV w:val="single" w:sz="4" w:space="0" w:color="FFCC60" w:themeColor="accent1" w:themeTint="99"/>
      </w:tblBorders>
    </w:tblPr>
    <w:tblStylePr w:type="firstRow">
      <w:rPr>
        <w:b/>
        <w:bCs/>
      </w:rPr>
      <w:tblPr/>
      <w:tcPr>
        <w:tcBorders>
          <w:bottom w:val="single" w:sz="12" w:space="0" w:color="FFCC60" w:themeColor="accent1" w:themeTint="99"/>
        </w:tcBorders>
      </w:tcPr>
    </w:tblStylePr>
    <w:tblStylePr w:type="lastRow">
      <w:rPr>
        <w:b/>
        <w:bCs/>
      </w:rPr>
      <w:tblPr/>
      <w:tcPr>
        <w:tcBorders>
          <w:top w:val="double" w:sz="4" w:space="0" w:color="FFCC60" w:themeColor="accent1" w:themeTint="99"/>
        </w:tcBorders>
      </w:tcPr>
    </w:tblStylePr>
    <w:tblStylePr w:type="firstCol">
      <w:rPr>
        <w:b/>
        <w:bCs/>
      </w:rPr>
    </w:tblStylePr>
    <w:tblStylePr w:type="lastCol">
      <w:rPr>
        <w:b/>
        <w:bCs/>
      </w:rPr>
    </w:tblStylePr>
    <w:tblStylePr w:type="band1Vert">
      <w:tblPr/>
      <w:tcPr>
        <w:shd w:val="clear" w:color="auto" w:fill="FFEECA" w:themeFill="accent1" w:themeFillTint="33"/>
      </w:tcPr>
    </w:tblStylePr>
    <w:tblStylePr w:type="band1Horz">
      <w:tblPr/>
      <w:tcPr>
        <w:shd w:val="clear" w:color="auto" w:fill="FFEECA" w:themeFill="accent1" w:themeFillTint="33"/>
      </w:tcPr>
    </w:tblStylePr>
  </w:style>
  <w:style w:type="table" w:styleId="ListTable2-Accent1">
    <w:name w:val="List Table 2 Accent 1"/>
    <w:basedOn w:val="TableNormal"/>
    <w:uiPriority w:val="47"/>
    <w:rsid w:val="00B87A50"/>
    <w:pPr>
      <w:spacing w:after="0" w:line="240" w:lineRule="auto"/>
    </w:pPr>
    <w:tblPr>
      <w:tblStyleRowBandSize w:val="1"/>
      <w:tblStyleColBandSize w:val="1"/>
      <w:tblBorders>
        <w:top w:val="single" w:sz="4" w:space="0" w:color="FFCC60" w:themeColor="accent1" w:themeTint="99"/>
        <w:bottom w:val="single" w:sz="4" w:space="0" w:color="FFCC60" w:themeColor="accent1" w:themeTint="99"/>
        <w:insideH w:val="single" w:sz="4" w:space="0" w:color="FFCC6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ECA" w:themeFill="accent1" w:themeFillTint="33"/>
      </w:tcPr>
    </w:tblStylePr>
    <w:tblStylePr w:type="band1Horz">
      <w:tblPr/>
      <w:tcPr>
        <w:shd w:val="clear" w:color="auto" w:fill="FFEECA" w:themeFill="accent1" w:themeFillTint="33"/>
      </w:tcPr>
    </w:tblStylePr>
  </w:style>
  <w:style w:type="paragraph" w:customStyle="1" w:styleId="Body10142afterCrowe-A4Brochure">
    <w:name w:val="Body 10 / 14 / 2 after (Crowe  - A4 Brochure)"/>
    <w:basedOn w:val="Normal"/>
    <w:uiPriority w:val="99"/>
    <w:rsid w:val="00B855C4"/>
    <w:pPr>
      <w:suppressAutoHyphens/>
      <w:autoSpaceDE w:val="0"/>
      <w:autoSpaceDN w:val="0"/>
      <w:adjustRightInd w:val="0"/>
      <w:spacing w:after="113" w:line="280" w:lineRule="atLeast"/>
      <w:textAlignment w:val="center"/>
    </w:pPr>
    <w:rPr>
      <w:rFonts w:ascii="Helvetica Neue" w:eastAsiaTheme="minorHAnsi" w:hAnsi="Helvetica Neue" w:cs="Helvetica Neue"/>
      <w:color w:val="000000"/>
      <w:sz w:val="20"/>
      <w:szCs w:val="20"/>
      <w14:ligatures w14:val="standardContextual"/>
    </w:rPr>
  </w:style>
  <w:style w:type="character" w:styleId="Hyperlink">
    <w:name w:val="Hyperlink"/>
    <w:basedOn w:val="DefaultParagraphFont"/>
    <w:uiPriority w:val="99"/>
    <w:rsid w:val="00B855C4"/>
    <w:rPr>
      <w:u w:val="thick" w:color="F5A800"/>
    </w:rPr>
  </w:style>
  <w:style w:type="character" w:styleId="UnresolvedMention">
    <w:name w:val="Unresolved Mention"/>
    <w:basedOn w:val="DefaultParagraphFont"/>
    <w:uiPriority w:val="99"/>
    <w:semiHidden/>
    <w:unhideWhenUsed/>
    <w:rsid w:val="00B855C4"/>
    <w:rPr>
      <w:color w:val="605E5C"/>
      <w:shd w:val="clear" w:color="auto" w:fill="E1DFDD"/>
    </w:rPr>
  </w:style>
  <w:style w:type="paragraph" w:customStyle="1" w:styleId="CoverText-Aprial18pt">
    <w:name w:val="Cover Text - Aprial 18pt"/>
    <w:basedOn w:val="CoverText-Arial24pt"/>
    <w:qFormat/>
    <w:rsid w:val="001E4A47"/>
    <w:rPr>
      <w:color w:val="000000" w:themeColor="text1"/>
      <w:sz w:val="36"/>
      <w:szCs w:val="36"/>
    </w:rPr>
  </w:style>
  <w:style w:type="paragraph" w:customStyle="1" w:styleId="p1">
    <w:name w:val="p1"/>
    <w:basedOn w:val="Normal"/>
    <w:rsid w:val="00A249FB"/>
    <w:pPr>
      <w:spacing w:before="100" w:beforeAutospacing="1" w:after="100" w:afterAutospacing="1"/>
    </w:pPr>
  </w:style>
  <w:style w:type="character" w:customStyle="1" w:styleId="s1">
    <w:name w:val="s1"/>
    <w:basedOn w:val="DefaultParagraphFont"/>
    <w:rsid w:val="00A249FB"/>
  </w:style>
  <w:style w:type="paragraph" w:customStyle="1" w:styleId="p3">
    <w:name w:val="p3"/>
    <w:basedOn w:val="Normal"/>
    <w:rsid w:val="00A249FB"/>
    <w:pPr>
      <w:spacing w:before="100" w:beforeAutospacing="1" w:after="100" w:afterAutospacing="1"/>
    </w:pPr>
  </w:style>
  <w:style w:type="paragraph" w:customStyle="1" w:styleId="p2">
    <w:name w:val="p2"/>
    <w:basedOn w:val="Normal"/>
    <w:rsid w:val="00A249FB"/>
    <w:pPr>
      <w:spacing w:before="100" w:beforeAutospacing="1" w:after="100" w:afterAutospacing="1"/>
    </w:pPr>
  </w:style>
  <w:style w:type="character" w:customStyle="1" w:styleId="s2">
    <w:name w:val="s2"/>
    <w:basedOn w:val="DefaultParagraphFont"/>
    <w:rsid w:val="00A249FB"/>
  </w:style>
  <w:style w:type="paragraph" w:customStyle="1" w:styleId="p4">
    <w:name w:val="p4"/>
    <w:basedOn w:val="Normal"/>
    <w:rsid w:val="00A249FB"/>
    <w:pPr>
      <w:spacing w:before="100" w:beforeAutospacing="1" w:after="100" w:afterAutospacing="1"/>
    </w:pPr>
  </w:style>
  <w:style w:type="character" w:customStyle="1" w:styleId="s3">
    <w:name w:val="s3"/>
    <w:basedOn w:val="DefaultParagraphFont"/>
    <w:rsid w:val="00A249FB"/>
  </w:style>
  <w:style w:type="paragraph" w:styleId="NormalWeb">
    <w:name w:val="Normal (Web)"/>
    <w:basedOn w:val="Normal"/>
    <w:uiPriority w:val="99"/>
    <w:unhideWhenUsed/>
    <w:rsid w:val="004C7E24"/>
    <w:pPr>
      <w:spacing w:before="100" w:beforeAutospacing="1" w:after="100" w:afterAutospacing="1"/>
    </w:pPr>
  </w:style>
  <w:style w:type="character" w:customStyle="1" w:styleId="apple-converted-space">
    <w:name w:val="apple-converted-space"/>
    <w:basedOn w:val="DefaultParagraphFont"/>
    <w:rsid w:val="004C7E24"/>
  </w:style>
  <w:style w:type="character" w:styleId="Strong">
    <w:name w:val="Strong"/>
    <w:basedOn w:val="DefaultParagraphFont"/>
    <w:uiPriority w:val="22"/>
    <w:qFormat/>
    <w:rsid w:val="00D212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rowe Global">
      <a:dk1>
        <a:srgbClr val="000000"/>
      </a:dk1>
      <a:lt1>
        <a:srgbClr val="FFFFFF"/>
      </a:lt1>
      <a:dk2>
        <a:srgbClr val="011E41"/>
      </a:dk2>
      <a:lt2>
        <a:srgbClr val="FFFFFF"/>
      </a:lt2>
      <a:accent1>
        <a:srgbClr val="F5A800"/>
      </a:accent1>
      <a:accent2>
        <a:srgbClr val="003F9F"/>
      </a:accent2>
      <a:accent3>
        <a:srgbClr val="54C0E8"/>
      </a:accent3>
      <a:accent4>
        <a:srgbClr val="05AB8C"/>
      </a:accent4>
      <a:accent5>
        <a:srgbClr val="B14FC5"/>
      </a:accent5>
      <a:accent6>
        <a:srgbClr val="E5376B"/>
      </a:accent6>
      <a:hlink>
        <a:srgbClr val="0075C9"/>
      </a:hlink>
      <a:folHlink>
        <a:srgbClr val="32A8F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custClrLst>
    <a:custClr name="Crowe Amber Bright">
      <a:srgbClr val="FFD231"/>
    </a:custClr>
    <a:custClr name="Crowe Indigo Bright">
      <a:srgbClr val="003F9F"/>
    </a:custClr>
    <a:custClr name="Crowe Teal Bright">
      <a:srgbClr val="16D9BC"/>
    </a:custClr>
    <a:custClr name="Crowe Cyan Bright">
      <a:srgbClr val="8FE1FF"/>
    </a:custClr>
    <a:custClr name="Crowe Blue Bright">
      <a:srgbClr val="32A8FD"/>
    </a:custClr>
    <a:custClr name="Crowe Violet Bright">
      <a:srgbClr val="EA80FF"/>
    </a:custClr>
    <a:custClr name="Crowe Coral Bright">
      <a:srgbClr val="FF526F"/>
    </a:custClr>
    <a:custClr name="Blank">
      <a:srgbClr val="FFFFFF"/>
    </a:custClr>
    <a:custClr name="Blank">
      <a:srgbClr val="FFFFFF"/>
    </a:custClr>
    <a:custClr name="Blank">
      <a:srgbClr val="FFFFFF"/>
    </a:custClr>
    <a:custClr name="Crowe Amber">
      <a:srgbClr val="F5A800"/>
    </a:custClr>
    <a:custClr name="Crowe Indigo Medium">
      <a:srgbClr val="002E62"/>
    </a:custClr>
    <a:custClr name="Crowe Teal">
      <a:srgbClr val="05AB8C"/>
    </a:custClr>
    <a:custClr name="Crowe Cyan">
      <a:srgbClr val="54C0E8"/>
    </a:custClr>
    <a:custClr name="Crowe Blue">
      <a:srgbClr val="0075C9"/>
    </a:custClr>
    <a:custClr name="Crowe Violet">
      <a:srgbClr val="B14FC5"/>
    </a:custClr>
    <a:custClr name="Crowe Coral">
      <a:srgbClr val="E5376B"/>
    </a:custClr>
    <a:custClr name="Blank">
      <a:srgbClr val="FFFFFF"/>
    </a:custClr>
    <a:custClr name="Blank">
      <a:srgbClr val="FFFFFF"/>
    </a:custClr>
    <a:custClr name="Blank">
      <a:srgbClr val="FFFFFF"/>
    </a:custClr>
    <a:custClr name="Crowe Amber Dark">
      <a:srgbClr val="D7761D"/>
    </a:custClr>
    <a:custClr name="Crowe Indigo">
      <a:srgbClr val="011E41"/>
    </a:custClr>
    <a:custClr name="Crowe Teal Dark">
      <a:srgbClr val="0C7876"/>
    </a:custClr>
    <a:custClr name="Crowe Cyan Dark">
      <a:srgbClr val="007DA3"/>
    </a:custClr>
    <a:custClr name="Crowe Blue Dark">
      <a:srgbClr val="0050AD"/>
    </a:custClr>
    <a:custClr name="Crowe Violet Dark">
      <a:srgbClr val="612080"/>
    </a:custClr>
    <a:custClr name="Crowe Coral Dark">
      <a:srgbClr val="992A5C"/>
    </a:custClr>
    <a:custClr name="Blank">
      <a:srgbClr val="FFFFFF"/>
    </a:custClr>
    <a:custClr name="Blank">
      <a:srgbClr val="FFFFFF"/>
    </a:custClr>
    <a:custClr name="Blank">
      <a:srgbClr val="FFFFFF"/>
    </a:custClr>
  </a:custClrLst>
  <a:extLst>
    <a:ext uri="{05A4C25C-085E-4340-85A3-A5531E510DB2}">
      <thm15:themeFamily xmlns:thm15="http://schemas.microsoft.com/office/thememl/2012/main" name="Draft Template_JW.potx" id="{ED1EA5F2-822F-4FCB-85EC-86252F9F3AA5}" vid="{17AFD816-11AD-424E-8D5C-24444FAE182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168D7EE8D0294399A76185A349FB8F" ma:contentTypeVersion="16" ma:contentTypeDescription="Create a new document." ma:contentTypeScope="" ma:versionID="d9e53fdbc9c71879194e70611261924c">
  <xsd:schema xmlns:xsd="http://www.w3.org/2001/XMLSchema" xmlns:xs="http://www.w3.org/2001/XMLSchema" xmlns:p="http://schemas.microsoft.com/office/2006/metadata/properties" xmlns:ns2="d4e8cda9-b3b6-4819-a384-0ef7244dd12f" xmlns:ns3="48972936-9687-4361-9061-56a38866636f" targetNamespace="http://schemas.microsoft.com/office/2006/metadata/properties" ma:root="true" ma:fieldsID="e2cc920c719ea27b717a2254ca05e73f" ns2:_="" ns3:_="">
    <xsd:import namespace="d4e8cda9-b3b6-4819-a384-0ef7244dd12f"/>
    <xsd:import namespace="48972936-9687-4361-9061-56a3886663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ObjectDetectorVersions" minOccurs="0"/>
                <xsd:element ref="ns3:MediaLengthInSecond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8cda9-b3b6-4819-a384-0ef7244dd1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3739b32-9e7e-4fc9-9772-2e7ac71b01db}" ma:internalName="TaxCatchAll" ma:showField="CatchAllData" ma:web="d4e8cda9-b3b6-4819-a384-0ef7244dd12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972936-9687-4361-9061-56a3886663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08c9795-9862-4eeb-969f-cd26f906e45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4e8cda9-b3b6-4819-a384-0ef7244dd12f" xsi:nil="true"/>
    <lcf76f155ced4ddcb4097134ff3c332f xmlns="48972936-9687-4361-9061-56a38866636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9E92D0-5489-43DE-BC3D-EEA5CA9D4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e8cda9-b3b6-4819-a384-0ef7244dd12f"/>
    <ds:schemaRef ds:uri="48972936-9687-4361-9061-56a388666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4F996C-1736-5F4B-BFC7-2676ED048ED9}">
  <ds:schemaRefs>
    <ds:schemaRef ds:uri="http://schemas.openxmlformats.org/officeDocument/2006/bibliography"/>
  </ds:schemaRefs>
</ds:datastoreItem>
</file>

<file path=customXml/itemProps3.xml><?xml version="1.0" encoding="utf-8"?>
<ds:datastoreItem xmlns:ds="http://schemas.openxmlformats.org/officeDocument/2006/customXml" ds:itemID="{78B17F6A-8610-44FA-9FF7-C4B2BFC84098}">
  <ds:schemaRefs>
    <ds:schemaRef ds:uri="http://schemas.microsoft.com/office/2006/metadata/properties"/>
    <ds:schemaRef ds:uri="http://schemas.microsoft.com/office/infopath/2007/PartnerControls"/>
    <ds:schemaRef ds:uri="d4e8cda9-b3b6-4819-a384-0ef7244dd12f"/>
    <ds:schemaRef ds:uri="48972936-9687-4361-9061-56a38866636f"/>
  </ds:schemaRefs>
</ds:datastoreItem>
</file>

<file path=customXml/itemProps4.xml><?xml version="1.0" encoding="utf-8"?>
<ds:datastoreItem xmlns:ds="http://schemas.openxmlformats.org/officeDocument/2006/customXml" ds:itemID="{E1EB4D05-B759-4173-AAFD-8B6BB02946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11</Pages>
  <Words>2367</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Kurylowicz</dc:creator>
  <cp:keywords/>
  <dc:description/>
  <cp:lastModifiedBy>Shitij Bahl</cp:lastModifiedBy>
  <cp:revision>18</cp:revision>
  <cp:lastPrinted>2026-02-12T20:04:00Z</cp:lastPrinted>
  <dcterms:created xsi:type="dcterms:W3CDTF">2026-02-12T18:19:00Z</dcterms:created>
  <dcterms:modified xsi:type="dcterms:W3CDTF">2026-02-13T13:35:00Z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0x010100EB168D7EE8D0294399A76185A349FB8F</vt:lpwstr>
  </property>
</Properties>
</file>