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color w:val="0F5273"/>
          <w:sz w:val="62"/>
        </w:rPr>
        <w:t>SCAMSHIELD</w:t>
      </w:r>
    </w:p>
    <w:p>
      <w:pPr>
        <w:jc w:val="center"/>
      </w:pPr>
      <w:r>
        <w:rPr>
          <w:b/>
          <w:sz w:val="34"/>
        </w:rPr>
        <w:t>Software Requirements Specification (SRS)</w:t>
      </w:r>
    </w:p>
    <w:p>
      <w:pPr>
        <w:jc w:val="center"/>
      </w:pPr>
      <w:r>
        <w:t>Version 1.0  |  Hackathon MVP  |  Prepared: 28 October 2026</w:t>
      </w:r>
    </w:p>
    <w:p>
      <w:pPr>
        <w:jc w:val="center"/>
      </w:pPr>
      <w:r>
        <w:br/>
        <w:t>A web application that helps people recognise warning signs in suspicious messages and choose safer next steps.</w:t>
      </w:r>
    </w:p>
    <w:p>
      <w:r>
        <w:br/>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CFE3ED"/>
          </w:tcPr>
          <w:p>
            <w:r/>
            <w:r>
              <w:rPr>
                <w:b/>
                <w:sz w:val="17"/>
              </w:rPr>
              <w:t>Document field</w:t>
            </w:r>
          </w:p>
        </w:tc>
        <w:tc>
          <w:tcPr>
            <w:tcW w:type="dxa" w:w="4968"/>
            <w:vAlign w:val="center"/>
            <w:shd w:fill="CFE3ED"/>
          </w:tcPr>
          <w:p>
            <w:r/>
            <w:r>
              <w:rPr>
                <w:b/>
                <w:sz w:val="17"/>
              </w:rPr>
              <w:t>Value</w:t>
            </w:r>
          </w:p>
        </w:tc>
      </w:tr>
      <w:tr>
        <w:tc>
          <w:tcPr>
            <w:tcW w:type="dxa" w:w="4968"/>
            <w:vAlign w:val="center"/>
          </w:tcPr>
          <w:p>
            <w:r/>
            <w:r>
              <w:rPr>
                <w:b w:val="0"/>
                <w:sz w:val="17"/>
              </w:rPr>
              <w:t>Product name</w:t>
            </w:r>
          </w:p>
        </w:tc>
        <w:tc>
          <w:tcPr>
            <w:tcW w:type="dxa" w:w="4968"/>
            <w:vAlign w:val="center"/>
          </w:tcPr>
          <w:p>
            <w:r/>
            <w:r>
              <w:rPr>
                <w:b w:val="0"/>
                <w:sz w:val="17"/>
              </w:rPr>
              <w:t>ScamShield India</w:t>
            </w:r>
          </w:p>
        </w:tc>
      </w:tr>
      <w:tr>
        <w:tc>
          <w:tcPr>
            <w:tcW w:type="dxa" w:w="4968"/>
            <w:vAlign w:val="center"/>
          </w:tcPr>
          <w:p>
            <w:r/>
            <w:r>
              <w:rPr>
                <w:b w:val="0"/>
                <w:sz w:val="17"/>
              </w:rPr>
              <w:t>Document type</w:t>
            </w:r>
          </w:p>
        </w:tc>
        <w:tc>
          <w:tcPr>
            <w:tcW w:type="dxa" w:w="4968"/>
            <w:vAlign w:val="center"/>
          </w:tcPr>
          <w:p>
            <w:r/>
            <w:r>
              <w:rPr>
                <w:b w:val="0"/>
                <w:sz w:val="17"/>
              </w:rPr>
              <w:t>Software Requirements Specification</w:t>
            </w:r>
          </w:p>
        </w:tc>
      </w:tr>
      <w:tr>
        <w:tc>
          <w:tcPr>
            <w:tcW w:type="dxa" w:w="4968"/>
            <w:vAlign w:val="center"/>
          </w:tcPr>
          <w:p>
            <w:r/>
            <w:r>
              <w:rPr>
                <w:b w:val="0"/>
                <w:sz w:val="17"/>
              </w:rPr>
              <w:t>Target release</w:t>
            </w:r>
          </w:p>
        </w:tc>
        <w:tc>
          <w:tcPr>
            <w:tcW w:type="dxa" w:w="4968"/>
            <w:vAlign w:val="center"/>
          </w:tcPr>
          <w:p>
            <w:r/>
            <w:r>
              <w:rPr>
                <w:b w:val="0"/>
                <w:sz w:val="17"/>
              </w:rPr>
              <w:t>Hackathon MVP</w:t>
            </w:r>
          </w:p>
        </w:tc>
      </w:tr>
      <w:tr>
        <w:tc>
          <w:tcPr>
            <w:tcW w:type="dxa" w:w="4968"/>
            <w:vAlign w:val="center"/>
          </w:tcPr>
          <w:p>
            <w:r/>
            <w:r>
              <w:rPr>
                <w:b w:val="0"/>
                <w:sz w:val="17"/>
              </w:rPr>
              <w:t>Delivery constraint</w:t>
            </w:r>
          </w:p>
        </w:tc>
        <w:tc>
          <w:tcPr>
            <w:tcW w:type="dxa" w:w="4968"/>
            <w:vAlign w:val="center"/>
          </w:tcPr>
          <w:p>
            <w:r/>
            <w:r>
              <w:rPr>
                <w:b w:val="0"/>
                <w:sz w:val="17"/>
              </w:rPr>
              <w:t>One developer; maximum 8 hours</w:t>
            </w:r>
          </w:p>
        </w:tc>
      </w:tr>
      <w:tr>
        <w:tc>
          <w:tcPr>
            <w:tcW w:type="dxa" w:w="4968"/>
            <w:vAlign w:val="center"/>
          </w:tcPr>
          <w:p>
            <w:r/>
            <w:r>
              <w:rPr>
                <w:b w:val="0"/>
                <w:sz w:val="17"/>
              </w:rPr>
              <w:t>Primary platform</w:t>
            </w:r>
          </w:p>
        </w:tc>
        <w:tc>
          <w:tcPr>
            <w:tcW w:type="dxa" w:w="4968"/>
            <w:vAlign w:val="center"/>
          </w:tcPr>
          <w:p>
            <w:r/>
            <w:r>
              <w:rPr>
                <w:b w:val="0"/>
                <w:sz w:val="17"/>
              </w:rPr>
              <w:t>Responsive web application</w:t>
            </w:r>
          </w:p>
        </w:tc>
      </w:tr>
      <w:tr>
        <w:tc>
          <w:tcPr>
            <w:tcW w:type="dxa" w:w="4968"/>
            <w:vAlign w:val="center"/>
          </w:tcPr>
          <w:p>
            <w:r/>
            <w:r>
              <w:rPr>
                <w:b w:val="0"/>
                <w:sz w:val="17"/>
              </w:rPr>
              <w:t>Intended users</w:t>
            </w:r>
          </w:p>
        </w:tc>
        <w:tc>
          <w:tcPr>
            <w:tcW w:type="dxa" w:w="4968"/>
            <w:vAlign w:val="center"/>
          </w:tcPr>
          <w:p>
            <w:r/>
            <w:r>
              <w:rPr>
                <w:b w:val="0"/>
                <w:sz w:val="17"/>
              </w:rPr>
              <w:t>People who receive suspicious SMS, chat messages, job offers, payment requests, or similar text</w:t>
            </w:r>
          </w:p>
        </w:tc>
      </w:tr>
    </w:tbl>
    <w:p/>
    <w:p>
      <w:r>
        <w:br w:type="page"/>
      </w:r>
    </w:p>
    <w:p>
      <w:pPr>
        <w:pStyle w:val="Heading1"/>
      </w:pPr>
      <w:r>
        <w:t>1. Introduction</w:t>
      </w:r>
    </w:p>
    <w:p>
      <w:pPr>
        <w:pStyle w:val="Heading2"/>
      </w:pPr>
      <w:r>
        <w:t>1.1 Purpose</w:t>
      </w:r>
    </w:p>
    <w:p>
      <w:r>
        <w:t>This document defines the functional and non-functional requirements, user experience, API contract, safety rules, architecture, and acceptance criteria for ScamShield India. It is intended to guide implementation and testing of a small, demonstrable hackathon MVP.</w:t>
      </w:r>
    </w:p>
    <w:p>
      <w:pPr>
        <w:pStyle w:val="Heading2"/>
      </w:pPr>
      <w:r>
        <w:t>1.2 Product vision</w:t>
      </w:r>
    </w:p>
    <w:p>
      <w:r>
        <w:t>ScamShield lets a user paste a suspicious text message and receive a structured, understandable assessment of potential warning signs, why those signs matter, and practical steps to stay safe. The app supports awareness; it does not prove whether a message or sender is fraudulent.</w:t>
      </w:r>
    </w:p>
    <w:p>
      <w:pPr>
        <w:pStyle w:val="Heading2"/>
      </w:pPr>
      <w:r>
        <w:t>1.3 Scope</w:t>
      </w:r>
    </w:p>
    <w:p>
      <w:pPr>
        <w:pStyle w:val="ListBullet"/>
      </w:pPr>
      <w:r>
        <w:t>Analyse user-pasted text that may contain a suspicious SMS, chat message, fake job offer, scholarship notice, urgent payment request, or account warning.</w:t>
      </w:r>
    </w:p>
    <w:p>
      <w:pPr>
        <w:pStyle w:val="ListBullet"/>
      </w:pPr>
      <w:r>
        <w:t>Return a risk category, concise explanation, evidence-based warning signs, safe next steps, and an uncertainty note.</w:t>
      </w:r>
    </w:p>
    <w:p>
      <w:pPr>
        <w:pStyle w:val="ListBullet"/>
      </w:pPr>
      <w:r>
        <w:t>Provide a learning area with three fictional examples and short explanations.</w:t>
      </w:r>
    </w:p>
    <w:p>
      <w:pPr>
        <w:pStyle w:val="ListBullet"/>
      </w:pPr>
      <w:r>
        <w:t>Provide responsive layouts for mobile and desktop, plus loading, validation, and error states.</w:t>
      </w:r>
    </w:p>
    <w:p>
      <w:pPr>
        <w:pStyle w:val="ListBullet"/>
      </w:pPr>
      <w:r>
        <w:t>Use an AI API through the backend; the API key must never be exposed to the browser.</w:t>
      </w:r>
    </w:p>
    <w:p>
      <w:pPr>
        <w:pStyle w:val="Heading2"/>
      </w:pPr>
      <w:r>
        <w:t>1.4 Out of scope</w:t>
      </w:r>
    </w:p>
    <w:p>
      <w:pPr>
        <w:pStyle w:val="ListBullet"/>
      </w:pPr>
      <w:r>
        <w:t>Automatic scanning of WhatsApp, SMS inboxes, email accounts, or social-media accounts.</w:t>
      </w:r>
    </w:p>
    <w:p>
      <w:pPr>
        <w:pStyle w:val="ListBullet"/>
      </w:pPr>
      <w:r>
        <w:t>Browser extension, mobile app, OCR/image analysis, voice-call analysis, or link crawling.</w:t>
      </w:r>
    </w:p>
    <w:p>
      <w:pPr>
        <w:pStyle w:val="ListBullet"/>
      </w:pPr>
      <w:r>
        <w:t>User accounts, authentication, saved history, admin dashboard, analytics dashboard, or database in the MVP.</w:t>
      </w:r>
    </w:p>
    <w:p>
      <w:pPr>
        <w:pStyle w:val="ListBullet"/>
      </w:pPr>
      <w:r>
        <w:t>Reporting messages to banks, police, platforms, or government agencies.</w:t>
      </w:r>
    </w:p>
    <w:p>
      <w:pPr>
        <w:pStyle w:val="ListBullet"/>
      </w:pPr>
      <w:r>
        <w:t>Guaranteeing that a message is safe or fraudulent, or giving legal/financial advice.</w:t>
      </w:r>
    </w:p>
    <w:p>
      <w:pPr>
        <w:pStyle w:val="Heading2"/>
      </w:pPr>
      <w:r>
        <w:t>1.5 Definitions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CFE3ED"/>
          </w:tcPr>
          <w:p>
            <w:r/>
            <w:r>
              <w:rPr>
                <w:b/>
                <w:sz w:val="17"/>
              </w:rPr>
              <w:t>Term</w:t>
            </w:r>
          </w:p>
        </w:tc>
        <w:tc>
          <w:tcPr>
            <w:tcW w:type="dxa" w:w="4968"/>
            <w:vAlign w:val="center"/>
            <w:shd w:fill="CFE3ED"/>
          </w:tcPr>
          <w:p>
            <w:r/>
            <w:r>
              <w:rPr>
                <w:b/>
                <w:sz w:val="17"/>
              </w:rPr>
              <w:t>Meaning</w:t>
            </w:r>
          </w:p>
        </w:tc>
      </w:tr>
      <w:tr>
        <w:tc>
          <w:tcPr>
            <w:tcW w:type="dxa" w:w="4968"/>
            <w:vAlign w:val="center"/>
          </w:tcPr>
          <w:p>
            <w:r/>
            <w:r>
              <w:rPr>
                <w:b w:val="0"/>
                <w:sz w:val="17"/>
              </w:rPr>
              <w:t>Risk level</w:t>
            </w:r>
          </w:p>
        </w:tc>
        <w:tc>
          <w:tcPr>
            <w:tcW w:type="dxa" w:w="4968"/>
            <w:vAlign w:val="center"/>
          </w:tcPr>
          <w:p>
            <w:r/>
            <w:r>
              <w:rPr>
                <w:b w:val="0"/>
                <w:sz w:val="17"/>
              </w:rPr>
              <w:t>A cautious category indicating the warning signs observed in the submitted text.</w:t>
            </w:r>
          </w:p>
        </w:tc>
      </w:tr>
      <w:tr>
        <w:tc>
          <w:tcPr>
            <w:tcW w:type="dxa" w:w="4968"/>
            <w:vAlign w:val="center"/>
          </w:tcPr>
          <w:p>
            <w:r/>
            <w:r>
              <w:rPr>
                <w:b w:val="0"/>
                <w:sz w:val="17"/>
              </w:rPr>
              <w:t>Warning sign</w:t>
            </w:r>
          </w:p>
        </w:tc>
        <w:tc>
          <w:tcPr>
            <w:tcW w:type="dxa" w:w="4968"/>
            <w:vAlign w:val="center"/>
          </w:tcPr>
          <w:p>
            <w:r/>
            <w:r>
              <w:rPr>
                <w:b w:val="0"/>
                <w:sz w:val="17"/>
              </w:rPr>
              <w:t>A visible feature such as urgency, requests for OTPs, suspicious payment instructions, or an unrealistic job promise.</w:t>
            </w:r>
          </w:p>
        </w:tc>
      </w:tr>
      <w:tr>
        <w:tc>
          <w:tcPr>
            <w:tcW w:type="dxa" w:w="4968"/>
            <w:vAlign w:val="center"/>
          </w:tcPr>
          <w:p>
            <w:r/>
            <w:r>
              <w:rPr>
                <w:b w:val="0"/>
                <w:sz w:val="17"/>
              </w:rPr>
              <w:t>AI provider</w:t>
            </w:r>
          </w:p>
        </w:tc>
        <w:tc>
          <w:tcPr>
            <w:tcW w:type="dxa" w:w="4968"/>
            <w:vAlign w:val="center"/>
          </w:tcPr>
          <w:p>
            <w:r/>
            <w:r>
              <w:rPr>
                <w:b w:val="0"/>
                <w:sz w:val="17"/>
              </w:rPr>
              <w:t>The external model API called by the backend to produce the analysis.</w:t>
            </w:r>
          </w:p>
        </w:tc>
      </w:tr>
      <w:tr>
        <w:tc>
          <w:tcPr>
            <w:tcW w:type="dxa" w:w="4968"/>
            <w:vAlign w:val="center"/>
          </w:tcPr>
          <w:p>
            <w:r/>
            <w:r>
              <w:rPr>
                <w:b w:val="0"/>
                <w:sz w:val="17"/>
              </w:rPr>
              <w:t>MVP</w:t>
            </w:r>
          </w:p>
        </w:tc>
        <w:tc>
          <w:tcPr>
            <w:tcW w:type="dxa" w:w="4968"/>
            <w:vAlign w:val="center"/>
          </w:tcPr>
          <w:p>
            <w:r/>
            <w:r>
              <w:rPr>
                <w:b w:val="0"/>
                <w:sz w:val="17"/>
              </w:rPr>
              <w:t>Minimum viable product: the smallest complete version needed for the hackathon demo.</w:t>
            </w:r>
          </w:p>
        </w:tc>
      </w:tr>
    </w:tbl>
    <w:p/>
    <w:p>
      <w:pPr>
        <w:pStyle w:val="Heading1"/>
      </w:pPr>
      <w:r>
        <w:t>2. Overall Description</w:t>
      </w:r>
    </w:p>
    <w:p>
      <w:pPr>
        <w:pStyle w:val="Heading2"/>
      </w:pPr>
      <w:r>
        <w:t>2.1 User profile</w:t>
      </w:r>
    </w:p>
    <w:p>
      <w:r>
        <w:t>The intended user may have little cybersecurity knowledge. The interface must use plain language, explain jargon, and make the next action obvious.</w:t>
      </w:r>
    </w:p>
    <w:p>
      <w:pPr>
        <w:pStyle w:val="Heading2"/>
      </w:pPr>
      <w:r>
        <w:t>2.2 Operating environment</w:t>
      </w:r>
    </w:p>
    <w:p>
      <w:pPr>
        <w:pStyle w:val="ListBullet"/>
      </w:pPr>
      <w:r>
        <w:t>Modern desktop and mobile browsers.</w:t>
      </w:r>
    </w:p>
    <w:p>
      <w:pPr>
        <w:pStyle w:val="ListBullet"/>
      </w:pPr>
      <w:r>
        <w:t>Frontend: React + Vite + TypeScript + Tailwind CSS.</w:t>
      </w:r>
    </w:p>
    <w:p>
      <w:pPr>
        <w:pStyle w:val="ListBullet"/>
      </w:pPr>
      <w:r>
        <w:t>Backend: Node.js + Express.</w:t>
      </w:r>
    </w:p>
    <w:p>
      <w:pPr>
        <w:pStyle w:val="ListBullet"/>
      </w:pPr>
      <w:r>
        <w:t>Validation: Zod or an equivalent schema validator.</w:t>
      </w:r>
    </w:p>
    <w:p>
      <w:pPr>
        <w:pStyle w:val="ListBullet"/>
      </w:pPr>
      <w:r>
        <w:t>AI analysis: one server-side AI API that supports structured output or reliably parseable JSON.</w:t>
      </w:r>
    </w:p>
    <w:p>
      <w:pPr>
        <w:pStyle w:val="ListBullet"/>
      </w:pPr>
      <w:r>
        <w:t>Deployment: frontend and backend may be hosted separately; configure the production API base URL and CORS accordingly.</w:t>
      </w:r>
    </w:p>
    <w:p>
      <w:pPr>
        <w:pStyle w:val="Heading2"/>
      </w:pPr>
      <w:r>
        <w:t>2.3 Assumptions and dependencies</w:t>
      </w:r>
    </w:p>
    <w:p>
      <w:pPr>
        <w:pStyle w:val="ListBullet"/>
      </w:pPr>
      <w:r>
        <w:t>An active AI API key and sufficient API quota are available.</w:t>
      </w:r>
    </w:p>
    <w:p>
      <w:pPr>
        <w:pStyle w:val="ListBullet"/>
      </w:pPr>
      <w:r>
        <w:t>Internet access is required for live analysis; the learning examples should remain available if the AI service is down.</w:t>
      </w:r>
    </w:p>
    <w:p>
      <w:pPr>
        <w:pStyle w:val="ListBullet"/>
      </w:pPr>
      <w:r>
        <w:t>The hackathon judges evaluate the deployed or locally demonstrated MVP; the organiser's official rubric takes precedence.</w:t>
      </w:r>
    </w:p>
    <w:p>
      <w:pPr>
        <w:pStyle w:val="ListBullet"/>
      </w:pPr>
      <w:r>
        <w:t>Only fictional or appropriately redacted examples will be used in the public demo.</w:t>
      </w:r>
    </w:p>
    <w:p>
      <w:pPr>
        <w:pStyle w:val="Heading1"/>
      </w:pPr>
      <w:r>
        <w:t>3. User Journey and Screens</w:t>
      </w:r>
    </w:p>
    <w:p>
      <w:pPr>
        <w:pStyle w:val="ListNumber"/>
      </w:pPr>
      <w:r>
        <w:t>Open the home/analyser page and read a short privacy and safety note.</w:t>
      </w:r>
    </w:p>
    <w:p>
      <w:pPr>
        <w:pStyle w:val="ListNumber"/>
      </w:pPr>
      <w:r>
        <w:t>Paste a suspicious text message into the input field.</w:t>
      </w:r>
    </w:p>
    <w:p>
      <w:pPr>
        <w:pStyle w:val="ListNumber"/>
      </w:pPr>
      <w:r>
        <w:t>Select “Analyse message”. The UI validates the input and shows a loading state.</w:t>
      </w:r>
    </w:p>
    <w:p>
      <w:pPr>
        <w:pStyle w:val="ListNumber"/>
      </w:pPr>
      <w:r>
        <w:t>The backend validates the request, calls the AI provider, validates the response, and returns structured results.</w:t>
      </w:r>
    </w:p>
    <w:p>
      <w:pPr>
        <w:pStyle w:val="ListNumber"/>
      </w:pPr>
      <w:r>
        <w:t>The result screen shows risk level, summary, warning signs, safe actions, and uncertainty.</w:t>
      </w:r>
    </w:p>
    <w:p>
      <w:pPr>
        <w:pStyle w:val="ListNumber"/>
      </w:pPr>
      <w:r>
        <w:t>The user can analyse another message or open Learn to Spot Scams.</w:t>
      </w:r>
    </w:p>
    <w:p>
      <w:pPr>
        <w:pStyle w:val="ListNumber"/>
      </w:pPr>
      <w:r>
        <w:t>In learning mode, the user selects a fictional example, guesses the risk category, and reveals the explanation.</w:t>
      </w:r>
    </w:p>
    <w:p>
      <w:pPr>
        <w:pStyle w:val="Heading1"/>
      </w:pPr>
      <w:r>
        <w:t>4. Functional Requirements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CFE3ED"/>
          </w:tcPr>
          <w:p>
            <w:r/>
            <w:r>
              <w:rPr>
                <w:b/>
                <w:sz w:val="17"/>
              </w:rPr>
              <w:t>ID</w:t>
            </w:r>
          </w:p>
        </w:tc>
        <w:tc>
          <w:tcPr>
            <w:tcW w:type="dxa" w:w="3312"/>
            <w:vAlign w:val="center"/>
            <w:shd w:fill="CFE3ED"/>
          </w:tcPr>
          <w:p>
            <w:r/>
            <w:r>
              <w:rPr>
                <w:b/>
                <w:sz w:val="17"/>
              </w:rPr>
              <w:t>Requirement</w:t>
            </w:r>
          </w:p>
        </w:tc>
        <w:tc>
          <w:tcPr>
            <w:tcW w:type="dxa" w:w="3312"/>
            <w:vAlign w:val="center"/>
            <w:shd w:fill="CFE3ED"/>
          </w:tcPr>
          <w:p>
            <w:r/>
            <w:r>
              <w:rPr>
                <w:b/>
                <w:sz w:val="17"/>
              </w:rPr>
              <w:t>Description</w:t>
            </w:r>
          </w:p>
        </w:tc>
      </w:tr>
      <w:tr>
        <w:tc>
          <w:tcPr>
            <w:tcW w:type="dxa" w:w="3312"/>
            <w:vAlign w:val="center"/>
          </w:tcPr>
          <w:p>
            <w:r/>
            <w:r>
              <w:rPr>
                <w:b w:val="0"/>
                <w:sz w:val="17"/>
              </w:rPr>
              <w:t>FR-01</w:t>
            </w:r>
          </w:p>
        </w:tc>
        <w:tc>
          <w:tcPr>
            <w:tcW w:type="dxa" w:w="3312"/>
            <w:vAlign w:val="center"/>
          </w:tcPr>
          <w:p>
            <w:r/>
            <w:r>
              <w:rPr>
                <w:b w:val="0"/>
                <w:sz w:val="17"/>
              </w:rPr>
              <w:t>Message input</w:t>
            </w:r>
          </w:p>
        </w:tc>
        <w:tc>
          <w:tcPr>
            <w:tcW w:type="dxa" w:w="3312"/>
            <w:vAlign w:val="center"/>
          </w:tcPr>
          <w:p>
            <w:r/>
            <w:r>
              <w:rPr>
                <w:b w:val="0"/>
                <w:sz w:val="17"/>
              </w:rPr>
              <w:t>The analyser shall accept plain text pasted by the user.</w:t>
            </w:r>
          </w:p>
        </w:tc>
      </w:tr>
      <w:tr>
        <w:tc>
          <w:tcPr>
            <w:tcW w:type="dxa" w:w="3312"/>
            <w:vAlign w:val="center"/>
          </w:tcPr>
          <w:p>
            <w:r/>
            <w:r>
              <w:rPr>
                <w:b w:val="0"/>
                <w:sz w:val="17"/>
              </w:rPr>
              <w:t>FR-02</w:t>
            </w:r>
          </w:p>
        </w:tc>
        <w:tc>
          <w:tcPr>
            <w:tcW w:type="dxa" w:w="3312"/>
            <w:vAlign w:val="center"/>
          </w:tcPr>
          <w:p>
            <w:r/>
            <w:r>
              <w:rPr>
                <w:b w:val="0"/>
                <w:sz w:val="17"/>
              </w:rPr>
              <w:t>Input validation</w:t>
            </w:r>
          </w:p>
        </w:tc>
        <w:tc>
          <w:tcPr>
            <w:tcW w:type="dxa" w:w="3312"/>
            <w:vAlign w:val="center"/>
          </w:tcPr>
          <w:p>
            <w:r/>
            <w:r>
              <w:rPr>
                <w:b w:val="0"/>
                <w:sz w:val="17"/>
              </w:rPr>
              <w:t>The application shall reject empty or whitespace-only input and display a clear message.</w:t>
            </w:r>
          </w:p>
        </w:tc>
      </w:tr>
      <w:tr>
        <w:tc>
          <w:tcPr>
            <w:tcW w:type="dxa" w:w="3312"/>
            <w:vAlign w:val="center"/>
          </w:tcPr>
          <w:p>
            <w:r/>
            <w:r>
              <w:rPr>
                <w:b w:val="0"/>
                <w:sz w:val="17"/>
              </w:rPr>
              <w:t>FR-03</w:t>
            </w:r>
          </w:p>
        </w:tc>
        <w:tc>
          <w:tcPr>
            <w:tcW w:type="dxa" w:w="3312"/>
            <w:vAlign w:val="center"/>
          </w:tcPr>
          <w:p>
            <w:r/>
            <w:r>
              <w:rPr>
                <w:b w:val="0"/>
                <w:sz w:val="17"/>
              </w:rPr>
              <w:t>Input limit</w:t>
            </w:r>
          </w:p>
        </w:tc>
        <w:tc>
          <w:tcPr>
            <w:tcW w:type="dxa" w:w="3312"/>
            <w:vAlign w:val="center"/>
          </w:tcPr>
          <w:p>
            <w:r/>
            <w:r>
              <w:rPr>
                <w:b w:val="0"/>
                <w:sz w:val="17"/>
              </w:rPr>
              <w:t>The backend shall enforce a maximum input length of 5,000 characters; the frontend shall show a character count or limit hint.</w:t>
            </w:r>
          </w:p>
        </w:tc>
      </w:tr>
      <w:tr>
        <w:tc>
          <w:tcPr>
            <w:tcW w:type="dxa" w:w="3312"/>
            <w:vAlign w:val="center"/>
          </w:tcPr>
          <w:p>
            <w:r/>
            <w:r>
              <w:rPr>
                <w:b w:val="0"/>
                <w:sz w:val="17"/>
              </w:rPr>
              <w:t>FR-04</w:t>
            </w:r>
          </w:p>
        </w:tc>
        <w:tc>
          <w:tcPr>
            <w:tcW w:type="dxa" w:w="3312"/>
            <w:vAlign w:val="center"/>
          </w:tcPr>
          <w:p>
            <w:r/>
            <w:r>
              <w:rPr>
                <w:b w:val="0"/>
                <w:sz w:val="17"/>
              </w:rPr>
              <w:t>Live analysis</w:t>
            </w:r>
          </w:p>
        </w:tc>
        <w:tc>
          <w:tcPr>
            <w:tcW w:type="dxa" w:w="3312"/>
            <w:vAlign w:val="center"/>
          </w:tcPr>
          <w:p>
            <w:r/>
            <w:r>
              <w:rPr>
                <w:b w:val="0"/>
                <w:sz w:val="17"/>
              </w:rPr>
              <w:t>The backend shall send the text to the configured AI provider and request a structured risk assessment.</w:t>
            </w:r>
          </w:p>
        </w:tc>
      </w:tr>
      <w:tr>
        <w:tc>
          <w:tcPr>
            <w:tcW w:type="dxa" w:w="3312"/>
            <w:vAlign w:val="center"/>
          </w:tcPr>
          <w:p>
            <w:r/>
            <w:r>
              <w:rPr>
                <w:b w:val="0"/>
                <w:sz w:val="17"/>
              </w:rPr>
              <w:t>FR-05</w:t>
            </w:r>
          </w:p>
        </w:tc>
        <w:tc>
          <w:tcPr>
            <w:tcW w:type="dxa" w:w="3312"/>
            <w:vAlign w:val="center"/>
          </w:tcPr>
          <w:p>
            <w:r/>
            <w:r>
              <w:rPr>
                <w:b w:val="0"/>
                <w:sz w:val="17"/>
              </w:rPr>
              <w:t>Structured result</w:t>
            </w:r>
          </w:p>
        </w:tc>
        <w:tc>
          <w:tcPr>
            <w:tcW w:type="dxa" w:w="3312"/>
            <w:vAlign w:val="center"/>
          </w:tcPr>
          <w:p>
            <w:r/>
            <w:r>
              <w:rPr>
                <w:b w:val="0"/>
                <w:sz w:val="17"/>
              </w:rPr>
              <w:t>The response shall contain riskLevel, summary, warningSigns, safeActions, and limitations.</w:t>
            </w:r>
          </w:p>
        </w:tc>
      </w:tr>
      <w:tr>
        <w:tc>
          <w:tcPr>
            <w:tcW w:type="dxa" w:w="3312"/>
            <w:vAlign w:val="center"/>
          </w:tcPr>
          <w:p>
            <w:r/>
            <w:r>
              <w:rPr>
                <w:b w:val="0"/>
                <w:sz w:val="17"/>
              </w:rPr>
              <w:t>FR-06</w:t>
            </w:r>
          </w:p>
        </w:tc>
        <w:tc>
          <w:tcPr>
            <w:tcW w:type="dxa" w:w="3312"/>
            <w:vAlign w:val="center"/>
          </w:tcPr>
          <w:p>
            <w:r/>
            <w:r>
              <w:rPr>
                <w:b w:val="0"/>
                <w:sz w:val="17"/>
              </w:rPr>
              <w:t>Risk categories</w:t>
            </w:r>
          </w:p>
        </w:tc>
        <w:tc>
          <w:tcPr>
            <w:tcW w:type="dxa" w:w="3312"/>
            <w:vAlign w:val="center"/>
          </w:tcPr>
          <w:p>
            <w:r/>
            <w:r>
              <w:rPr>
                <w:b w:val="0"/>
                <w:sz w:val="17"/>
              </w:rPr>
              <w:t>riskLevel shall be one of HIGH, MEDIUM, LOW, or INSUFFICIENT_INFORMATION.</w:t>
            </w:r>
          </w:p>
        </w:tc>
      </w:tr>
      <w:tr>
        <w:tc>
          <w:tcPr>
            <w:tcW w:type="dxa" w:w="3312"/>
            <w:vAlign w:val="center"/>
          </w:tcPr>
          <w:p>
            <w:r/>
            <w:r>
              <w:rPr>
                <w:b w:val="0"/>
                <w:sz w:val="17"/>
              </w:rPr>
              <w:t>FR-07</w:t>
            </w:r>
          </w:p>
        </w:tc>
        <w:tc>
          <w:tcPr>
            <w:tcW w:type="dxa" w:w="3312"/>
            <w:vAlign w:val="center"/>
          </w:tcPr>
          <w:p>
            <w:r/>
            <w:r>
              <w:rPr>
                <w:b w:val="0"/>
                <w:sz w:val="17"/>
              </w:rPr>
              <w:t>Evidence-based warnings</w:t>
            </w:r>
          </w:p>
        </w:tc>
        <w:tc>
          <w:tcPr>
            <w:tcW w:type="dxa" w:w="3312"/>
            <w:vAlign w:val="center"/>
          </w:tcPr>
          <w:p>
            <w:r/>
            <w:r>
              <w:rPr>
                <w:b w:val="0"/>
                <w:sz w:val="17"/>
              </w:rPr>
              <w:t>Each warning sign shall explain the observed text feature and why it may matter; the app shall not invent facts absent from the message.</w:t>
            </w:r>
          </w:p>
        </w:tc>
      </w:tr>
      <w:tr>
        <w:tc>
          <w:tcPr>
            <w:tcW w:type="dxa" w:w="3312"/>
            <w:vAlign w:val="center"/>
          </w:tcPr>
          <w:p>
            <w:r/>
            <w:r>
              <w:rPr>
                <w:b w:val="0"/>
                <w:sz w:val="17"/>
              </w:rPr>
              <w:t>FR-08</w:t>
            </w:r>
          </w:p>
        </w:tc>
        <w:tc>
          <w:tcPr>
            <w:tcW w:type="dxa" w:w="3312"/>
            <w:vAlign w:val="center"/>
          </w:tcPr>
          <w:p>
            <w:r/>
            <w:r>
              <w:rPr>
                <w:b w:val="0"/>
                <w:sz w:val="17"/>
              </w:rPr>
              <w:t>Safe next steps</w:t>
            </w:r>
          </w:p>
        </w:tc>
        <w:tc>
          <w:tcPr>
            <w:tcW w:type="dxa" w:w="3312"/>
            <w:vAlign w:val="center"/>
          </w:tcPr>
          <w:p>
            <w:r/>
            <w:r>
              <w:rPr>
                <w:b w:val="0"/>
                <w:sz w:val="17"/>
              </w:rPr>
              <w:t>The result shall provide practical, non-alarmist steps appropriate to the message, such as independently contacting the organisation through an official channel.</w:t>
            </w:r>
          </w:p>
        </w:tc>
      </w:tr>
      <w:tr>
        <w:tc>
          <w:tcPr>
            <w:tcW w:type="dxa" w:w="3312"/>
            <w:vAlign w:val="center"/>
          </w:tcPr>
          <w:p>
            <w:r/>
            <w:r>
              <w:rPr>
                <w:b w:val="0"/>
                <w:sz w:val="17"/>
              </w:rPr>
              <w:t>FR-09</w:t>
            </w:r>
          </w:p>
        </w:tc>
        <w:tc>
          <w:tcPr>
            <w:tcW w:type="dxa" w:w="3312"/>
            <w:vAlign w:val="center"/>
          </w:tcPr>
          <w:p>
            <w:r/>
            <w:r>
              <w:rPr>
                <w:b w:val="0"/>
                <w:sz w:val="17"/>
              </w:rPr>
              <w:t>Uncertainty</w:t>
            </w:r>
          </w:p>
        </w:tc>
        <w:tc>
          <w:tcPr>
            <w:tcW w:type="dxa" w:w="3312"/>
            <w:vAlign w:val="center"/>
          </w:tcPr>
          <w:p>
            <w:r/>
            <w:r>
              <w:rPr>
                <w:b w:val="0"/>
                <w:sz w:val="17"/>
              </w:rPr>
              <w:t>The result shall state that AI assessment is not proof and that benign messages may contain similar patterns.</w:t>
            </w:r>
          </w:p>
        </w:tc>
      </w:tr>
      <w:tr>
        <w:tc>
          <w:tcPr>
            <w:tcW w:type="dxa" w:w="3312"/>
            <w:vAlign w:val="center"/>
          </w:tcPr>
          <w:p>
            <w:r/>
            <w:r>
              <w:rPr>
                <w:b w:val="0"/>
                <w:sz w:val="17"/>
              </w:rPr>
              <w:t>FR-10</w:t>
            </w:r>
          </w:p>
        </w:tc>
        <w:tc>
          <w:tcPr>
            <w:tcW w:type="dxa" w:w="3312"/>
            <w:vAlign w:val="center"/>
          </w:tcPr>
          <w:p>
            <w:r/>
            <w:r>
              <w:rPr>
                <w:b w:val="0"/>
                <w:sz w:val="17"/>
              </w:rPr>
              <w:t>Loading state</w:t>
            </w:r>
          </w:p>
        </w:tc>
        <w:tc>
          <w:tcPr>
            <w:tcW w:type="dxa" w:w="3312"/>
            <w:vAlign w:val="center"/>
          </w:tcPr>
          <w:p>
            <w:r/>
            <w:r>
              <w:rPr>
                <w:b w:val="0"/>
                <w:sz w:val="17"/>
              </w:rPr>
              <w:t>The UI shall indicate that analysis is in progress and prevent accidental duplicate submissions.</w:t>
            </w:r>
          </w:p>
        </w:tc>
      </w:tr>
      <w:tr>
        <w:tc>
          <w:tcPr>
            <w:tcW w:type="dxa" w:w="3312"/>
            <w:vAlign w:val="center"/>
          </w:tcPr>
          <w:p>
            <w:r/>
            <w:r>
              <w:rPr>
                <w:b w:val="0"/>
                <w:sz w:val="17"/>
              </w:rPr>
              <w:t>FR-11</w:t>
            </w:r>
          </w:p>
        </w:tc>
        <w:tc>
          <w:tcPr>
            <w:tcW w:type="dxa" w:w="3312"/>
            <w:vAlign w:val="center"/>
          </w:tcPr>
          <w:p>
            <w:r/>
            <w:r>
              <w:rPr>
                <w:b w:val="0"/>
                <w:sz w:val="17"/>
              </w:rPr>
              <w:t>Error handling</w:t>
            </w:r>
          </w:p>
        </w:tc>
        <w:tc>
          <w:tcPr>
            <w:tcW w:type="dxa" w:w="3312"/>
            <w:vAlign w:val="center"/>
          </w:tcPr>
          <w:p>
            <w:r/>
            <w:r>
              <w:rPr>
                <w:b w:val="0"/>
                <w:sz w:val="17"/>
              </w:rPr>
              <w:t>The UI shall handle network errors, AI timeouts, invalid provider responses, and rate limits with a friendly message and retry action.</w:t>
            </w:r>
          </w:p>
        </w:tc>
      </w:tr>
      <w:tr>
        <w:tc>
          <w:tcPr>
            <w:tcW w:type="dxa" w:w="3312"/>
            <w:vAlign w:val="center"/>
          </w:tcPr>
          <w:p>
            <w:r/>
            <w:r>
              <w:rPr>
                <w:b w:val="0"/>
                <w:sz w:val="17"/>
              </w:rPr>
              <w:t>FR-12</w:t>
            </w:r>
          </w:p>
        </w:tc>
        <w:tc>
          <w:tcPr>
            <w:tcW w:type="dxa" w:w="3312"/>
            <w:vAlign w:val="center"/>
          </w:tcPr>
          <w:p>
            <w:r/>
            <w:r>
              <w:rPr>
                <w:b w:val="0"/>
                <w:sz w:val="17"/>
              </w:rPr>
              <w:t>Learning mode</w:t>
            </w:r>
          </w:p>
        </w:tc>
        <w:tc>
          <w:tcPr>
            <w:tcW w:type="dxa" w:w="3312"/>
            <w:vAlign w:val="center"/>
          </w:tcPr>
          <w:p>
            <w:r/>
            <w:r>
              <w:rPr>
                <w:b w:val="0"/>
                <w:sz w:val="17"/>
              </w:rPr>
              <w:t>The application shall provide at least three fictional examples with a revealable answer and explanation.</w:t>
            </w:r>
          </w:p>
        </w:tc>
      </w:tr>
      <w:tr>
        <w:tc>
          <w:tcPr>
            <w:tcW w:type="dxa" w:w="3312"/>
            <w:vAlign w:val="center"/>
          </w:tcPr>
          <w:p>
            <w:r/>
            <w:r>
              <w:rPr>
                <w:b w:val="0"/>
                <w:sz w:val="17"/>
              </w:rPr>
              <w:t>FR-13</w:t>
            </w:r>
          </w:p>
        </w:tc>
        <w:tc>
          <w:tcPr>
            <w:tcW w:type="dxa" w:w="3312"/>
            <w:vAlign w:val="center"/>
          </w:tcPr>
          <w:p>
            <w:r/>
            <w:r>
              <w:rPr>
                <w:b w:val="0"/>
                <w:sz w:val="17"/>
              </w:rPr>
              <w:t>No default storage</w:t>
            </w:r>
          </w:p>
        </w:tc>
        <w:tc>
          <w:tcPr>
            <w:tcW w:type="dxa" w:w="3312"/>
            <w:vAlign w:val="center"/>
          </w:tcPr>
          <w:p>
            <w:r/>
            <w:r>
              <w:rPr>
                <w:b w:val="0"/>
                <w:sz w:val="17"/>
              </w:rPr>
              <w:t>The application shall not save submitted messages to a database or persistent browser storage in the MVP.</w:t>
            </w:r>
          </w:p>
        </w:tc>
      </w:tr>
      <w:tr>
        <w:tc>
          <w:tcPr>
            <w:tcW w:type="dxa" w:w="3312"/>
            <w:vAlign w:val="center"/>
          </w:tcPr>
          <w:p>
            <w:r/>
            <w:r>
              <w:rPr>
                <w:b w:val="0"/>
                <w:sz w:val="17"/>
              </w:rPr>
              <w:t>FR-14</w:t>
            </w:r>
          </w:p>
        </w:tc>
        <w:tc>
          <w:tcPr>
            <w:tcW w:type="dxa" w:w="3312"/>
            <w:vAlign w:val="center"/>
          </w:tcPr>
          <w:p>
            <w:r/>
            <w:r>
              <w:rPr>
                <w:b w:val="0"/>
                <w:sz w:val="17"/>
              </w:rPr>
              <w:t>Responsive UI</w:t>
            </w:r>
          </w:p>
        </w:tc>
        <w:tc>
          <w:tcPr>
            <w:tcW w:type="dxa" w:w="3312"/>
            <w:vAlign w:val="center"/>
          </w:tcPr>
          <w:p>
            <w:r/>
            <w:r>
              <w:rPr>
                <w:b w:val="0"/>
                <w:sz w:val="17"/>
              </w:rPr>
              <w:t>Core analyser and result content shall be usable on mobile and desktop.</w:t>
            </w:r>
          </w:p>
        </w:tc>
      </w:tr>
      <w:tr>
        <w:tc>
          <w:tcPr>
            <w:tcW w:type="dxa" w:w="3312"/>
            <w:vAlign w:val="center"/>
          </w:tcPr>
          <w:p>
            <w:r/>
            <w:r>
              <w:rPr>
                <w:b w:val="0"/>
                <w:sz w:val="17"/>
              </w:rPr>
              <w:t>FR-15</w:t>
            </w:r>
          </w:p>
        </w:tc>
        <w:tc>
          <w:tcPr>
            <w:tcW w:type="dxa" w:w="3312"/>
            <w:vAlign w:val="center"/>
          </w:tcPr>
          <w:p>
            <w:r/>
            <w:r>
              <w:rPr>
                <w:b w:val="0"/>
                <w:sz w:val="17"/>
              </w:rPr>
              <w:t>Repeat analysis</w:t>
            </w:r>
          </w:p>
        </w:tc>
        <w:tc>
          <w:tcPr>
            <w:tcW w:type="dxa" w:w="3312"/>
            <w:vAlign w:val="center"/>
          </w:tcPr>
          <w:p>
            <w:r/>
            <w:r>
              <w:rPr>
                <w:b w:val="0"/>
                <w:sz w:val="17"/>
              </w:rPr>
              <w:t>The user shall be able to return to the analyser and submit another message.</w:t>
            </w:r>
          </w:p>
        </w:tc>
      </w:tr>
    </w:tbl>
    <w:p/>
    <w:p>
      <w:pPr>
        <w:pStyle w:val="Heading1"/>
      </w:pPr>
      <w:r>
        <w:t>5. Non-Functional Requirements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CFE3ED"/>
          </w:tcPr>
          <w:p>
            <w:r/>
            <w:r>
              <w:rPr>
                <w:b/>
                <w:sz w:val="17"/>
              </w:rPr>
              <w:t>ID</w:t>
            </w:r>
          </w:p>
        </w:tc>
        <w:tc>
          <w:tcPr>
            <w:tcW w:type="dxa" w:w="4968"/>
            <w:vAlign w:val="center"/>
            <w:shd w:fill="CFE3ED"/>
          </w:tcPr>
          <w:p>
            <w:r/>
            <w:r>
              <w:rPr>
                <w:b/>
                <w:sz w:val="17"/>
              </w:rPr>
              <w:t>Requirement</w:t>
            </w:r>
          </w:p>
        </w:tc>
      </w:tr>
      <w:tr>
        <w:tc>
          <w:tcPr>
            <w:tcW w:type="dxa" w:w="4968"/>
            <w:vAlign w:val="center"/>
          </w:tcPr>
          <w:p>
            <w:r/>
            <w:r>
              <w:rPr>
                <w:b w:val="0"/>
                <w:sz w:val="17"/>
              </w:rPr>
              <w:t>NFR-01 Usability</w:t>
            </w:r>
          </w:p>
        </w:tc>
        <w:tc>
          <w:tcPr>
            <w:tcW w:type="dxa" w:w="4968"/>
            <w:vAlign w:val="center"/>
          </w:tcPr>
          <w:p>
            <w:r/>
            <w:r>
              <w:rPr>
                <w:b w:val="0"/>
                <w:sz w:val="17"/>
              </w:rPr>
              <w:t>A first-time user should be able to submit a message and understand the result without instructions.</w:t>
            </w:r>
          </w:p>
        </w:tc>
      </w:tr>
      <w:tr>
        <w:tc>
          <w:tcPr>
            <w:tcW w:type="dxa" w:w="4968"/>
            <w:vAlign w:val="center"/>
          </w:tcPr>
          <w:p>
            <w:r/>
            <w:r>
              <w:rPr>
                <w:b w:val="0"/>
                <w:sz w:val="17"/>
              </w:rPr>
              <w:t>NFR-02 Performance</w:t>
            </w:r>
          </w:p>
        </w:tc>
        <w:tc>
          <w:tcPr>
            <w:tcW w:type="dxa" w:w="4968"/>
            <w:vAlign w:val="center"/>
          </w:tcPr>
          <w:p>
            <w:r/>
            <w:r>
              <w:rPr>
                <w:b w:val="0"/>
                <w:sz w:val="17"/>
              </w:rPr>
              <w:t>Aim for a result within 10 seconds under normal API conditions; show progress and handle longer waits gracefully. Actual time depends on the provider.</w:t>
            </w:r>
          </w:p>
        </w:tc>
      </w:tr>
      <w:tr>
        <w:tc>
          <w:tcPr>
            <w:tcW w:type="dxa" w:w="4968"/>
            <w:vAlign w:val="center"/>
          </w:tcPr>
          <w:p>
            <w:r/>
            <w:r>
              <w:rPr>
                <w:b w:val="0"/>
                <w:sz w:val="17"/>
              </w:rPr>
              <w:t>NFR-03 Security</w:t>
            </w:r>
          </w:p>
        </w:tc>
        <w:tc>
          <w:tcPr>
            <w:tcW w:type="dxa" w:w="4968"/>
            <w:vAlign w:val="center"/>
          </w:tcPr>
          <w:p>
            <w:r/>
            <w:r>
              <w:rPr>
                <w:b w:val="0"/>
                <w:sz w:val="17"/>
              </w:rPr>
              <w:t>Keep API keys in server-side environment variables; never bundle secrets into frontend code or commit them to Git.</w:t>
            </w:r>
          </w:p>
        </w:tc>
      </w:tr>
      <w:tr>
        <w:tc>
          <w:tcPr>
            <w:tcW w:type="dxa" w:w="4968"/>
            <w:vAlign w:val="center"/>
          </w:tcPr>
          <w:p>
            <w:r/>
            <w:r>
              <w:rPr>
                <w:b w:val="0"/>
                <w:sz w:val="17"/>
              </w:rPr>
              <w:t>NFR-04 Privacy</w:t>
            </w:r>
          </w:p>
        </w:tc>
        <w:tc>
          <w:tcPr>
            <w:tcW w:type="dxa" w:w="4968"/>
            <w:vAlign w:val="center"/>
          </w:tcPr>
          <w:p>
            <w:r/>
            <w:r>
              <w:rPr>
                <w:b w:val="0"/>
                <w:sz w:val="17"/>
              </w:rPr>
              <w:t>Do not persist submitted text by default. Tell users not to paste passwords, OTPs, full payment-card data, or other secrets.</w:t>
            </w:r>
          </w:p>
        </w:tc>
      </w:tr>
      <w:tr>
        <w:tc>
          <w:tcPr>
            <w:tcW w:type="dxa" w:w="4968"/>
            <w:vAlign w:val="center"/>
          </w:tcPr>
          <w:p>
            <w:r/>
            <w:r>
              <w:rPr>
                <w:b w:val="0"/>
                <w:sz w:val="17"/>
              </w:rPr>
              <w:t>NFR-05 Reliability</w:t>
            </w:r>
          </w:p>
        </w:tc>
        <w:tc>
          <w:tcPr>
            <w:tcW w:type="dxa" w:w="4968"/>
            <w:vAlign w:val="center"/>
          </w:tcPr>
          <w:p>
            <w:r/>
            <w:r>
              <w:rPr>
                <w:b w:val="0"/>
                <w:sz w:val="17"/>
              </w:rPr>
              <w:t>Invalid AI output must not be displayed as a trusted result. Validate provider output before returning it.</w:t>
            </w:r>
          </w:p>
        </w:tc>
      </w:tr>
      <w:tr>
        <w:tc>
          <w:tcPr>
            <w:tcW w:type="dxa" w:w="4968"/>
            <w:vAlign w:val="center"/>
          </w:tcPr>
          <w:p>
            <w:r/>
            <w:r>
              <w:rPr>
                <w:b w:val="0"/>
                <w:sz w:val="17"/>
              </w:rPr>
              <w:t>NFR-06 Accessibility</w:t>
            </w:r>
          </w:p>
        </w:tc>
        <w:tc>
          <w:tcPr>
            <w:tcW w:type="dxa" w:w="4968"/>
            <w:vAlign w:val="center"/>
          </w:tcPr>
          <w:p>
            <w:r/>
            <w:r>
              <w:rPr>
                <w:b w:val="0"/>
                <w:sz w:val="17"/>
              </w:rPr>
              <w:t>Use readable contrast, labelled form controls, keyboard-operable buttons, and visible focus states.</w:t>
            </w:r>
          </w:p>
        </w:tc>
      </w:tr>
      <w:tr>
        <w:tc>
          <w:tcPr>
            <w:tcW w:type="dxa" w:w="4968"/>
            <w:vAlign w:val="center"/>
          </w:tcPr>
          <w:p>
            <w:r/>
            <w:r>
              <w:rPr>
                <w:b w:val="0"/>
                <w:sz w:val="17"/>
              </w:rPr>
              <w:t>NFR-07 Compatibility</w:t>
            </w:r>
          </w:p>
        </w:tc>
        <w:tc>
          <w:tcPr>
            <w:tcW w:type="dxa" w:w="4968"/>
            <w:vAlign w:val="center"/>
          </w:tcPr>
          <w:p>
            <w:r/>
            <w:r>
              <w:rPr>
                <w:b w:val="0"/>
                <w:sz w:val="17"/>
              </w:rPr>
              <w:t>Support current versions of common desktop and mobile browsers.</w:t>
            </w:r>
          </w:p>
        </w:tc>
      </w:tr>
      <w:tr>
        <w:tc>
          <w:tcPr>
            <w:tcW w:type="dxa" w:w="4968"/>
            <w:vAlign w:val="center"/>
          </w:tcPr>
          <w:p>
            <w:r/>
            <w:r>
              <w:rPr>
                <w:b w:val="0"/>
                <w:sz w:val="17"/>
              </w:rPr>
              <w:t>NFR-08 Maintainability</w:t>
            </w:r>
          </w:p>
        </w:tc>
        <w:tc>
          <w:tcPr>
            <w:tcW w:type="dxa" w:w="4968"/>
            <w:vAlign w:val="center"/>
          </w:tcPr>
          <w:p>
            <w:r/>
            <w:r>
              <w:rPr>
                <w:b w:val="0"/>
                <w:sz w:val="17"/>
              </w:rPr>
              <w:t>Keep frontend components, API routes, validation schemas, and AI service logic separated.</w:t>
            </w:r>
          </w:p>
        </w:tc>
      </w:tr>
      <w:tr>
        <w:tc>
          <w:tcPr>
            <w:tcW w:type="dxa" w:w="4968"/>
            <w:vAlign w:val="center"/>
          </w:tcPr>
          <w:p>
            <w:r/>
            <w:r>
              <w:rPr>
                <w:b w:val="0"/>
                <w:sz w:val="17"/>
              </w:rPr>
              <w:t>NFR-09 Responsible AI</w:t>
            </w:r>
          </w:p>
        </w:tc>
        <w:tc>
          <w:tcPr>
            <w:tcW w:type="dxa" w:w="4968"/>
            <w:vAlign w:val="center"/>
          </w:tcPr>
          <w:p>
            <w:r/>
            <w:r>
              <w:rPr>
                <w:b w:val="0"/>
                <w:sz w:val="17"/>
              </w:rPr>
              <w:t>Avoid definitive claims, provide uncertainty, and do not claim that the app verifies links, phone numbers, senders, or organisations.</w:t>
            </w:r>
          </w:p>
        </w:tc>
      </w:tr>
    </w:tbl>
    <w:p/>
    <w:p>
      <w:pPr>
        <w:pStyle w:val="Heading1"/>
      </w:pPr>
      <w:r>
        <w:t>6. Interface Requirements</w:t>
      </w:r>
    </w:p>
    <w:p>
      <w:pPr>
        <w:pStyle w:val="Heading2"/>
      </w:pPr>
      <w:r>
        <w:t>6.1 Main screens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CFE3ED"/>
          </w:tcPr>
          <w:p>
            <w:r/>
            <w:r>
              <w:rPr>
                <w:b/>
                <w:sz w:val="17"/>
              </w:rPr>
              <w:t>Screen</w:t>
            </w:r>
          </w:p>
        </w:tc>
        <w:tc>
          <w:tcPr>
            <w:tcW w:type="dxa" w:w="4968"/>
            <w:vAlign w:val="center"/>
            <w:shd w:fill="CFE3ED"/>
          </w:tcPr>
          <w:p>
            <w:r/>
            <w:r>
              <w:rPr>
                <w:b/>
                <w:sz w:val="17"/>
              </w:rPr>
              <w:t>Required elements</w:t>
            </w:r>
          </w:p>
        </w:tc>
      </w:tr>
      <w:tr>
        <w:tc>
          <w:tcPr>
            <w:tcW w:type="dxa" w:w="4968"/>
            <w:vAlign w:val="center"/>
          </w:tcPr>
          <w:p>
            <w:r/>
            <w:r>
              <w:rPr>
                <w:b w:val="0"/>
                <w:sz w:val="17"/>
              </w:rPr>
              <w:t>Home / Analyse</w:t>
            </w:r>
          </w:p>
        </w:tc>
        <w:tc>
          <w:tcPr>
            <w:tcW w:type="dxa" w:w="4968"/>
            <w:vAlign w:val="center"/>
          </w:tcPr>
          <w:p>
            <w:r/>
            <w:r>
              <w:rPr>
                <w:b w:val="0"/>
                <w:sz w:val="17"/>
              </w:rPr>
              <w:t>Product name; short value proposition; multiline message input; character limit; Analyse button; privacy warning; navigation to learning mode.</w:t>
            </w:r>
          </w:p>
        </w:tc>
      </w:tr>
      <w:tr>
        <w:tc>
          <w:tcPr>
            <w:tcW w:type="dxa" w:w="4968"/>
            <w:vAlign w:val="center"/>
          </w:tcPr>
          <w:p>
            <w:r/>
            <w:r>
              <w:rPr>
                <w:b w:val="0"/>
                <w:sz w:val="17"/>
              </w:rPr>
              <w:t>Analysis result</w:t>
            </w:r>
          </w:p>
        </w:tc>
        <w:tc>
          <w:tcPr>
            <w:tcW w:type="dxa" w:w="4968"/>
            <w:vAlign w:val="center"/>
          </w:tcPr>
          <w:p>
            <w:r/>
            <w:r>
              <w:rPr>
                <w:b w:val="0"/>
                <w:sz w:val="17"/>
              </w:rPr>
              <w:t>Risk category with text label (not colour alone); summary; warning-sign list; safe-action list; limitations/uncertainty note; Analyse another message action.</w:t>
            </w:r>
          </w:p>
        </w:tc>
      </w:tr>
      <w:tr>
        <w:tc>
          <w:tcPr>
            <w:tcW w:type="dxa" w:w="4968"/>
            <w:vAlign w:val="center"/>
          </w:tcPr>
          <w:p>
            <w:r/>
            <w:r>
              <w:rPr>
                <w:b w:val="0"/>
                <w:sz w:val="17"/>
              </w:rPr>
              <w:t>Learn to Spot Scams</w:t>
            </w:r>
          </w:p>
        </w:tc>
        <w:tc>
          <w:tcPr>
            <w:tcW w:type="dxa" w:w="4968"/>
            <w:vAlign w:val="center"/>
          </w:tcPr>
          <w:p>
            <w:r/>
            <w:r>
              <w:rPr>
                <w:b w:val="0"/>
                <w:sz w:val="17"/>
              </w:rPr>
              <w:t>At least three fictional sample messages; reveal/answer interaction; explanation of warning signs; safety tip.</w:t>
            </w:r>
          </w:p>
        </w:tc>
      </w:tr>
      <w:tr>
        <w:tc>
          <w:tcPr>
            <w:tcW w:type="dxa" w:w="4968"/>
            <w:vAlign w:val="center"/>
          </w:tcPr>
          <w:p>
            <w:r/>
            <w:r>
              <w:rPr>
                <w:b w:val="0"/>
                <w:sz w:val="17"/>
              </w:rPr>
              <w:t>About / Safety</w:t>
            </w:r>
          </w:p>
        </w:tc>
        <w:tc>
          <w:tcPr>
            <w:tcW w:type="dxa" w:w="4968"/>
            <w:vAlign w:val="center"/>
          </w:tcPr>
          <w:p>
            <w:r/>
            <w:r>
              <w:rPr>
                <w:b w:val="0"/>
                <w:sz w:val="17"/>
              </w:rPr>
              <w:t>What the tool does and does not do; no-guarantee statement; reminder to contact organisations using independently verified official channels.</w:t>
            </w:r>
          </w:p>
        </w:tc>
      </w:tr>
    </w:tbl>
    <w:p/>
    <w:p>
      <w:pPr>
        <w:pStyle w:val="Heading2"/>
      </w:pPr>
      <w:r>
        <w:t>6.2 UX states</w:t>
      </w:r>
    </w:p>
    <w:p>
      <w:pPr>
        <w:pStyle w:val="ListBullet"/>
      </w:pPr>
      <w:r>
        <w:t>Idle: input is ready and Analyse is enabled when valid.</w:t>
      </w:r>
    </w:p>
    <w:p>
      <w:pPr>
        <w:pStyle w:val="ListBullet"/>
      </w:pPr>
      <w:r>
        <w:t>Validation error: explain what the user needs to correct.</w:t>
      </w:r>
    </w:p>
    <w:p>
      <w:pPr>
        <w:pStyle w:val="ListBullet"/>
      </w:pPr>
      <w:r>
        <w:t>Loading: show progress text; disable repeat submissions.</w:t>
      </w:r>
    </w:p>
    <w:p>
      <w:pPr>
        <w:pStyle w:val="ListBullet"/>
      </w:pPr>
      <w:r>
        <w:t>Success: show all validated result fields.</w:t>
      </w:r>
    </w:p>
    <w:p>
      <w:pPr>
        <w:pStyle w:val="ListBullet"/>
      </w:pPr>
      <w:r>
        <w:t>Service failure: explain that analysis is temporarily unavailable; allow retry.</w:t>
      </w:r>
    </w:p>
    <w:p>
      <w:pPr>
        <w:pStyle w:val="ListBullet"/>
      </w:pPr>
      <w:r>
        <w:t>Insufficient information: ask the user to verify through official channels instead of forcing a confident classification.</w:t>
      </w:r>
    </w:p>
    <w:p>
      <w:pPr>
        <w:pStyle w:val="Heading1"/>
      </w:pPr>
      <w:r>
        <w:t>7. System Architecture</w:t>
      </w:r>
    </w:p>
    <w:p>
      <w:r>
        <w:t>Recommended request flow:</w:t>
      </w:r>
    </w:p>
    <w:p>
      <w:pPr>
        <w:jc w:val="center"/>
      </w:pPr>
      <w:r>
        <w:rPr>
          <w:b/>
          <w:color w:val="0F5273"/>
        </w:rPr>
        <w:t>React UI  →  Express API  →  Input validation  →  AI service  →  Output validation  →  React result</w:t>
      </w:r>
    </w:p>
    <w:p>
      <w:r>
        <w:t>The frontend must call only the application's backend endpoint. The backend is responsible for API credentials, prompt construction, provider calls, timeout handling, and response validation. No database is needed for the MVP.</w:t>
      </w:r>
    </w:p>
    <w:p>
      <w:pPr>
        <w:pStyle w:val="Heading2"/>
      </w:pPr>
      <w:r>
        <w:t>7.1 Suggested folder structure</w:t>
      </w:r>
    </w:p>
    <w:p>
      <w:pPr>
        <w:ind w:left="360"/>
      </w:pPr>
      <w:r>
        <w:rPr>
          <w:rFonts w:ascii="Consolas" w:hAnsi="Consolas"/>
          <w:sz w:val="17"/>
        </w:rPr>
        <w:t>scamshield/</w:t>
        <w:br/>
        <w:t xml:space="preserve">  client/</w:t>
        <w:br/>
        <w:t xml:space="preserve">    src/</w:t>
        <w:br/>
        <w:t xml:space="preserve">      components/</w:t>
        <w:br/>
        <w:t xml:space="preserve">      pages/</w:t>
        <w:br/>
        <w:t xml:space="preserve">      services/api.ts</w:t>
        <w:br/>
        <w:t xml:space="preserve">      types/</w:t>
        <w:br/>
        <w:t xml:space="preserve">      App.tsx</w:t>
        <w:br/>
        <w:t xml:space="preserve">  server/</w:t>
        <w:br/>
        <w:t xml:space="preserve">    src/</w:t>
        <w:br/>
        <w:t xml:space="preserve">      routes/analyze.routes.ts</w:t>
        <w:br/>
        <w:t xml:space="preserve">      services/ai.service.ts</w:t>
        <w:br/>
        <w:t xml:space="preserve">      schemas/analyze.schema.ts</w:t>
        <w:br/>
        <w:t xml:space="preserve">      app.ts</w:t>
        <w:br/>
        <w:t xml:space="preserve">      server.ts</w:t>
        <w:br/>
        <w:t xml:space="preserve">    .env</w:t>
        <w:br/>
        <w:t xml:space="preserve">    .env.example</w:t>
        <w:br/>
      </w:r>
    </w:p>
    <w:p>
      <w:pPr>
        <w:pStyle w:val="Heading1"/>
      </w:pPr>
      <w:r>
        <w:t>8. API Specification</w:t>
      </w:r>
    </w:p>
    <w:p>
      <w:pPr>
        <w:pStyle w:val="Heading2"/>
      </w:pPr>
      <w:r>
        <w:t>8.1 POST /api/analyze</w:t>
      </w:r>
    </w:p>
    <w:p>
      <w:r>
        <w:t>Purpose: analyse a user-submitted text message. Request content type: application/json.</w:t>
      </w:r>
    </w:p>
    <w:p>
      <w:r>
        <w:t>Example request:</w:t>
      </w:r>
    </w:p>
    <w:p>
      <w:r>
        <w:rPr>
          <w:rFonts w:ascii="Consolas" w:hAnsi="Consolas"/>
          <w:sz w:val="17"/>
        </w:rPr>
        <w:t>{</w:t>
        <w:br/>
        <w:t xml:space="preserve">  "message": "Your account will be blocked today. Send your OTP to restore access."</w:t>
        <w:br/>
        <w:t>}</w:t>
      </w:r>
    </w:p>
    <w:p>
      <w:r>
        <w:t>Example success response (illustrative schema; the actual assessment must be based on the submitted text):</w:t>
      </w:r>
    </w:p>
    <w:p>
      <w:r>
        <w:rPr>
          <w:rFonts w:ascii="Consolas" w:hAnsi="Consolas"/>
          <w:sz w:val="16"/>
        </w:rPr>
        <w:t>{</w:t>
        <w:br/>
        <w:t xml:space="preserve">  "success": true,</w:t>
        <w:br/>
        <w:t xml:space="preserve">  "analysis": {</w:t>
        <w:br/>
        <w:t xml:space="preserve">    "riskLevel": "HIGH",</w:t>
        <w:br/>
        <w:t xml:space="preserve">    "summary": "This message uses urgency and asks for an OTP, which are strong warning signs.",</w:t>
        <w:br/>
        <w:t xml:space="preserve">    "warningSigns": [</w:t>
        <w:br/>
        <w:t xml:space="preserve">      {</w:t>
        <w:br/>
        <w:t xml:space="preserve">        "evidence": "Send your OTP",</w:t>
        <w:br/>
        <w:t xml:space="preserve">        "explanation": "Legitimate support should not ask you to disclose a one-time password."</w:t>
        <w:br/>
        <w:t xml:space="preserve">      }</w:t>
        <w:br/>
        <w:t xml:space="preserve">    ],</w:t>
        <w:br/>
        <w:t xml:space="preserve">    "safeActions": [</w:t>
        <w:br/>
        <w:t xml:space="preserve">      "Do not share an OTP or click any included link.",</w:t>
        <w:br/>
        <w:t xml:space="preserve">      "Contact the organisation using its official app or a number you independently verify."</w:t>
        <w:br/>
        <w:t xml:space="preserve">    ],</w:t>
        <w:br/>
        <w:t xml:space="preserve">    "limitations": "This is an AI-based assessment, not proof of sender identity or fraud."</w:t>
        <w:br/>
        <w:t xml:space="preserve">  }</w:t>
        <w:br/>
        <w:t>}</w:t>
      </w:r>
    </w:p>
    <w:p>
      <w:r>
        <w:t>Suggested HTTP statuses: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CFE3ED"/>
          </w:tcPr>
          <w:p>
            <w:r/>
            <w:r>
              <w:rPr>
                <w:b/>
                <w:sz w:val="17"/>
              </w:rPr>
              <w:t>Status</w:t>
            </w:r>
          </w:p>
        </w:tc>
        <w:tc>
          <w:tcPr>
            <w:tcW w:type="dxa" w:w="4968"/>
            <w:vAlign w:val="center"/>
            <w:shd w:fill="CFE3ED"/>
          </w:tcPr>
          <w:p>
            <w:r/>
            <w:r>
              <w:rPr>
                <w:b/>
                <w:sz w:val="17"/>
              </w:rPr>
              <w:t>Meaning</w:t>
            </w:r>
          </w:p>
        </w:tc>
      </w:tr>
      <w:tr>
        <w:tc>
          <w:tcPr>
            <w:tcW w:type="dxa" w:w="4968"/>
            <w:vAlign w:val="center"/>
          </w:tcPr>
          <w:p>
            <w:r/>
            <w:r>
              <w:rPr>
                <w:b w:val="0"/>
                <w:sz w:val="17"/>
              </w:rPr>
              <w:t>200</w:t>
            </w:r>
          </w:p>
        </w:tc>
        <w:tc>
          <w:tcPr>
            <w:tcW w:type="dxa" w:w="4968"/>
            <w:vAlign w:val="center"/>
          </w:tcPr>
          <w:p>
            <w:r/>
            <w:r>
              <w:rPr>
                <w:b w:val="0"/>
                <w:sz w:val="17"/>
              </w:rPr>
              <w:t>Analysis completed with a validated response.</w:t>
            </w:r>
          </w:p>
        </w:tc>
      </w:tr>
      <w:tr>
        <w:tc>
          <w:tcPr>
            <w:tcW w:type="dxa" w:w="4968"/>
            <w:vAlign w:val="center"/>
          </w:tcPr>
          <w:p>
            <w:r/>
            <w:r>
              <w:rPr>
                <w:b w:val="0"/>
                <w:sz w:val="17"/>
              </w:rPr>
              <w:t>400</w:t>
            </w:r>
          </w:p>
        </w:tc>
        <w:tc>
          <w:tcPr>
            <w:tcW w:type="dxa" w:w="4968"/>
            <w:vAlign w:val="center"/>
          </w:tcPr>
          <w:p>
            <w:r/>
            <w:r>
              <w:rPr>
                <w:b w:val="0"/>
                <w:sz w:val="17"/>
              </w:rPr>
              <w:t>Missing, empty, or invalid message.</w:t>
            </w:r>
          </w:p>
        </w:tc>
      </w:tr>
      <w:tr>
        <w:tc>
          <w:tcPr>
            <w:tcW w:type="dxa" w:w="4968"/>
            <w:vAlign w:val="center"/>
          </w:tcPr>
          <w:p>
            <w:r/>
            <w:r>
              <w:rPr>
                <w:b w:val="0"/>
                <w:sz w:val="17"/>
              </w:rPr>
              <w:t>413</w:t>
            </w:r>
          </w:p>
        </w:tc>
        <w:tc>
          <w:tcPr>
            <w:tcW w:type="dxa" w:w="4968"/>
            <w:vAlign w:val="center"/>
          </w:tcPr>
          <w:p>
            <w:r/>
            <w:r>
              <w:rPr>
                <w:b w:val="0"/>
                <w:sz w:val="17"/>
              </w:rPr>
              <w:t>Message exceeds the configured length limit.</w:t>
            </w:r>
          </w:p>
        </w:tc>
      </w:tr>
      <w:tr>
        <w:tc>
          <w:tcPr>
            <w:tcW w:type="dxa" w:w="4968"/>
            <w:vAlign w:val="center"/>
          </w:tcPr>
          <w:p>
            <w:r/>
            <w:r>
              <w:rPr>
                <w:b w:val="0"/>
                <w:sz w:val="17"/>
              </w:rPr>
              <w:t>429</w:t>
            </w:r>
          </w:p>
        </w:tc>
        <w:tc>
          <w:tcPr>
            <w:tcW w:type="dxa" w:w="4968"/>
            <w:vAlign w:val="center"/>
          </w:tcPr>
          <w:p>
            <w:r/>
            <w:r>
              <w:rPr>
                <w:b w:val="0"/>
                <w:sz w:val="17"/>
              </w:rPr>
              <w:t>Rate limit reached, if rate limiting is implemented.</w:t>
            </w:r>
          </w:p>
        </w:tc>
      </w:tr>
      <w:tr>
        <w:tc>
          <w:tcPr>
            <w:tcW w:type="dxa" w:w="4968"/>
            <w:vAlign w:val="center"/>
          </w:tcPr>
          <w:p>
            <w:r/>
            <w:r>
              <w:rPr>
                <w:b w:val="0"/>
                <w:sz w:val="17"/>
              </w:rPr>
              <w:t>502</w:t>
            </w:r>
          </w:p>
        </w:tc>
        <w:tc>
          <w:tcPr>
            <w:tcW w:type="dxa" w:w="4968"/>
            <w:vAlign w:val="center"/>
          </w:tcPr>
          <w:p>
            <w:r/>
            <w:r>
              <w:rPr>
                <w:b w:val="0"/>
                <w:sz w:val="17"/>
              </w:rPr>
              <w:t>AI provider returned an invalid or unusable response.</w:t>
            </w:r>
          </w:p>
        </w:tc>
      </w:tr>
      <w:tr>
        <w:tc>
          <w:tcPr>
            <w:tcW w:type="dxa" w:w="4968"/>
            <w:vAlign w:val="center"/>
          </w:tcPr>
          <w:p>
            <w:r/>
            <w:r>
              <w:rPr>
                <w:b w:val="0"/>
                <w:sz w:val="17"/>
              </w:rPr>
              <w:t>503</w:t>
            </w:r>
          </w:p>
        </w:tc>
        <w:tc>
          <w:tcPr>
            <w:tcW w:type="dxa" w:w="4968"/>
            <w:vAlign w:val="center"/>
          </w:tcPr>
          <w:p>
            <w:r/>
            <w:r>
              <w:rPr>
                <w:b w:val="0"/>
                <w:sz w:val="17"/>
              </w:rPr>
              <w:t>AI provider unavailable or timed out.</w:t>
            </w:r>
          </w:p>
        </w:tc>
      </w:tr>
    </w:tbl>
    <w:p/>
    <w:p>
      <w:pPr>
        <w:pStyle w:val="Heading2"/>
      </w:pPr>
      <w:r>
        <w:t>8.2 Response schema</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CFE3ED"/>
          </w:tcPr>
          <w:p>
            <w:r/>
            <w:r>
              <w:rPr>
                <w:b/>
                <w:sz w:val="17"/>
              </w:rPr>
              <w:t>Field</w:t>
            </w:r>
          </w:p>
        </w:tc>
        <w:tc>
          <w:tcPr>
            <w:tcW w:type="dxa" w:w="3312"/>
            <w:vAlign w:val="center"/>
            <w:shd w:fill="CFE3ED"/>
          </w:tcPr>
          <w:p>
            <w:r/>
            <w:r>
              <w:rPr>
                <w:b/>
                <w:sz w:val="17"/>
              </w:rPr>
              <w:t>Type</w:t>
            </w:r>
          </w:p>
        </w:tc>
        <w:tc>
          <w:tcPr>
            <w:tcW w:type="dxa" w:w="3312"/>
            <w:vAlign w:val="center"/>
            <w:shd w:fill="CFE3ED"/>
          </w:tcPr>
          <w:p>
            <w:r/>
            <w:r>
              <w:rPr>
                <w:b/>
                <w:sz w:val="17"/>
              </w:rPr>
              <w:t>Rules</w:t>
            </w:r>
          </w:p>
        </w:tc>
      </w:tr>
      <w:tr>
        <w:tc>
          <w:tcPr>
            <w:tcW w:type="dxa" w:w="3312"/>
            <w:vAlign w:val="center"/>
          </w:tcPr>
          <w:p>
            <w:r/>
            <w:r>
              <w:rPr>
                <w:b w:val="0"/>
                <w:sz w:val="17"/>
              </w:rPr>
              <w:t>success</w:t>
            </w:r>
          </w:p>
        </w:tc>
        <w:tc>
          <w:tcPr>
            <w:tcW w:type="dxa" w:w="3312"/>
            <w:vAlign w:val="center"/>
          </w:tcPr>
          <w:p>
            <w:r/>
            <w:r>
              <w:rPr>
                <w:b w:val="0"/>
                <w:sz w:val="17"/>
              </w:rPr>
              <w:t>boolean</w:t>
            </w:r>
          </w:p>
        </w:tc>
        <w:tc>
          <w:tcPr>
            <w:tcW w:type="dxa" w:w="3312"/>
            <w:vAlign w:val="center"/>
          </w:tcPr>
          <w:p>
            <w:r/>
            <w:r>
              <w:rPr>
                <w:b w:val="0"/>
                <w:sz w:val="17"/>
              </w:rPr>
              <w:t>true only when a valid analysis is returned.</w:t>
            </w:r>
          </w:p>
        </w:tc>
      </w:tr>
      <w:tr>
        <w:tc>
          <w:tcPr>
            <w:tcW w:type="dxa" w:w="3312"/>
            <w:vAlign w:val="center"/>
          </w:tcPr>
          <w:p>
            <w:r/>
            <w:r>
              <w:rPr>
                <w:b w:val="0"/>
                <w:sz w:val="17"/>
              </w:rPr>
              <w:t>analysis.riskLevel</w:t>
            </w:r>
          </w:p>
        </w:tc>
        <w:tc>
          <w:tcPr>
            <w:tcW w:type="dxa" w:w="3312"/>
            <w:vAlign w:val="center"/>
          </w:tcPr>
          <w:p>
            <w:r/>
            <w:r>
              <w:rPr>
                <w:b w:val="0"/>
                <w:sz w:val="17"/>
              </w:rPr>
              <w:t>string enum</w:t>
            </w:r>
          </w:p>
        </w:tc>
        <w:tc>
          <w:tcPr>
            <w:tcW w:type="dxa" w:w="3312"/>
            <w:vAlign w:val="center"/>
          </w:tcPr>
          <w:p>
            <w:r/>
            <w:r>
              <w:rPr>
                <w:b w:val="0"/>
                <w:sz w:val="17"/>
              </w:rPr>
              <w:t>HIGH | MEDIUM | LOW | INSUFFICIENT_INFORMATION</w:t>
            </w:r>
          </w:p>
        </w:tc>
      </w:tr>
      <w:tr>
        <w:tc>
          <w:tcPr>
            <w:tcW w:type="dxa" w:w="3312"/>
            <w:vAlign w:val="center"/>
          </w:tcPr>
          <w:p>
            <w:r/>
            <w:r>
              <w:rPr>
                <w:b w:val="0"/>
                <w:sz w:val="17"/>
              </w:rPr>
              <w:t>analysis.summary</w:t>
            </w:r>
          </w:p>
        </w:tc>
        <w:tc>
          <w:tcPr>
            <w:tcW w:type="dxa" w:w="3312"/>
            <w:vAlign w:val="center"/>
          </w:tcPr>
          <w:p>
            <w:r/>
            <w:r>
              <w:rPr>
                <w:b w:val="0"/>
                <w:sz w:val="17"/>
              </w:rPr>
              <w:t>string</w:t>
            </w:r>
          </w:p>
        </w:tc>
        <w:tc>
          <w:tcPr>
            <w:tcW w:type="dxa" w:w="3312"/>
            <w:vAlign w:val="center"/>
          </w:tcPr>
          <w:p>
            <w:r/>
            <w:r>
              <w:rPr>
                <w:b w:val="0"/>
                <w:sz w:val="17"/>
              </w:rPr>
              <w:t>Short, plain-language summary.</w:t>
            </w:r>
          </w:p>
        </w:tc>
      </w:tr>
      <w:tr>
        <w:tc>
          <w:tcPr>
            <w:tcW w:type="dxa" w:w="3312"/>
            <w:vAlign w:val="center"/>
          </w:tcPr>
          <w:p>
            <w:r/>
            <w:r>
              <w:rPr>
                <w:b w:val="0"/>
                <w:sz w:val="17"/>
              </w:rPr>
              <w:t>analysis.warningSigns</w:t>
            </w:r>
          </w:p>
        </w:tc>
        <w:tc>
          <w:tcPr>
            <w:tcW w:type="dxa" w:w="3312"/>
            <w:vAlign w:val="center"/>
          </w:tcPr>
          <w:p>
            <w:r/>
            <w:r>
              <w:rPr>
                <w:b w:val="0"/>
                <w:sz w:val="17"/>
              </w:rPr>
              <w:t>array</w:t>
            </w:r>
          </w:p>
        </w:tc>
        <w:tc>
          <w:tcPr>
            <w:tcW w:type="dxa" w:w="3312"/>
            <w:vAlign w:val="center"/>
          </w:tcPr>
          <w:p>
            <w:r/>
            <w:r>
              <w:rPr>
                <w:b w:val="0"/>
                <w:sz w:val="17"/>
              </w:rPr>
              <w:t>Each item includes evidence and explanation; may be empty.</w:t>
            </w:r>
          </w:p>
        </w:tc>
      </w:tr>
      <w:tr>
        <w:tc>
          <w:tcPr>
            <w:tcW w:type="dxa" w:w="3312"/>
            <w:vAlign w:val="center"/>
          </w:tcPr>
          <w:p>
            <w:r/>
            <w:r>
              <w:rPr>
                <w:b w:val="0"/>
                <w:sz w:val="17"/>
              </w:rPr>
              <w:t>analysis.safeActions</w:t>
            </w:r>
          </w:p>
        </w:tc>
        <w:tc>
          <w:tcPr>
            <w:tcW w:type="dxa" w:w="3312"/>
            <w:vAlign w:val="center"/>
          </w:tcPr>
          <w:p>
            <w:r/>
            <w:r>
              <w:rPr>
                <w:b w:val="0"/>
                <w:sz w:val="17"/>
              </w:rPr>
              <w:t>array of strings</w:t>
            </w:r>
          </w:p>
        </w:tc>
        <w:tc>
          <w:tcPr>
            <w:tcW w:type="dxa" w:w="3312"/>
            <w:vAlign w:val="center"/>
          </w:tcPr>
          <w:p>
            <w:r/>
            <w:r>
              <w:rPr>
                <w:b w:val="0"/>
                <w:sz w:val="17"/>
              </w:rPr>
              <w:t>Practical, safe next steps; may be empty only when no advice is appropriate.</w:t>
            </w:r>
          </w:p>
        </w:tc>
      </w:tr>
      <w:tr>
        <w:tc>
          <w:tcPr>
            <w:tcW w:type="dxa" w:w="3312"/>
            <w:vAlign w:val="center"/>
          </w:tcPr>
          <w:p>
            <w:r/>
            <w:r>
              <w:rPr>
                <w:b w:val="0"/>
                <w:sz w:val="17"/>
              </w:rPr>
              <w:t>analysis.limitations</w:t>
            </w:r>
          </w:p>
        </w:tc>
        <w:tc>
          <w:tcPr>
            <w:tcW w:type="dxa" w:w="3312"/>
            <w:vAlign w:val="center"/>
          </w:tcPr>
          <w:p>
            <w:r/>
            <w:r>
              <w:rPr>
                <w:b w:val="0"/>
                <w:sz w:val="17"/>
              </w:rPr>
              <w:t>string</w:t>
            </w:r>
          </w:p>
        </w:tc>
        <w:tc>
          <w:tcPr>
            <w:tcW w:type="dxa" w:w="3312"/>
            <w:vAlign w:val="center"/>
          </w:tcPr>
          <w:p>
            <w:r/>
            <w:r>
              <w:rPr>
                <w:b w:val="0"/>
                <w:sz w:val="17"/>
              </w:rPr>
              <w:t>Must communicate uncertainty and limits of automated assessment.</w:t>
            </w:r>
          </w:p>
        </w:tc>
      </w:tr>
    </w:tbl>
    <w:p/>
    <w:p>
      <w:pPr>
        <w:pStyle w:val="Heading2"/>
      </w:pPr>
      <w:r>
        <w:t>8.3 Backend implementation rules</w:t>
      </w:r>
    </w:p>
    <w:p>
      <w:pPr>
        <w:pStyle w:val="ListBullet"/>
      </w:pPr>
      <w:r>
        <w:t>Validate request body and enforce the 5,000-character limit on the server, regardless of frontend validation.</w:t>
      </w:r>
    </w:p>
    <w:p>
      <w:pPr>
        <w:pStyle w:val="ListBullet"/>
      </w:pPr>
      <w:r>
        <w:t>Use a timeout and catch provider errors; never return raw API keys, stack traces, or sensitive provider details.</w:t>
      </w:r>
    </w:p>
    <w:p>
      <w:pPr>
        <w:pStyle w:val="ListBullet"/>
      </w:pPr>
      <w:r>
        <w:t>Validate the AI response against a schema before returning it to the frontend.</w:t>
      </w:r>
    </w:p>
    <w:p>
      <w:pPr>
        <w:pStyle w:val="ListBullet"/>
      </w:pPr>
      <w:r>
        <w:t>Do not interpret a URL as verified or visit/crawl it in the MVP.</w:t>
      </w:r>
    </w:p>
    <w:p>
      <w:pPr>
        <w:pStyle w:val="ListBullet"/>
      </w:pPr>
      <w:r>
        <w:t>Avoid logging the full submitted message. If diagnostic logging is required, log only non-sensitive metadata.</w:t>
      </w:r>
    </w:p>
    <w:p>
      <w:pPr>
        <w:pStyle w:val="Heading1"/>
      </w:pPr>
      <w:r>
        <w:t>9. AI Behaviour and Safety Requirements</w:t>
      </w:r>
    </w:p>
    <w:p>
      <w:pPr>
        <w:pStyle w:val="ListBullet"/>
      </w:pPr>
      <w:r>
        <w:t>The AI must classify only based on observable content in the submitted message and clearly label uncertainty.</w:t>
      </w:r>
    </w:p>
    <w:p>
      <w:pPr>
        <w:pStyle w:val="ListBullet"/>
      </w:pPr>
      <w:r>
        <w:t>It must distinguish quoted evidence from interpretation and must not invent sender identity, official status, URL reputation, or external facts.</w:t>
      </w:r>
    </w:p>
    <w:p>
      <w:pPr>
        <w:pStyle w:val="ListBullet"/>
      </w:pPr>
      <w:r>
        <w:t>It should identify common warning patterns such as urgency, threats, requests for OTPs/passwords, advance fees, unrealistic rewards/jobs, impersonation cues, and pressure to move money, when present.</w:t>
      </w:r>
    </w:p>
    <w:p>
      <w:pPr>
        <w:pStyle w:val="ListBullet"/>
      </w:pPr>
      <w:r>
        <w:t>It must not advise the user to reply, share credentials, transfer money, install unknown software, or open suspicious links.</w:t>
      </w:r>
    </w:p>
    <w:p>
      <w:pPr>
        <w:pStyle w:val="ListBullet"/>
      </w:pPr>
      <w:r>
        <w:t>The app must not state that LOW means safe. Use wording such as “No strong warning signs were detected in the text provided; this does not guarantee safety.”</w:t>
      </w:r>
    </w:p>
    <w:p>
      <w:pPr>
        <w:pStyle w:val="ListBullet"/>
      </w:pPr>
      <w:r>
        <w:t>The AI prompt must treat the user-submitted message as untrusted data, not as instructions for the model or application.</w:t>
      </w:r>
    </w:p>
    <w:p>
      <w:pPr>
        <w:pStyle w:val="ListBullet"/>
      </w:pPr>
      <w:r>
        <w:t>Show a persistent disclaimer: “ScamShield provides an AI-assisted assessment, not a guarantee. Verify important requests through official channels.”</w:t>
      </w:r>
    </w:p>
    <w:p>
      <w:pPr>
        <w:pStyle w:val="ListBullet"/>
      </w:pPr>
      <w:r>
        <w:t>The learning examples must be fictional and must not include real personal data, live malicious links, or instructions that facilitate fraud.</w:t>
      </w:r>
    </w:p>
    <w:p>
      <w:pPr>
        <w:pStyle w:val="Heading1"/>
      </w:pPr>
      <w:r>
        <w:t>10. Data and Privacy</w:t>
      </w:r>
    </w:p>
    <w:p>
      <w:pPr>
        <w:pStyle w:val="ListBullet"/>
      </w:pPr>
      <w:r>
        <w:t>No database or account system is required for version 1.0.</w:t>
      </w:r>
    </w:p>
    <w:p>
      <w:pPr>
        <w:pStyle w:val="ListBullet"/>
      </w:pPr>
      <w:r>
        <w:t>Do not save message text to localStorage, sessionStorage, analytics, or a server-side history.</w:t>
      </w:r>
    </w:p>
    <w:p>
      <w:pPr>
        <w:pStyle w:val="ListBullet"/>
      </w:pPr>
      <w:r>
        <w:t>Display a short notice before submission: “Avoid pasting passwords, OTPs, full card numbers, or other secrets.”</w:t>
      </w:r>
    </w:p>
    <w:p>
      <w:pPr>
        <w:pStyle w:val="ListBullet"/>
      </w:pPr>
      <w:r>
        <w:t>Use HTTPS for deployment and configure CORS to permit only the intended frontend origin in production.</w:t>
      </w:r>
    </w:p>
    <w:p>
      <w:pPr>
        <w:pStyle w:val="ListBullet"/>
      </w:pPr>
      <w:r>
        <w:t>Keep .env out of version control; provide .env.example with variable names but no real credentials.</w:t>
      </w:r>
    </w:p>
    <w:p>
      <w:pPr>
        <w:pStyle w:val="Heading1"/>
      </w:pPr>
      <w:r>
        <w:t>11. Testing and Acceptance Criteria</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CFE3ED"/>
          </w:tcPr>
          <w:p>
            <w:r/>
            <w:r>
              <w:rPr>
                <w:b/>
                <w:sz w:val="17"/>
              </w:rPr>
              <w:t>Test ID</w:t>
            </w:r>
          </w:p>
        </w:tc>
        <w:tc>
          <w:tcPr>
            <w:tcW w:type="dxa" w:w="3312"/>
            <w:vAlign w:val="center"/>
            <w:shd w:fill="CFE3ED"/>
          </w:tcPr>
          <w:p>
            <w:r/>
            <w:r>
              <w:rPr>
                <w:b/>
                <w:sz w:val="17"/>
              </w:rPr>
              <w:t>Scenario</w:t>
            </w:r>
          </w:p>
        </w:tc>
        <w:tc>
          <w:tcPr>
            <w:tcW w:type="dxa" w:w="3312"/>
            <w:vAlign w:val="center"/>
            <w:shd w:fill="CFE3ED"/>
          </w:tcPr>
          <w:p>
            <w:r/>
            <w:r>
              <w:rPr>
                <w:b/>
                <w:sz w:val="17"/>
              </w:rPr>
              <w:t>Expected result</w:t>
            </w:r>
          </w:p>
        </w:tc>
      </w:tr>
      <w:tr>
        <w:tc>
          <w:tcPr>
            <w:tcW w:type="dxa" w:w="3312"/>
            <w:vAlign w:val="center"/>
          </w:tcPr>
          <w:p>
            <w:r/>
            <w:r>
              <w:rPr>
                <w:b w:val="0"/>
                <w:sz w:val="17"/>
              </w:rPr>
              <w:t>TC-01</w:t>
            </w:r>
          </w:p>
        </w:tc>
        <w:tc>
          <w:tcPr>
            <w:tcW w:type="dxa" w:w="3312"/>
            <w:vAlign w:val="center"/>
          </w:tcPr>
          <w:p>
            <w:r/>
            <w:r>
              <w:rPr>
                <w:b w:val="0"/>
                <w:sz w:val="17"/>
              </w:rPr>
              <w:t>Submit empty input</w:t>
            </w:r>
          </w:p>
        </w:tc>
        <w:tc>
          <w:tcPr>
            <w:tcW w:type="dxa" w:w="3312"/>
            <w:vAlign w:val="center"/>
          </w:tcPr>
          <w:p>
            <w:r/>
            <w:r>
              <w:rPr>
                <w:b w:val="0"/>
                <w:sz w:val="17"/>
              </w:rPr>
              <w:t>Request is not sent; clear validation message appears.</w:t>
            </w:r>
          </w:p>
        </w:tc>
      </w:tr>
      <w:tr>
        <w:tc>
          <w:tcPr>
            <w:tcW w:type="dxa" w:w="3312"/>
            <w:vAlign w:val="center"/>
          </w:tcPr>
          <w:p>
            <w:r/>
            <w:r>
              <w:rPr>
                <w:b w:val="0"/>
                <w:sz w:val="17"/>
              </w:rPr>
              <w:t>TC-02</w:t>
            </w:r>
          </w:p>
        </w:tc>
        <w:tc>
          <w:tcPr>
            <w:tcW w:type="dxa" w:w="3312"/>
            <w:vAlign w:val="center"/>
          </w:tcPr>
          <w:p>
            <w:r/>
            <w:r>
              <w:rPr>
                <w:b w:val="0"/>
                <w:sz w:val="17"/>
              </w:rPr>
              <w:t>Submit a fictional urgent OTP request</w:t>
            </w:r>
          </w:p>
        </w:tc>
        <w:tc>
          <w:tcPr>
            <w:tcW w:type="dxa" w:w="3312"/>
            <w:vAlign w:val="center"/>
          </w:tcPr>
          <w:p>
            <w:r/>
            <w:r>
              <w:rPr>
                <w:b w:val="0"/>
                <w:sz w:val="17"/>
              </w:rPr>
              <w:t>Analysis highlights the OTP request and urgency if present, with safe next steps and uncertainty.</w:t>
            </w:r>
          </w:p>
        </w:tc>
      </w:tr>
      <w:tr>
        <w:tc>
          <w:tcPr>
            <w:tcW w:type="dxa" w:w="3312"/>
            <w:vAlign w:val="center"/>
          </w:tcPr>
          <w:p>
            <w:r/>
            <w:r>
              <w:rPr>
                <w:b w:val="0"/>
                <w:sz w:val="17"/>
              </w:rPr>
              <w:t>TC-03</w:t>
            </w:r>
          </w:p>
        </w:tc>
        <w:tc>
          <w:tcPr>
            <w:tcW w:type="dxa" w:w="3312"/>
            <w:vAlign w:val="center"/>
          </w:tcPr>
          <w:p>
            <w:r/>
            <w:r>
              <w:rPr>
                <w:b w:val="0"/>
                <w:sz w:val="17"/>
              </w:rPr>
              <w:t>Submit an ordinary benign message</w:t>
            </w:r>
          </w:p>
        </w:tc>
        <w:tc>
          <w:tcPr>
            <w:tcW w:type="dxa" w:w="3312"/>
            <w:vAlign w:val="center"/>
          </w:tcPr>
          <w:p>
            <w:r/>
            <w:r>
              <w:rPr>
                <w:b w:val="0"/>
                <w:sz w:val="17"/>
              </w:rPr>
              <w:t>The system does not automatically label every message HIGH risk; it explains any uncertainty.</w:t>
            </w:r>
          </w:p>
        </w:tc>
      </w:tr>
      <w:tr>
        <w:tc>
          <w:tcPr>
            <w:tcW w:type="dxa" w:w="3312"/>
            <w:vAlign w:val="center"/>
          </w:tcPr>
          <w:p>
            <w:r/>
            <w:r>
              <w:rPr>
                <w:b w:val="0"/>
                <w:sz w:val="17"/>
              </w:rPr>
              <w:t>TC-04</w:t>
            </w:r>
          </w:p>
        </w:tc>
        <w:tc>
          <w:tcPr>
            <w:tcW w:type="dxa" w:w="3312"/>
            <w:vAlign w:val="center"/>
          </w:tcPr>
          <w:p>
            <w:r/>
            <w:r>
              <w:rPr>
                <w:b w:val="0"/>
                <w:sz w:val="17"/>
              </w:rPr>
              <w:t>Submit more than 5,000 characters</w:t>
            </w:r>
          </w:p>
        </w:tc>
        <w:tc>
          <w:tcPr>
            <w:tcW w:type="dxa" w:w="3312"/>
            <w:vAlign w:val="center"/>
          </w:tcPr>
          <w:p>
            <w:r/>
            <w:r>
              <w:rPr>
                <w:b w:val="0"/>
                <w:sz w:val="17"/>
              </w:rPr>
              <w:t>Backend rejects the request with a clear length error.</w:t>
            </w:r>
          </w:p>
        </w:tc>
      </w:tr>
      <w:tr>
        <w:tc>
          <w:tcPr>
            <w:tcW w:type="dxa" w:w="3312"/>
            <w:vAlign w:val="center"/>
          </w:tcPr>
          <w:p>
            <w:r/>
            <w:r>
              <w:rPr>
                <w:b w:val="0"/>
                <w:sz w:val="17"/>
              </w:rPr>
              <w:t>TC-05</w:t>
            </w:r>
          </w:p>
        </w:tc>
        <w:tc>
          <w:tcPr>
            <w:tcW w:type="dxa" w:w="3312"/>
            <w:vAlign w:val="center"/>
          </w:tcPr>
          <w:p>
            <w:r/>
            <w:r>
              <w:rPr>
                <w:b w:val="0"/>
                <w:sz w:val="17"/>
              </w:rPr>
              <w:t>AI API key is missing or provider is down</w:t>
            </w:r>
          </w:p>
        </w:tc>
        <w:tc>
          <w:tcPr>
            <w:tcW w:type="dxa" w:w="3312"/>
            <w:vAlign w:val="center"/>
          </w:tcPr>
          <w:p>
            <w:r/>
            <w:r>
              <w:rPr>
                <w:b w:val="0"/>
                <w:sz w:val="17"/>
              </w:rPr>
              <w:t>Friendly error state appears; no fabricated live result is shown.</w:t>
            </w:r>
          </w:p>
        </w:tc>
      </w:tr>
      <w:tr>
        <w:tc>
          <w:tcPr>
            <w:tcW w:type="dxa" w:w="3312"/>
            <w:vAlign w:val="center"/>
          </w:tcPr>
          <w:p>
            <w:r/>
            <w:r>
              <w:rPr>
                <w:b w:val="0"/>
                <w:sz w:val="17"/>
              </w:rPr>
              <w:t>TC-06</w:t>
            </w:r>
          </w:p>
        </w:tc>
        <w:tc>
          <w:tcPr>
            <w:tcW w:type="dxa" w:w="3312"/>
            <w:vAlign w:val="center"/>
          </w:tcPr>
          <w:p>
            <w:r/>
            <w:r>
              <w:rPr>
                <w:b w:val="0"/>
                <w:sz w:val="17"/>
              </w:rPr>
              <w:t>Provider returns malformed JSON</w:t>
            </w:r>
          </w:p>
        </w:tc>
        <w:tc>
          <w:tcPr>
            <w:tcW w:type="dxa" w:w="3312"/>
            <w:vAlign w:val="center"/>
          </w:tcPr>
          <w:p>
            <w:r/>
            <w:r>
              <w:rPr>
                <w:b w:val="0"/>
                <w:sz w:val="17"/>
              </w:rPr>
              <w:t>Backend rejects the response; invalid data is not rendered as trusted analysis.</w:t>
            </w:r>
          </w:p>
        </w:tc>
      </w:tr>
      <w:tr>
        <w:tc>
          <w:tcPr>
            <w:tcW w:type="dxa" w:w="3312"/>
            <w:vAlign w:val="center"/>
          </w:tcPr>
          <w:p>
            <w:r/>
            <w:r>
              <w:rPr>
                <w:b w:val="0"/>
                <w:sz w:val="17"/>
              </w:rPr>
              <w:t>TC-07</w:t>
            </w:r>
          </w:p>
        </w:tc>
        <w:tc>
          <w:tcPr>
            <w:tcW w:type="dxa" w:w="3312"/>
            <w:vAlign w:val="center"/>
          </w:tcPr>
          <w:p>
            <w:r/>
            <w:r>
              <w:rPr>
                <w:b w:val="0"/>
                <w:sz w:val="17"/>
              </w:rPr>
              <w:t>Open learning mode</w:t>
            </w:r>
          </w:p>
        </w:tc>
        <w:tc>
          <w:tcPr>
            <w:tcW w:type="dxa" w:w="3312"/>
            <w:vAlign w:val="center"/>
          </w:tcPr>
          <w:p>
            <w:r/>
            <w:r>
              <w:rPr>
                <w:b w:val="0"/>
                <w:sz w:val="17"/>
              </w:rPr>
              <w:t>Three fictional examples can be reviewed without calling the AI API.</w:t>
            </w:r>
          </w:p>
        </w:tc>
      </w:tr>
      <w:tr>
        <w:tc>
          <w:tcPr>
            <w:tcW w:type="dxa" w:w="3312"/>
            <w:vAlign w:val="center"/>
          </w:tcPr>
          <w:p>
            <w:r/>
            <w:r>
              <w:rPr>
                <w:b w:val="0"/>
                <w:sz w:val="17"/>
              </w:rPr>
              <w:t>TC-08</w:t>
            </w:r>
          </w:p>
        </w:tc>
        <w:tc>
          <w:tcPr>
            <w:tcW w:type="dxa" w:w="3312"/>
            <w:vAlign w:val="center"/>
          </w:tcPr>
          <w:p>
            <w:r/>
            <w:r>
              <w:rPr>
                <w:b w:val="0"/>
                <w:sz w:val="17"/>
              </w:rPr>
              <w:t>Use on a narrow mobile viewport</w:t>
            </w:r>
          </w:p>
        </w:tc>
        <w:tc>
          <w:tcPr>
            <w:tcW w:type="dxa" w:w="3312"/>
            <w:vAlign w:val="center"/>
          </w:tcPr>
          <w:p>
            <w:r/>
            <w:r>
              <w:rPr>
                <w:b w:val="0"/>
                <w:sz w:val="17"/>
              </w:rPr>
              <w:t>Input, results, and actions remain readable and operable.</w:t>
            </w:r>
          </w:p>
        </w:tc>
      </w:tr>
      <w:tr>
        <w:tc>
          <w:tcPr>
            <w:tcW w:type="dxa" w:w="3312"/>
            <w:vAlign w:val="center"/>
          </w:tcPr>
          <w:p>
            <w:r/>
            <w:r>
              <w:rPr>
                <w:b w:val="0"/>
                <w:sz w:val="17"/>
              </w:rPr>
              <w:t>TC-09</w:t>
            </w:r>
          </w:p>
        </w:tc>
        <w:tc>
          <w:tcPr>
            <w:tcW w:type="dxa" w:w="3312"/>
            <w:vAlign w:val="center"/>
          </w:tcPr>
          <w:p>
            <w:r/>
            <w:r>
              <w:rPr>
                <w:b w:val="0"/>
                <w:sz w:val="17"/>
              </w:rPr>
              <w:t>Inspect browser bundle/repository</w:t>
            </w:r>
          </w:p>
        </w:tc>
        <w:tc>
          <w:tcPr>
            <w:tcW w:type="dxa" w:w="3312"/>
            <w:vAlign w:val="center"/>
          </w:tcPr>
          <w:p>
            <w:r/>
            <w:r>
              <w:rPr>
                <w:b w:val="0"/>
                <w:sz w:val="17"/>
              </w:rPr>
              <w:t>No AI API key or other secret is present in frontend code or committed files.</w:t>
            </w:r>
          </w:p>
        </w:tc>
      </w:tr>
      <w:tr>
        <w:tc>
          <w:tcPr>
            <w:tcW w:type="dxa" w:w="3312"/>
            <w:vAlign w:val="center"/>
          </w:tcPr>
          <w:p>
            <w:r/>
            <w:r>
              <w:rPr>
                <w:b w:val="0"/>
                <w:sz w:val="17"/>
              </w:rPr>
              <w:t>TC-10</w:t>
            </w:r>
          </w:p>
        </w:tc>
        <w:tc>
          <w:tcPr>
            <w:tcW w:type="dxa" w:w="3312"/>
            <w:vAlign w:val="center"/>
          </w:tcPr>
          <w:p>
            <w:r/>
            <w:r>
              <w:rPr>
                <w:b w:val="0"/>
                <w:sz w:val="17"/>
              </w:rPr>
              <w:t>Analyse multiple messages sequentially</w:t>
            </w:r>
          </w:p>
        </w:tc>
        <w:tc>
          <w:tcPr>
            <w:tcW w:type="dxa" w:w="3312"/>
            <w:vAlign w:val="center"/>
          </w:tcPr>
          <w:p>
            <w:r/>
            <w:r>
              <w:rPr>
                <w:b w:val="0"/>
                <w:sz w:val="17"/>
              </w:rPr>
              <w:t>The user can reset and perform a new analysis without stale results being shown as current.</w:t>
            </w:r>
          </w:p>
        </w:tc>
      </w:tr>
    </w:tbl>
    <w:p/>
    <w:p>
      <w:pPr>
        <w:pStyle w:val="Heading2"/>
      </w:pPr>
      <w:r>
        <w:t>11.1 Definition of done</w:t>
      </w:r>
    </w:p>
    <w:p>
      <w:pPr>
        <w:pStyle w:val="ListBullet"/>
      </w:pPr>
      <w:r>
        <w:t>The four MVP screens/states are complete and responsive.</w:t>
      </w:r>
    </w:p>
    <w:p>
      <w:pPr>
        <w:pStyle w:val="ListBullet"/>
      </w:pPr>
      <w:r>
        <w:t>The real AI API call works through the backend using an environment variable.</w:t>
      </w:r>
    </w:p>
    <w:p>
      <w:pPr>
        <w:pStyle w:val="ListBullet"/>
      </w:pPr>
      <w:r>
        <w:t>Input and output validation, loading, error, and retry states work.</w:t>
      </w:r>
    </w:p>
    <w:p>
      <w:pPr>
        <w:pStyle w:val="ListBullet"/>
      </w:pPr>
      <w:r>
        <w:t>Three fictional learning examples are included.</w:t>
      </w:r>
    </w:p>
    <w:p>
      <w:pPr>
        <w:pStyle w:val="ListBullet"/>
      </w:pPr>
      <w:r>
        <w:t>No message history is stored by default; privacy and uncertainty disclaimers are visible.</w:t>
      </w:r>
    </w:p>
    <w:p>
      <w:pPr>
        <w:pStyle w:val="ListBullet"/>
      </w:pPr>
      <w:r>
        <w:t>The app is tested with the scenarios above and can be demonstrated end to end.</w:t>
      </w:r>
    </w:p>
    <w:p>
      <w:pPr>
        <w:pStyle w:val="ListBullet"/>
      </w:pPr>
      <w:r>
        <w:t>A README explains setup, environment variables, deployment, limitations, and demo steps.</w:t>
      </w:r>
    </w:p>
    <w:p>
      <w:pPr>
        <w:pStyle w:val="Heading1"/>
      </w:pPr>
      <w:r>
        <w:t>12. Eight-Hour Implementation Plan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CFE3ED"/>
          </w:tcPr>
          <w:p>
            <w:r/>
            <w:r>
              <w:rPr>
                <w:b/>
                <w:sz w:val="17"/>
              </w:rPr>
              <w:t>Time</w:t>
            </w:r>
          </w:p>
        </w:tc>
        <w:tc>
          <w:tcPr>
            <w:tcW w:type="dxa" w:w="3312"/>
            <w:vAlign w:val="center"/>
            <w:shd w:fill="CFE3ED"/>
          </w:tcPr>
          <w:p>
            <w:r/>
            <w:r>
              <w:rPr>
                <w:b/>
                <w:sz w:val="17"/>
              </w:rPr>
              <w:t>Work</w:t>
            </w:r>
          </w:p>
        </w:tc>
        <w:tc>
          <w:tcPr>
            <w:tcW w:type="dxa" w:w="3312"/>
            <w:vAlign w:val="center"/>
            <w:shd w:fill="CFE3ED"/>
          </w:tcPr>
          <w:p>
            <w:r/>
            <w:r>
              <w:rPr>
                <w:b/>
                <w:sz w:val="17"/>
              </w:rPr>
              <w:t>Deliverable</w:t>
            </w:r>
          </w:p>
        </w:tc>
      </w:tr>
      <w:tr>
        <w:tc>
          <w:tcPr>
            <w:tcW w:type="dxa" w:w="3312"/>
            <w:vAlign w:val="center"/>
          </w:tcPr>
          <w:p>
            <w:r/>
            <w:r>
              <w:rPr>
                <w:b w:val="0"/>
                <w:sz w:val="17"/>
              </w:rPr>
              <w:t>0:00–0:30</w:t>
            </w:r>
          </w:p>
        </w:tc>
        <w:tc>
          <w:tcPr>
            <w:tcW w:type="dxa" w:w="3312"/>
            <w:vAlign w:val="center"/>
          </w:tcPr>
          <w:p>
            <w:r/>
            <w:r>
              <w:rPr>
                <w:b w:val="0"/>
                <w:sz w:val="17"/>
              </w:rPr>
              <w:t>Create project, install dependencies, define scope and result schema.</w:t>
            </w:r>
          </w:p>
        </w:tc>
        <w:tc>
          <w:tcPr>
            <w:tcW w:type="dxa" w:w="3312"/>
            <w:vAlign w:val="center"/>
          </w:tcPr>
          <w:p>
            <w:r/>
            <w:r>
              <w:rPr>
                <w:b w:val="0"/>
                <w:sz w:val="17"/>
              </w:rPr>
              <w:t>Running client/server skeleton.</w:t>
            </w:r>
          </w:p>
        </w:tc>
      </w:tr>
      <w:tr>
        <w:tc>
          <w:tcPr>
            <w:tcW w:type="dxa" w:w="3312"/>
            <w:vAlign w:val="center"/>
          </w:tcPr>
          <w:p>
            <w:r/>
            <w:r>
              <w:rPr>
                <w:b w:val="0"/>
                <w:sz w:val="17"/>
              </w:rPr>
              <w:t>0:30–1:45</w:t>
            </w:r>
          </w:p>
        </w:tc>
        <w:tc>
          <w:tcPr>
            <w:tcW w:type="dxa" w:w="3312"/>
            <w:vAlign w:val="center"/>
          </w:tcPr>
          <w:p>
            <w:r/>
            <w:r>
              <w:rPr>
                <w:b w:val="0"/>
                <w:sz w:val="17"/>
              </w:rPr>
              <w:t>Build responsive analyser, navigation, and result layout using mock UI state only during initial layout work.</w:t>
            </w:r>
          </w:p>
        </w:tc>
        <w:tc>
          <w:tcPr>
            <w:tcW w:type="dxa" w:w="3312"/>
            <w:vAlign w:val="center"/>
          </w:tcPr>
          <w:p>
            <w:r/>
            <w:r>
              <w:rPr>
                <w:b w:val="0"/>
                <w:sz w:val="17"/>
              </w:rPr>
              <w:t>Usable frontend screens.</w:t>
            </w:r>
          </w:p>
        </w:tc>
      </w:tr>
      <w:tr>
        <w:tc>
          <w:tcPr>
            <w:tcW w:type="dxa" w:w="3312"/>
            <w:vAlign w:val="center"/>
          </w:tcPr>
          <w:p>
            <w:r/>
            <w:r>
              <w:rPr>
                <w:b w:val="0"/>
                <w:sz w:val="17"/>
              </w:rPr>
              <w:t>1:45–3:30</w:t>
            </w:r>
          </w:p>
        </w:tc>
        <w:tc>
          <w:tcPr>
            <w:tcW w:type="dxa" w:w="3312"/>
            <w:vAlign w:val="center"/>
          </w:tcPr>
          <w:p>
            <w:r/>
            <w:r>
              <w:rPr>
                <w:b w:val="0"/>
                <w:sz w:val="17"/>
              </w:rPr>
              <w:t>Create Express endpoint, validation, AI service, structured prompt, and output validation.</w:t>
            </w:r>
          </w:p>
        </w:tc>
        <w:tc>
          <w:tcPr>
            <w:tcW w:type="dxa" w:w="3312"/>
            <w:vAlign w:val="center"/>
          </w:tcPr>
          <w:p>
            <w:r/>
            <w:r>
              <w:rPr>
                <w:b w:val="0"/>
                <w:sz w:val="17"/>
              </w:rPr>
              <w:t>End-to-end live analysis.</w:t>
            </w:r>
          </w:p>
        </w:tc>
      </w:tr>
      <w:tr>
        <w:tc>
          <w:tcPr>
            <w:tcW w:type="dxa" w:w="3312"/>
            <w:vAlign w:val="center"/>
          </w:tcPr>
          <w:p>
            <w:r/>
            <w:r>
              <w:rPr>
                <w:b w:val="0"/>
                <w:sz w:val="17"/>
              </w:rPr>
              <w:t>3:30–4:30</w:t>
            </w:r>
          </w:p>
        </w:tc>
        <w:tc>
          <w:tcPr>
            <w:tcW w:type="dxa" w:w="3312"/>
            <w:vAlign w:val="center"/>
          </w:tcPr>
          <w:p>
            <w:r/>
            <w:r>
              <w:rPr>
                <w:b w:val="0"/>
                <w:sz w:val="17"/>
              </w:rPr>
              <w:t>Build learning mode with three fictional examples.</w:t>
            </w:r>
          </w:p>
        </w:tc>
        <w:tc>
          <w:tcPr>
            <w:tcW w:type="dxa" w:w="3312"/>
            <w:vAlign w:val="center"/>
          </w:tcPr>
          <w:p>
            <w:r/>
            <w:r>
              <w:rPr>
                <w:b w:val="0"/>
                <w:sz w:val="17"/>
              </w:rPr>
              <w:t>Awareness-training feature.</w:t>
            </w:r>
          </w:p>
        </w:tc>
      </w:tr>
      <w:tr>
        <w:tc>
          <w:tcPr>
            <w:tcW w:type="dxa" w:w="3312"/>
            <w:vAlign w:val="center"/>
          </w:tcPr>
          <w:p>
            <w:r/>
            <w:r>
              <w:rPr>
                <w:b w:val="0"/>
                <w:sz w:val="17"/>
              </w:rPr>
              <w:t>4:30–5:30</w:t>
            </w:r>
          </w:p>
        </w:tc>
        <w:tc>
          <w:tcPr>
            <w:tcW w:type="dxa" w:w="3312"/>
            <w:vAlign w:val="center"/>
          </w:tcPr>
          <w:p>
            <w:r/>
            <w:r>
              <w:rPr>
                <w:b w:val="0"/>
                <w:sz w:val="17"/>
              </w:rPr>
              <w:t>Handle loading, errors, timeouts, retry, empty/long inputs, and mobile layout.</w:t>
            </w:r>
          </w:p>
        </w:tc>
        <w:tc>
          <w:tcPr>
            <w:tcW w:type="dxa" w:w="3312"/>
            <w:vAlign w:val="center"/>
          </w:tcPr>
          <w:p>
            <w:r/>
            <w:r>
              <w:rPr>
                <w:b w:val="0"/>
                <w:sz w:val="17"/>
              </w:rPr>
              <w:t>Reliable interaction states.</w:t>
            </w:r>
          </w:p>
        </w:tc>
      </w:tr>
      <w:tr>
        <w:tc>
          <w:tcPr>
            <w:tcW w:type="dxa" w:w="3312"/>
            <w:vAlign w:val="center"/>
          </w:tcPr>
          <w:p>
            <w:r/>
            <w:r>
              <w:rPr>
                <w:b w:val="0"/>
                <w:sz w:val="17"/>
              </w:rPr>
              <w:t>5:30–6:30</w:t>
            </w:r>
          </w:p>
        </w:tc>
        <w:tc>
          <w:tcPr>
            <w:tcW w:type="dxa" w:w="3312"/>
            <w:vAlign w:val="center"/>
          </w:tcPr>
          <w:p>
            <w:r/>
            <w:r>
              <w:rPr>
                <w:b w:val="0"/>
                <w:sz w:val="17"/>
              </w:rPr>
              <w:t>Test benign and suspicious examples; check privacy, disclaimers, and no secrets in Git.</w:t>
            </w:r>
          </w:p>
        </w:tc>
        <w:tc>
          <w:tcPr>
            <w:tcW w:type="dxa" w:w="3312"/>
            <w:vAlign w:val="center"/>
          </w:tcPr>
          <w:p>
            <w:r/>
            <w:r>
              <w:rPr>
                <w:b w:val="0"/>
                <w:sz w:val="17"/>
              </w:rPr>
              <w:t>Tested MVP.</w:t>
            </w:r>
          </w:p>
        </w:tc>
      </w:tr>
      <w:tr>
        <w:tc>
          <w:tcPr>
            <w:tcW w:type="dxa" w:w="3312"/>
            <w:vAlign w:val="center"/>
          </w:tcPr>
          <w:p>
            <w:r/>
            <w:r>
              <w:rPr>
                <w:b w:val="0"/>
                <w:sz w:val="17"/>
              </w:rPr>
              <w:t>6:30–7:30</w:t>
            </w:r>
          </w:p>
        </w:tc>
        <w:tc>
          <w:tcPr>
            <w:tcW w:type="dxa" w:w="3312"/>
            <w:vAlign w:val="center"/>
          </w:tcPr>
          <w:p>
            <w:r/>
            <w:r>
              <w:rPr>
                <w:b w:val="0"/>
                <w:sz w:val="17"/>
              </w:rPr>
              <w:t>Deploy frontend/backend and configure environment variables/CORS, or prepare a reliable local demo if deployment is blocked.</w:t>
            </w:r>
          </w:p>
        </w:tc>
        <w:tc>
          <w:tcPr>
            <w:tcW w:type="dxa" w:w="3312"/>
            <w:vAlign w:val="center"/>
          </w:tcPr>
          <w:p>
            <w:r/>
            <w:r>
              <w:rPr>
                <w:b w:val="0"/>
                <w:sz w:val="17"/>
              </w:rPr>
              <w:t>Demo-ready application.</w:t>
            </w:r>
          </w:p>
        </w:tc>
      </w:tr>
      <w:tr>
        <w:tc>
          <w:tcPr>
            <w:tcW w:type="dxa" w:w="3312"/>
            <w:vAlign w:val="center"/>
          </w:tcPr>
          <w:p>
            <w:r/>
            <w:r>
              <w:rPr>
                <w:b w:val="0"/>
                <w:sz w:val="17"/>
              </w:rPr>
              <w:t>7:30–8:00</w:t>
            </w:r>
          </w:p>
        </w:tc>
        <w:tc>
          <w:tcPr>
            <w:tcW w:type="dxa" w:w="3312"/>
            <w:vAlign w:val="center"/>
          </w:tcPr>
          <w:p>
            <w:r/>
            <w:r>
              <w:rPr>
                <w:b w:val="0"/>
                <w:sz w:val="17"/>
              </w:rPr>
              <w:t>Write README and rehearse a 2–3 minute demo.</w:t>
            </w:r>
          </w:p>
        </w:tc>
        <w:tc>
          <w:tcPr>
            <w:tcW w:type="dxa" w:w="3312"/>
            <w:vAlign w:val="center"/>
          </w:tcPr>
          <w:p>
            <w:r/>
            <w:r>
              <w:rPr>
                <w:b w:val="0"/>
                <w:sz w:val="17"/>
              </w:rPr>
              <w:t>Submission-ready project.</w:t>
            </w:r>
          </w:p>
        </w:tc>
      </w:tr>
    </w:tbl>
    <w:p/>
    <w:p>
      <w:r>
        <w:t>Timebox rule: if the AI integration takes longer than planned, simplify styling and keep the core end-to-end workflow. Do not add authentication, history, image uploads, or other out-of-scope features.</w:t>
      </w:r>
    </w:p>
    <w:p>
      <w:pPr>
        <w:pStyle w:val="Heading1"/>
      </w:pPr>
      <w:r>
        <w:t>13. Demo Scenario</w:t>
      </w:r>
    </w:p>
    <w:p>
      <w:pPr>
        <w:pStyle w:val="ListNumber"/>
      </w:pPr>
      <w:r>
        <w:t>Introduce the problem: people receive urgent messages that pressure them to act quickly.</w:t>
      </w:r>
    </w:p>
    <w:p>
      <w:pPr>
        <w:pStyle w:val="ListNumber"/>
      </w:pPr>
      <w:r>
        <w:t>Paste a clearly fictional message claiming an account will be blocked unless the user shares an OTP.</w:t>
      </w:r>
    </w:p>
    <w:p>
      <w:pPr>
        <w:pStyle w:val="ListNumber"/>
      </w:pPr>
      <w:r>
        <w:t>Show the returned risk category, the exact warning evidence, and safe next steps.</w:t>
      </w:r>
    </w:p>
    <w:p>
      <w:pPr>
        <w:pStyle w:val="ListNumber"/>
      </w:pPr>
      <w:r>
        <w:t>Analyse a normal message to demonstrate that the tool does not simply label everything as a scam.</w:t>
      </w:r>
    </w:p>
    <w:p>
      <w:pPr>
        <w:pStyle w:val="ListNumber"/>
      </w:pPr>
      <w:r>
        <w:t>Open the learning section and reveal one fictional example.</w:t>
      </w:r>
    </w:p>
    <w:p>
      <w:pPr>
        <w:pStyle w:val="ListNumber"/>
      </w:pPr>
      <w:r>
        <w:t>Close with the limitation: the tool supports safer decisions but does not verify senders or guarantee an outcome.</w:t>
      </w:r>
    </w:p>
    <w:p>
      <w:pPr>
        <w:pStyle w:val="Heading1"/>
      </w:pPr>
      <w:r>
        <w:t>14. Risks and Mitigations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CFE3ED"/>
          </w:tcPr>
          <w:p>
            <w:r/>
            <w:r>
              <w:rPr>
                <w:b/>
                <w:sz w:val="17"/>
              </w:rPr>
              <w:t>Risk</w:t>
            </w:r>
          </w:p>
        </w:tc>
        <w:tc>
          <w:tcPr>
            <w:tcW w:type="dxa" w:w="4968"/>
            <w:vAlign w:val="center"/>
            <w:shd w:fill="CFE3ED"/>
          </w:tcPr>
          <w:p>
            <w:r/>
            <w:r>
              <w:rPr>
                <w:b/>
                <w:sz w:val="17"/>
              </w:rPr>
              <w:t>Mitigation</w:t>
            </w:r>
          </w:p>
        </w:tc>
      </w:tr>
      <w:tr>
        <w:tc>
          <w:tcPr>
            <w:tcW w:type="dxa" w:w="4968"/>
            <w:vAlign w:val="center"/>
          </w:tcPr>
          <w:p>
            <w:r/>
            <w:r>
              <w:rPr>
                <w:b w:val="0"/>
                <w:sz w:val="17"/>
              </w:rPr>
              <w:t>AI provider latency or outage</w:t>
            </w:r>
          </w:p>
        </w:tc>
        <w:tc>
          <w:tcPr>
            <w:tcW w:type="dxa" w:w="4968"/>
            <w:vAlign w:val="center"/>
          </w:tcPr>
          <w:p>
            <w:r/>
            <w:r>
              <w:rPr>
                <w:b w:val="0"/>
                <w:sz w:val="17"/>
              </w:rPr>
              <w:t>Use timeouts, clear errors, retry, and learning examples that work offline.</w:t>
            </w:r>
          </w:p>
        </w:tc>
      </w:tr>
      <w:tr>
        <w:tc>
          <w:tcPr>
            <w:tcW w:type="dxa" w:w="4968"/>
            <w:vAlign w:val="center"/>
          </w:tcPr>
          <w:p>
            <w:r/>
            <w:r>
              <w:rPr>
                <w:b w:val="0"/>
                <w:sz w:val="17"/>
              </w:rPr>
              <w:t>Overconfident or incorrect result</w:t>
            </w:r>
          </w:p>
        </w:tc>
        <w:tc>
          <w:tcPr>
            <w:tcW w:type="dxa" w:w="4968"/>
            <w:vAlign w:val="center"/>
          </w:tcPr>
          <w:p>
            <w:r/>
            <w:r>
              <w:rPr>
                <w:b w:val="0"/>
                <w:sz w:val="17"/>
              </w:rPr>
              <w:t>Validate output, use cautious wording, show uncertainty, and avoid “guaranteed safe” claims.</w:t>
            </w:r>
          </w:p>
        </w:tc>
      </w:tr>
      <w:tr>
        <w:tc>
          <w:tcPr>
            <w:tcW w:type="dxa" w:w="4968"/>
            <w:vAlign w:val="center"/>
          </w:tcPr>
          <w:p>
            <w:r/>
            <w:r>
              <w:rPr>
                <w:b w:val="0"/>
                <w:sz w:val="17"/>
              </w:rPr>
              <w:t>Sensitive text submitted</w:t>
            </w:r>
          </w:p>
        </w:tc>
        <w:tc>
          <w:tcPr>
            <w:tcW w:type="dxa" w:w="4968"/>
            <w:vAlign w:val="center"/>
          </w:tcPr>
          <w:p>
            <w:r/>
            <w:r>
              <w:rPr>
                <w:b w:val="0"/>
                <w:sz w:val="17"/>
              </w:rPr>
              <w:t>Warn users before submission, do not persist content, and avoid logging full text.</w:t>
            </w:r>
          </w:p>
        </w:tc>
      </w:tr>
      <w:tr>
        <w:tc>
          <w:tcPr>
            <w:tcW w:type="dxa" w:w="4968"/>
            <w:vAlign w:val="center"/>
          </w:tcPr>
          <w:p>
            <w:r/>
            <w:r>
              <w:rPr>
                <w:b w:val="0"/>
                <w:sz w:val="17"/>
              </w:rPr>
              <w:t>Scope creep under 8 hours</w:t>
            </w:r>
          </w:p>
        </w:tc>
        <w:tc>
          <w:tcPr>
            <w:tcW w:type="dxa" w:w="4968"/>
            <w:vAlign w:val="center"/>
          </w:tcPr>
          <w:p>
            <w:r/>
            <w:r>
              <w:rPr>
                <w:b w:val="0"/>
                <w:sz w:val="17"/>
              </w:rPr>
              <w:t>Keep only analysis, results, learning examples, and essential error states.</w:t>
            </w:r>
          </w:p>
        </w:tc>
      </w:tr>
      <w:tr>
        <w:tc>
          <w:tcPr>
            <w:tcW w:type="dxa" w:w="4968"/>
            <w:vAlign w:val="center"/>
          </w:tcPr>
          <w:p>
            <w:r/>
            <w:r>
              <w:rPr>
                <w:b w:val="0"/>
                <w:sz w:val="17"/>
              </w:rPr>
              <w:t>Deployment/CORS issues</w:t>
            </w:r>
          </w:p>
        </w:tc>
        <w:tc>
          <w:tcPr>
            <w:tcW w:type="dxa" w:w="4968"/>
            <w:vAlign w:val="center"/>
          </w:tcPr>
          <w:p>
            <w:r/>
            <w:r>
              <w:rPr>
                <w:b w:val="0"/>
                <w:sz w:val="17"/>
              </w:rPr>
              <w:t>Test production origins early; keep a local demo fallback ready.</w:t>
            </w:r>
          </w:p>
        </w:tc>
      </w:tr>
    </w:tbl>
    <w:p/>
    <w:p>
      <w:pPr>
        <w:pStyle w:val="Heading1"/>
      </w:pPr>
      <w:r>
        <w:t>15. Future Enhancements (Not for MVP)</w:t>
      </w:r>
    </w:p>
    <w:p>
      <w:pPr>
        <w:pStyle w:val="ListBullet"/>
      </w:pPr>
      <w:r>
        <w:t>Optional analysis of screenshots with OCR and explicit privacy controls.</w:t>
      </w:r>
    </w:p>
    <w:p>
      <w:pPr>
        <w:pStyle w:val="ListBullet"/>
      </w:pPr>
      <w:r>
        <w:t>Regional language support and simpler explanations.</w:t>
      </w:r>
    </w:p>
    <w:p>
      <w:pPr>
        <w:pStyle w:val="ListBullet"/>
      </w:pPr>
      <w:r>
        <w:t>Curated, regularly reviewed awareness examples.</w:t>
      </w:r>
    </w:p>
    <w:p>
      <w:pPr>
        <w:pStyle w:val="ListBullet"/>
      </w:pPr>
      <w:r>
        <w:t>Safe URL reputation checks through a trusted provider, with clear source attribution and no claim of certainty.</w:t>
      </w:r>
    </w:p>
    <w:p>
      <w:pPr>
        <w:pStyle w:val="ListBullet"/>
      </w:pPr>
      <w:r>
        <w:t>Aggregated, privacy-preserving usage analytics only with appropriate disclosure and consent.</w:t>
      </w:r>
    </w:p>
    <w:p>
      <w:pPr>
        <w:pStyle w:val="Heading1"/>
      </w:pPr>
      <w:r>
        <w:t>Appendix A: Example environment variables</w:t>
      </w:r>
    </w:p>
    <w:p>
      <w:r>
        <w:rPr>
          <w:rFonts w:ascii="Consolas" w:hAnsi="Consolas"/>
          <w:sz w:val="17"/>
        </w:rPr>
        <w:t>PORT=5000</w:t>
        <w:br/>
        <w:t>AI_API_KEY=your_key_here</w:t>
        <w:br/>
        <w:t>AI_MODEL=your_model_name</w:t>
        <w:br/>
        <w:t>CLIENT_ORIGIN=http://localhost:5173</w:t>
      </w:r>
    </w:p>
    <w:p>
      <w:r>
        <w:t>These are example variable names only. Use the exact configuration required by the selected AI provider. Never commit a real key.</w:t>
      </w:r>
    </w:p>
    <w:p>
      <w:pPr>
        <w:pStyle w:val="Heading1"/>
      </w:pPr>
      <w:r>
        <w:t>Appendix B: Submission checklist</w:t>
      </w:r>
    </w:p>
    <w:p>
      <w:r>
        <w:t>☐ Live analysis works with the real AI provider.</w:t>
      </w:r>
    </w:p>
    <w:p>
      <w:r>
        <w:t>☐ API key exists only in server environment variables.</w:t>
      </w:r>
    </w:p>
    <w:p>
      <w:r>
        <w:t>☐ No persistent message history.</w:t>
      </w:r>
    </w:p>
    <w:p>
      <w:r>
        <w:t>☐ Risk level is explained with evidence and uncertainty.</w:t>
      </w:r>
    </w:p>
    <w:p>
      <w:r>
        <w:t>☐ Three fictional examples work without the AI provider.</w:t>
      </w:r>
    </w:p>
    <w:p>
      <w:r>
        <w:t>☐ Mobile layout and error states are tested.</w:t>
      </w:r>
    </w:p>
    <w:p>
      <w:r>
        <w:t>☐ README and demo flow are ready.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ScamShield India — SRS v1.0 | Hackathon MVP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6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64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