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a8a9a"/>
          <w:sz w:val="18"/>
          <w:szCs w:val="18"/>
        </w:rPr>
        <w:t xml:space="preserve">HORIZONS COMMUNITY CARE</w:t>
      </w:r>
    </w:p>
    <w:p>
      <w:pPr>
        <w:spacing w:after="80"/>
      </w:pPr>
      <w:r>
        <w:rPr>
          <w:rFonts w:ascii="Arial" w:cs="Arial" w:eastAsia="Arial" w:hAnsi="Arial"/>
          <w:b/>
          <w:bCs/>
          <w:color w:val="005f6b"/>
          <w:sz w:val="26"/>
          <w:szCs w:val="26"/>
        </w:rPr>
        <w:t xml:space="preserve">Operational Procedures — Emergency Response, Supported Decision-Making &amp; Participant Disclosure</w:t>
      </w:r>
    </w:p>
    <w:p>
      <w:pPr>
        <w:pBdr>
          <w:bottom w:val="single" w:color="005f6b"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0cdd0" w:sz="1"/>
              <w:left w:val="single" w:color="c0cdd0" w:sz="1"/>
              <w:bottom w:val="single" w:color="c0cdd0" w:sz="1"/>
              <w:right w:val="single" w:color="c0cdd0" w:sz="1"/>
            </w:tcBorders>
            <w:shd w:fill="eef4f5" w:val="clear"/>
            <w:tcMar>
              <w:top w:type="dxa" w:w="80"/>
              <w:left w:type="dxa" w:w="120"/>
              <w:bottom w:type="dxa" w:w="80"/>
              <w:right w:type="dxa" w:w="120"/>
            </w:tcMar>
          </w:tcPr>
          <w:p>
            <w:r>
              <w:rPr>
                <w:rFonts w:ascii="Arial" w:cs="Arial" w:eastAsia="Arial" w:hAnsi="Arial"/>
                <w:b/>
                <w:bCs/>
                <w:color w:val="005f6b"/>
                <w:sz w:val="18"/>
                <w:szCs w:val="18"/>
              </w:rPr>
              <w:t xml:space="preserve">Document ID</w:t>
            </w:r>
          </w:p>
        </w:tc>
        <w:tc>
          <w:tcPr>
            <w:tcW w:type="dxa" w:w="6760"/>
            <w:tcBorders>
              <w:top w:val="single" w:color="c0cdd0" w:sz="1"/>
              <w:left w:val="single" w:color="c0cdd0" w:sz="1"/>
              <w:bottom w:val="single" w:color="c0cdd0" w:sz="1"/>
              <w:right w:val="single" w:color="c0cdd0" w:sz="1"/>
            </w:tcBorders>
            <w:tcMar>
              <w:top w:type="dxa" w:w="80"/>
              <w:left w:type="dxa" w:w="120"/>
              <w:bottom w:type="dxa" w:w="80"/>
              <w:right w:type="dxa" w:w="120"/>
            </w:tcMar>
          </w:tcPr>
          <w:p>
            <w:r>
              <w:rPr>
                <w:rFonts w:ascii="Arial" w:cs="Arial" w:eastAsia="Arial" w:hAnsi="Arial"/>
                <w:sz w:val="18"/>
                <w:szCs w:val="18"/>
              </w:rPr>
              <w:t xml:space="preserve">HCC-PROC-201-203</w:t>
            </w:r>
          </w:p>
        </w:tc>
      </w:tr>
      <w:tr>
        <w:tc>
          <w:tcPr>
            <w:tcW w:type="dxa" w:w="2600"/>
            <w:tcBorders>
              <w:top w:val="single" w:color="c0cdd0" w:sz="1"/>
              <w:left w:val="single" w:color="c0cdd0" w:sz="1"/>
              <w:bottom w:val="single" w:color="c0cdd0" w:sz="1"/>
              <w:right w:val="single" w:color="c0cdd0" w:sz="1"/>
            </w:tcBorders>
            <w:shd w:fill="eef4f5" w:val="clear"/>
            <w:tcMar>
              <w:top w:type="dxa" w:w="80"/>
              <w:left w:type="dxa" w:w="120"/>
              <w:bottom w:type="dxa" w:w="80"/>
              <w:right w:type="dxa" w:w="120"/>
            </w:tcMar>
          </w:tcPr>
          <w:p>
            <w:r>
              <w:rPr>
                <w:rFonts w:ascii="Arial" w:cs="Arial" w:eastAsia="Arial" w:hAnsi="Arial"/>
                <w:b/>
                <w:bCs/>
                <w:color w:val="005f6b"/>
                <w:sz w:val="18"/>
                <w:szCs w:val="18"/>
              </w:rPr>
              <w:t xml:space="preserve">Version</w:t>
            </w:r>
          </w:p>
        </w:tc>
        <w:tc>
          <w:tcPr>
            <w:tcW w:type="dxa" w:w="6760"/>
            <w:tcBorders>
              <w:top w:val="single" w:color="c0cdd0" w:sz="1"/>
              <w:left w:val="single" w:color="c0cdd0" w:sz="1"/>
              <w:bottom w:val="single" w:color="c0cdd0" w:sz="1"/>
              <w:right w:val="single" w:color="c0cdd0" w:sz="1"/>
            </w:tcBorders>
            <w:tcMar>
              <w:top w:type="dxa" w:w="80"/>
              <w:left w:type="dxa" w:w="120"/>
              <w:bottom w:type="dxa" w:w="80"/>
              <w:right w:type="dxa" w:w="120"/>
            </w:tcMar>
          </w:tcPr>
          <w:p>
            <w:r>
              <w:rPr>
                <w:rFonts w:ascii="Arial" w:cs="Arial" w:eastAsia="Arial" w:hAnsi="Arial"/>
                <w:sz w:val="18"/>
                <w:szCs w:val="18"/>
              </w:rPr>
              <w:t xml:space="preserve">3.1</w:t>
            </w:r>
          </w:p>
        </w:tc>
      </w:tr>
      <w:tr>
        <w:tc>
          <w:tcPr>
            <w:tcW w:type="dxa" w:w="2600"/>
            <w:tcBorders>
              <w:top w:val="single" w:color="c0cdd0" w:sz="1"/>
              <w:left w:val="single" w:color="c0cdd0" w:sz="1"/>
              <w:bottom w:val="single" w:color="c0cdd0" w:sz="1"/>
              <w:right w:val="single" w:color="c0cdd0" w:sz="1"/>
            </w:tcBorders>
            <w:shd w:fill="eef4f5" w:val="clear"/>
            <w:tcMar>
              <w:top w:type="dxa" w:w="80"/>
              <w:left w:type="dxa" w:w="120"/>
              <w:bottom w:type="dxa" w:w="80"/>
              <w:right w:type="dxa" w:w="120"/>
            </w:tcMar>
          </w:tcPr>
          <w:p>
            <w:r>
              <w:rPr>
                <w:rFonts w:ascii="Arial" w:cs="Arial" w:eastAsia="Arial" w:hAnsi="Arial"/>
                <w:b/>
                <w:bCs/>
                <w:color w:val="005f6b"/>
                <w:sz w:val="18"/>
                <w:szCs w:val="18"/>
              </w:rPr>
              <w:t xml:space="preserve">Effective Date</w:t>
            </w:r>
          </w:p>
        </w:tc>
        <w:tc>
          <w:tcPr>
            <w:tcW w:type="dxa" w:w="6760"/>
            <w:tcBorders>
              <w:top w:val="single" w:color="c0cdd0" w:sz="1"/>
              <w:left w:val="single" w:color="c0cdd0" w:sz="1"/>
              <w:bottom w:val="single" w:color="c0cdd0" w:sz="1"/>
              <w:right w:val="single" w:color="c0cdd0" w:sz="1"/>
            </w:tcBorders>
            <w:tcMar>
              <w:top w:type="dxa" w:w="80"/>
              <w:left w:type="dxa" w:w="120"/>
              <w:bottom w:type="dxa" w:w="80"/>
              <w:right w:type="dxa" w:w="120"/>
            </w:tcMar>
          </w:tcPr>
          <w:p>
            <w:r>
              <w:rPr>
                <w:rFonts w:ascii="Arial" w:cs="Arial" w:eastAsia="Arial" w:hAnsi="Arial"/>
                <w:sz w:val="18"/>
                <w:szCs w:val="18"/>
              </w:rPr>
              <w:t xml:space="preserve">1 October 2023</w:t>
            </w:r>
          </w:p>
        </w:tc>
      </w:tr>
      <w:tr>
        <w:tc>
          <w:tcPr>
            <w:tcW w:type="dxa" w:w="2600"/>
            <w:tcBorders>
              <w:top w:val="single" w:color="c0cdd0" w:sz="1"/>
              <w:left w:val="single" w:color="c0cdd0" w:sz="1"/>
              <w:bottom w:val="single" w:color="c0cdd0" w:sz="1"/>
              <w:right w:val="single" w:color="c0cdd0" w:sz="1"/>
            </w:tcBorders>
            <w:shd w:fill="eef4f5" w:val="clear"/>
            <w:tcMar>
              <w:top w:type="dxa" w:w="80"/>
              <w:left w:type="dxa" w:w="120"/>
              <w:bottom w:type="dxa" w:w="80"/>
              <w:right w:type="dxa" w:w="120"/>
            </w:tcMar>
          </w:tcPr>
          <w:p>
            <w:r>
              <w:rPr>
                <w:rFonts w:ascii="Arial" w:cs="Arial" w:eastAsia="Arial" w:hAnsi="Arial"/>
                <w:b/>
                <w:bCs/>
                <w:color w:val="005f6b"/>
                <w:sz w:val="18"/>
                <w:szCs w:val="18"/>
              </w:rPr>
              <w:t xml:space="preserve">Review Date</w:t>
            </w:r>
          </w:p>
        </w:tc>
        <w:tc>
          <w:tcPr>
            <w:tcW w:type="dxa" w:w="6760"/>
            <w:tcBorders>
              <w:top w:val="single" w:color="c0cdd0" w:sz="1"/>
              <w:left w:val="single" w:color="c0cdd0" w:sz="1"/>
              <w:bottom w:val="single" w:color="c0cdd0" w:sz="1"/>
              <w:right w:val="single" w:color="c0cdd0" w:sz="1"/>
            </w:tcBorders>
            <w:tcMar>
              <w:top w:type="dxa" w:w="80"/>
              <w:left w:type="dxa" w:w="120"/>
              <w:bottom w:type="dxa" w:w="80"/>
              <w:right w:type="dxa" w:w="120"/>
            </w:tcMar>
          </w:tcPr>
          <w:p>
            <w:r>
              <w:rPr>
                <w:rFonts w:ascii="Arial" w:cs="Arial" w:eastAsia="Arial" w:hAnsi="Arial"/>
                <w:sz w:val="18"/>
                <w:szCs w:val="18"/>
              </w:rPr>
              <w:t xml:space="preserve">October 2025</w:t>
            </w:r>
          </w:p>
        </w:tc>
      </w:tr>
      <w:tr>
        <w:tc>
          <w:tcPr>
            <w:tcW w:type="dxa" w:w="2600"/>
            <w:tcBorders>
              <w:top w:val="single" w:color="c0cdd0" w:sz="1"/>
              <w:left w:val="single" w:color="c0cdd0" w:sz="1"/>
              <w:bottom w:val="single" w:color="c0cdd0" w:sz="1"/>
              <w:right w:val="single" w:color="c0cdd0" w:sz="1"/>
            </w:tcBorders>
            <w:shd w:fill="eef4f5" w:val="clear"/>
            <w:tcMar>
              <w:top w:type="dxa" w:w="80"/>
              <w:left w:type="dxa" w:w="120"/>
              <w:bottom w:type="dxa" w:w="80"/>
              <w:right w:type="dxa" w:w="120"/>
            </w:tcMar>
          </w:tcPr>
          <w:p>
            <w:r>
              <w:rPr>
                <w:rFonts w:ascii="Arial" w:cs="Arial" w:eastAsia="Arial" w:hAnsi="Arial"/>
                <w:b/>
                <w:bCs/>
                <w:color w:val="005f6b"/>
                <w:sz w:val="18"/>
                <w:szCs w:val="18"/>
              </w:rPr>
              <w:t xml:space="preserve">Document Owner</w:t>
            </w:r>
          </w:p>
        </w:tc>
        <w:tc>
          <w:tcPr>
            <w:tcW w:type="dxa" w:w="6760"/>
            <w:tcBorders>
              <w:top w:val="single" w:color="c0cdd0" w:sz="1"/>
              <w:left w:val="single" w:color="c0cdd0" w:sz="1"/>
              <w:bottom w:val="single" w:color="c0cdd0" w:sz="1"/>
              <w:right w:val="single" w:color="c0cdd0" w:sz="1"/>
            </w:tcBorders>
            <w:tcMar>
              <w:top w:type="dxa" w:w="80"/>
              <w:left w:type="dxa" w:w="120"/>
              <w:bottom w:type="dxa" w:w="80"/>
              <w:right w:type="dxa" w:w="120"/>
            </w:tcMar>
          </w:tcPr>
          <w:p>
            <w:r>
              <w:rPr>
                <w:rFonts w:ascii="Arial" w:cs="Arial" w:eastAsia="Arial" w:hAnsi="Arial"/>
                <w:sz w:val="18"/>
                <w:szCs w:val="18"/>
              </w:rPr>
              <w:t xml:space="preserve">Quality &amp; Compliance</w:t>
            </w:r>
          </w:p>
        </w:tc>
      </w:tr>
      <w:tr>
        <w:tc>
          <w:tcPr>
            <w:tcW w:type="dxa" w:w="2600"/>
            <w:tcBorders>
              <w:top w:val="single" w:color="c0cdd0" w:sz="1"/>
              <w:left w:val="single" w:color="c0cdd0" w:sz="1"/>
              <w:bottom w:val="single" w:color="c0cdd0" w:sz="1"/>
              <w:right w:val="single" w:color="c0cdd0" w:sz="1"/>
            </w:tcBorders>
            <w:shd w:fill="eef4f5" w:val="clear"/>
            <w:tcMar>
              <w:top w:type="dxa" w:w="80"/>
              <w:left w:type="dxa" w:w="120"/>
              <w:bottom w:type="dxa" w:w="80"/>
              <w:right w:type="dxa" w:w="120"/>
            </w:tcMar>
          </w:tcPr>
          <w:p>
            <w:r>
              <w:rPr>
                <w:rFonts w:ascii="Arial" w:cs="Arial" w:eastAsia="Arial" w:hAnsi="Arial"/>
                <w:b/>
                <w:bCs/>
                <w:color w:val="005f6b"/>
                <w:sz w:val="18"/>
                <w:szCs w:val="18"/>
              </w:rPr>
              <w:t xml:space="preserve">Approved By</w:t>
            </w:r>
          </w:p>
        </w:tc>
        <w:tc>
          <w:tcPr>
            <w:tcW w:type="dxa" w:w="6760"/>
            <w:tcBorders>
              <w:top w:val="single" w:color="c0cdd0" w:sz="1"/>
              <w:left w:val="single" w:color="c0cdd0" w:sz="1"/>
              <w:bottom w:val="single" w:color="c0cdd0" w:sz="1"/>
              <w:right w:val="single" w:color="c0cdd0" w:sz="1"/>
            </w:tcBorders>
            <w:tcMar>
              <w:top w:type="dxa" w:w="80"/>
              <w:left w:type="dxa" w:w="120"/>
              <w:bottom w:type="dxa" w:w="80"/>
              <w:right w:type="dxa" w:w="120"/>
            </w:tcMar>
          </w:tcPr>
          <w:p>
            <w:r>
              <w:rPr>
                <w:rFonts w:ascii="Arial" w:cs="Arial" w:eastAsia="Arial" w:hAnsi="Arial"/>
                <w:sz w:val="18"/>
                <w:szCs w:val="18"/>
              </w:rPr>
              <w:t xml:space="preserve">CEO</w:t>
            </w:r>
          </w:p>
        </w:tc>
      </w:tr>
      <w:tr>
        <w:tc>
          <w:tcPr>
            <w:tcW w:type="dxa" w:w="2600"/>
            <w:tcBorders>
              <w:top w:val="single" w:color="c0cdd0" w:sz="1"/>
              <w:left w:val="single" w:color="c0cdd0" w:sz="1"/>
              <w:bottom w:val="single" w:color="c0cdd0" w:sz="1"/>
              <w:right w:val="single" w:color="c0cdd0" w:sz="1"/>
            </w:tcBorders>
            <w:shd w:fill="eef4f5" w:val="clear"/>
            <w:tcMar>
              <w:top w:type="dxa" w:w="80"/>
              <w:left w:type="dxa" w:w="120"/>
              <w:bottom w:type="dxa" w:w="80"/>
              <w:right w:type="dxa" w:w="120"/>
            </w:tcMar>
          </w:tcPr>
          <w:p>
            <w:r>
              <w:rPr>
                <w:rFonts w:ascii="Arial" w:cs="Arial" w:eastAsia="Arial" w:hAnsi="Arial"/>
                <w:b/>
                <w:bCs/>
                <w:color w:val="005f6b"/>
                <w:sz w:val="18"/>
                <w:szCs w:val="18"/>
              </w:rPr>
              <w:t xml:space="preserve">Scope</w:t>
            </w:r>
          </w:p>
        </w:tc>
        <w:tc>
          <w:tcPr>
            <w:tcW w:type="dxa" w:w="6760"/>
            <w:tcBorders>
              <w:top w:val="single" w:color="c0cdd0" w:sz="1"/>
              <w:left w:val="single" w:color="c0cdd0" w:sz="1"/>
              <w:bottom w:val="single" w:color="c0cdd0" w:sz="1"/>
              <w:right w:val="single" w:color="c0cdd0" w:sz="1"/>
            </w:tcBorders>
            <w:tcMar>
              <w:top w:type="dxa" w:w="80"/>
              <w:left w:type="dxa" w:w="120"/>
              <w:bottom w:type="dxa" w:w="80"/>
              <w:right w:type="dxa" w:w="120"/>
            </w:tcMar>
          </w:tcPr>
          <w:p>
            <w:r>
              <w:rPr>
                <w:rFonts w:ascii="Arial" w:cs="Arial" w:eastAsia="Arial" w:hAnsi="Arial"/>
                <w:sz w:val="18"/>
                <w:szCs w:val="18"/>
              </w:rPr>
              <w:t xml:space="preserve">All support workers, coordinators, on-call managers</w:t>
            </w:r>
          </w:p>
        </w:tc>
      </w:tr>
      <w:tr>
        <w:tc>
          <w:tcPr>
            <w:tcW w:type="dxa" w:w="2600"/>
            <w:tcBorders>
              <w:top w:val="single" w:color="c0cdd0" w:sz="1"/>
              <w:left w:val="single" w:color="c0cdd0" w:sz="1"/>
              <w:bottom w:val="single" w:color="c0cdd0" w:sz="1"/>
              <w:right w:val="single" w:color="c0cdd0" w:sz="1"/>
            </w:tcBorders>
            <w:shd w:fill="eef4f5" w:val="clear"/>
            <w:tcMar>
              <w:top w:type="dxa" w:w="80"/>
              <w:left w:type="dxa" w:w="120"/>
              <w:bottom w:type="dxa" w:w="80"/>
              <w:right w:type="dxa" w:w="120"/>
            </w:tcMar>
          </w:tcPr>
          <w:p>
            <w:r>
              <w:rPr>
                <w:rFonts w:ascii="Arial" w:cs="Arial" w:eastAsia="Arial" w:hAnsi="Arial"/>
                <w:b/>
                <w:bCs/>
                <w:color w:val="005f6b"/>
                <w:sz w:val="18"/>
                <w:szCs w:val="18"/>
              </w:rPr>
              <w:t xml:space="preserve">Related Policies</w:t>
            </w:r>
          </w:p>
        </w:tc>
        <w:tc>
          <w:tcPr>
            <w:tcW w:type="dxa" w:w="6760"/>
            <w:tcBorders>
              <w:top w:val="single" w:color="c0cdd0" w:sz="1"/>
              <w:left w:val="single" w:color="c0cdd0" w:sz="1"/>
              <w:bottom w:val="single" w:color="c0cdd0" w:sz="1"/>
              <w:right w:val="single" w:color="c0cdd0" w:sz="1"/>
            </w:tcBorders>
            <w:tcMar>
              <w:top w:type="dxa" w:w="80"/>
              <w:left w:type="dxa" w:w="120"/>
              <w:bottom w:type="dxa" w:w="80"/>
              <w:right w:type="dxa" w:w="120"/>
            </w:tcMar>
          </w:tcPr>
          <w:p>
            <w:r>
              <w:rPr>
                <w:rFonts w:ascii="Arial" w:cs="Arial" w:eastAsia="Arial" w:hAnsi="Arial"/>
                <w:sz w:val="18"/>
                <w:szCs w:val="18"/>
              </w:rPr>
              <w:t xml:space="preserve">HCC-POL-101 (Rights, Decision-Making &amp; Behaviour Support), HCC-POL-102 (Workforce, Safety &amp; Incident Management)</w:t>
            </w:r>
          </w:p>
        </w:tc>
      </w:tr>
      <w:tr>
        <w:tc>
          <w:tcPr>
            <w:tcW w:type="dxa" w:w="2600"/>
            <w:tcBorders>
              <w:top w:val="single" w:color="c0cdd0" w:sz="1"/>
              <w:left w:val="single" w:color="c0cdd0" w:sz="1"/>
              <w:bottom w:val="single" w:color="c0cdd0" w:sz="1"/>
              <w:right w:val="single" w:color="c0cdd0" w:sz="1"/>
            </w:tcBorders>
            <w:shd w:fill="eef4f5" w:val="clear"/>
            <w:tcMar>
              <w:top w:type="dxa" w:w="80"/>
              <w:left w:type="dxa" w:w="120"/>
              <w:bottom w:type="dxa" w:w="80"/>
              <w:right w:type="dxa" w:w="120"/>
            </w:tcMar>
          </w:tcPr>
          <w:p>
            <w:r>
              <w:rPr>
                <w:rFonts w:ascii="Arial" w:cs="Arial" w:eastAsia="Arial" w:hAnsi="Arial"/>
                <w:b/>
                <w:bCs/>
                <w:color w:val="005f6b"/>
                <w:sz w:val="18"/>
                <w:szCs w:val="18"/>
              </w:rPr>
              <w:t xml:space="preserve">Status</w:t>
            </w:r>
          </w:p>
        </w:tc>
        <w:tc>
          <w:tcPr>
            <w:tcW w:type="dxa" w:w="6760"/>
            <w:tcBorders>
              <w:top w:val="single" w:color="c0cdd0" w:sz="1"/>
              <w:left w:val="single" w:color="c0cdd0" w:sz="1"/>
              <w:bottom w:val="single" w:color="c0cdd0" w:sz="1"/>
              <w:right w:val="single" w:color="c0cdd0" w:sz="1"/>
            </w:tcBorders>
            <w:tcMar>
              <w:top w:type="dxa" w:w="80"/>
              <w:left w:type="dxa" w:w="120"/>
              <w:bottom w:type="dxa" w:w="80"/>
              <w:right w:type="dxa" w:w="120"/>
            </w:tcMar>
          </w:tcPr>
          <w:p>
            <w:r>
              <w:rPr>
                <w:rFonts w:ascii="Arial" w:cs="Arial" w:eastAsia="Arial" w:hAnsi="Arial"/>
                <w:sz w:val="18"/>
                <w:szCs w:val="18"/>
              </w:rPr>
              <w:t xml:space="preserve">CURRENT — supersedes HCC-PROC-201 v2.9, HCC-PROC-202 v2.0, HCC-PROC-203 v1.6</w:t>
            </w:r>
          </w:p>
        </w:tc>
      </w:tr>
    </w:tbl>
    <w:p>
      <w:pPr>
        <w:spacing w:after="160"/>
      </w:pPr>
      <w:r>
        <w:t xml:space="preserve"/>
      </w:r>
    </w:p>
    <w:p>
      <w:pPr>
        <w:spacing w:after="120" w:line="280"/>
      </w:pPr>
      <w:r>
        <w:rPr>
          <w:rFonts w:ascii="Arial" w:cs="Arial" w:eastAsia="Arial" w:hAnsi="Arial"/>
          <w:sz w:val="20"/>
          <w:szCs w:val="20"/>
        </w:rPr>
        <w:t xml:space="preserve">PURPOSE: This document provides operational procedures for three critical support scenarios: (1) activating the participant emergency action plan during a crisis, (2) conducting a structured supported decision-making conversation, and (3) handling a participant disclosure of abuse, neglect, or exploitation. These procedures are mandatory for all workers in scope and are assessed during induction and annual competency review.</w:t>
      </w:r>
    </w:p>
    <w:p>
      <w:pPr>
        <w:spacing w:after="120"/>
      </w:pPr>
      <w:r>
        <w:t xml:space="preserve"/>
      </w:r>
    </w:p>
    <w:p>
      <w:r>
        <w:br w:type="page"/>
      </w:r>
    </w:p>
    <w:p>
      <w:pPr>
        <w:pStyle w:val="Heading1"/>
      </w:pPr>
      <w:r>
        <w:t xml:space="preserve">PROCEDURE 1 (HCC-PROC-201): Emergency Plan Activation</w:t>
      </w:r>
    </w:p>
    <w:p>
      <w:pPr>
        <w:pBdr>
          <w:bottom w:val="single" w:color="c0cdd0" w:sz="3"/>
        </w:pBdr>
        <w:spacing w:after="80"/>
      </w:pPr>
      <w:r>
        <w:t xml:space="preserve"/>
      </w:r>
    </w:p>
    <w:p>
      <w:pPr>
        <w:pStyle w:val="Heading2"/>
      </w:pPr>
      <w:r>
        <w:t xml:space="preserve">1.1 When This Procedure Applies</w:t>
      </w:r>
    </w:p>
    <w:p>
      <w:pPr>
        <w:spacing w:after="120" w:line="280"/>
      </w:pPr>
      <w:r>
        <w:rPr>
          <w:rFonts w:ascii="Arial" w:cs="Arial" w:eastAsia="Arial" w:hAnsi="Arial"/>
          <w:sz w:val="20"/>
          <w:szCs w:val="20"/>
        </w:rPr>
        <w:t xml:space="preserve">Activate this procedure when any of the following occur during a shift:</w:t>
      </w:r>
    </w:p>
    <w:p>
      <w:pPr>
        <w:pStyle w:val="ListParagraph"/>
        <w:numPr>
          <w:ilvl w:val="0"/>
          <w:numId w:val="2"/>
        </w:numPr>
        <w:spacing w:after="80"/>
      </w:pPr>
      <w:r>
        <w:rPr>
          <w:rFonts w:ascii="Arial" w:cs="Arial" w:eastAsia="Arial" w:hAnsi="Arial"/>
          <w:sz w:val="20"/>
          <w:szCs w:val="20"/>
        </w:rPr>
        <w:t xml:space="preserve">A participant experiences a medical emergency (collapse, seizure, anaphylaxis, loss of consciousness, respiratory distress)</w:t>
      </w:r>
    </w:p>
    <w:p>
      <w:pPr>
        <w:pStyle w:val="ListParagraph"/>
        <w:numPr>
          <w:ilvl w:val="0"/>
          <w:numId w:val="2"/>
        </w:numPr>
        <w:spacing w:after="80"/>
      </w:pPr>
      <w:r>
        <w:rPr>
          <w:rFonts w:ascii="Arial" w:cs="Arial" w:eastAsia="Arial" w:hAnsi="Arial"/>
          <w:sz w:val="20"/>
          <w:szCs w:val="20"/>
        </w:rPr>
        <w:t xml:space="preserve">A participant is in immediate psychological crisis (acute suicidal ideation, psychotic episode, severe self-harm)</w:t>
      </w:r>
    </w:p>
    <w:p>
      <w:pPr>
        <w:pStyle w:val="ListParagraph"/>
        <w:numPr>
          <w:ilvl w:val="0"/>
          <w:numId w:val="2"/>
        </w:numPr>
        <w:spacing w:after="80"/>
      </w:pPr>
      <w:r>
        <w:rPr>
          <w:rFonts w:ascii="Arial" w:cs="Arial" w:eastAsia="Arial" w:hAnsi="Arial"/>
          <w:sz w:val="20"/>
          <w:szCs w:val="20"/>
        </w:rPr>
        <w:t xml:space="preserve">A natural disaster, fire, or structural emergency threatens the safety of the participant or worker</w:t>
      </w:r>
    </w:p>
    <w:p>
      <w:pPr>
        <w:pStyle w:val="ListParagraph"/>
        <w:numPr>
          <w:ilvl w:val="0"/>
          <w:numId w:val="2"/>
        </w:numPr>
        <w:spacing w:after="80"/>
      </w:pPr>
      <w:r>
        <w:rPr>
          <w:rFonts w:ascii="Arial" w:cs="Arial" w:eastAsia="Arial" w:hAnsi="Arial"/>
          <w:sz w:val="20"/>
          <w:szCs w:val="20"/>
        </w:rPr>
        <w:t xml:space="preserve">A participant goes missing during a shift</w:t>
      </w:r>
    </w:p>
    <w:p>
      <w:pPr>
        <w:pStyle w:val="ListParagraph"/>
        <w:numPr>
          <w:ilvl w:val="0"/>
          <w:numId w:val="2"/>
        </w:numPr>
        <w:spacing w:after="80"/>
      </w:pPr>
      <w:r>
        <w:rPr>
          <w:rFonts w:ascii="Arial" w:cs="Arial" w:eastAsia="Arial" w:hAnsi="Arial"/>
          <w:sz w:val="20"/>
          <w:szCs w:val="20"/>
        </w:rPr>
        <w:t xml:space="preserve">A participant is subject to an immediate threat of violence from any person</w:t>
      </w:r>
    </w:p>
    <w:p>
      <w:pPr>
        <w:spacing w:after="120" w:line="280"/>
      </w:pPr>
      <w:r>
        <w:rPr>
          <w:rFonts w:ascii="Arial" w:cs="Arial" w:eastAsia="Arial" w:hAnsi="Arial"/>
          <w:sz w:val="20"/>
          <w:szCs w:val="20"/>
        </w:rPr>
        <w:t xml:space="preserve">Do not attempt to determine the severity of the situation before acting. If you are in doubt, treat the situation as an emergency.</w:t>
      </w:r>
    </w:p>
    <w:p>
      <w:pPr>
        <w:pStyle w:val="Heading2"/>
      </w:pPr>
      <w:r>
        <w:t xml:space="preserve">1.2 Emergency Response — Step by Step</w:t>
      </w:r>
    </w:p>
    <w:p>
      <w:pPr>
        <w:pStyle w:val="ListParagraph"/>
        <w:numPr>
          <w:ilvl w:val="0"/>
          <w:numId w:val="3"/>
        </w:numPr>
        <w:spacing w:after="100"/>
      </w:pPr>
      <w:r>
        <w:rPr>
          <w:rFonts w:ascii="Arial" w:cs="Arial" w:eastAsia="Arial" w:hAnsi="Arial"/>
          <w:sz w:val="20"/>
          <w:szCs w:val="20"/>
        </w:rPr>
        <w:t xml:space="preserve">YOUR SAFETY FIRST: Assess whether you are in immediate danger. You cannot help the participant if you are also incapacitated.</w:t>
      </w:r>
    </w:p>
    <w:p>
      <w:pPr>
        <w:pStyle w:val="ListParagraph"/>
        <w:numPr>
          <w:ilvl w:val="0"/>
          <w:numId w:val="3"/>
        </w:numPr>
        <w:spacing w:after="100"/>
      </w:pPr>
      <w:r>
        <w:rPr>
          <w:rFonts w:ascii="Arial" w:cs="Arial" w:eastAsia="Arial" w:hAnsi="Arial"/>
          <w:sz w:val="20"/>
          <w:szCs w:val="20"/>
        </w:rPr>
        <w:t xml:space="preserve">CALL 000 IMMEDIATELY if there is any threat to life. You do not need coordinator approval before contacting emergency services. State your location clearly, describe the situation, and follow the operator's instructions.</w:t>
      </w:r>
    </w:p>
    <w:p>
      <w:pPr>
        <w:pStyle w:val="ListParagraph"/>
        <w:numPr>
          <w:ilvl w:val="0"/>
          <w:numId w:val="3"/>
        </w:numPr>
        <w:spacing w:after="100"/>
      </w:pPr>
      <w:r>
        <w:rPr>
          <w:rFonts w:ascii="Arial" w:cs="Arial" w:eastAsia="Arial" w:hAnsi="Arial"/>
          <w:sz w:val="20"/>
          <w:szCs w:val="20"/>
        </w:rPr>
        <w:t xml:space="preserve">Open the Horizons participant app and navigate to the Emergency Action Plan tab. This plan is specific to the participant and contains: medical conditions, medications, known triggers, emergency contacts, hospital preferences, and specific instructions for common emergencies. Follow the plan — it overrides your own judgement in most circumstances.</w:t>
      </w:r>
    </w:p>
    <w:p>
      <w:pPr>
        <w:pStyle w:val="ListParagraph"/>
        <w:numPr>
          <w:ilvl w:val="0"/>
          <w:numId w:val="3"/>
        </w:numPr>
        <w:spacing w:after="100"/>
      </w:pPr>
      <w:r>
        <w:rPr>
          <w:rFonts w:ascii="Arial" w:cs="Arial" w:eastAsia="Arial" w:hAnsi="Arial"/>
          <w:sz w:val="20"/>
          <w:szCs w:val="20"/>
        </w:rPr>
        <w:t xml:space="preserve">Notify your coordinator by phone as soon as it is safe to do so. Send a text message first if you cannot speak safely. Do not rely on the app notification alone.</w:t>
      </w:r>
    </w:p>
    <w:p>
      <w:pPr>
        <w:pStyle w:val="ListParagraph"/>
        <w:numPr>
          <w:ilvl w:val="0"/>
          <w:numId w:val="3"/>
        </w:numPr>
        <w:spacing w:after="100"/>
      </w:pPr>
      <w:r>
        <w:rPr>
          <w:rFonts w:ascii="Arial" w:cs="Arial" w:eastAsia="Arial" w:hAnsi="Arial"/>
          <w:sz w:val="20"/>
          <w:szCs w:val="20"/>
        </w:rPr>
        <w:t xml:space="preserve">Stay with the participant until: (a) emergency services arrive and take over, (b) a responsible person confirmed by the coordinator takes over, or (c) you are directed by emergency services to leave. Do not leave the participant alone in a crisis.</w:t>
      </w:r>
    </w:p>
    <w:p>
      <w:pPr>
        <w:pStyle w:val="ListParagraph"/>
        <w:numPr>
          <w:ilvl w:val="0"/>
          <w:numId w:val="3"/>
        </w:numPr>
        <w:spacing w:after="100"/>
      </w:pPr>
      <w:r>
        <w:rPr>
          <w:rFonts w:ascii="Arial" w:cs="Arial" w:eastAsia="Arial" w:hAnsi="Arial"/>
          <w:sz w:val="20"/>
          <w:szCs w:val="20"/>
        </w:rPr>
        <w:t xml:space="preserve">Once the immediate situation is resolved, document the incident as a Critical Incident in the Horizons system within 2 hours. Include: what triggered the emergency, what steps were taken, when emergency services were called, what the outcome was, and the participant's condition at the time of documentation.</w:t>
      </w:r>
    </w:p>
    <w:p>
      <w:pPr>
        <w:pBdr>
          <w:left w:val="thick" w:color="b35900" w:sz="8"/>
        </w:pBdr>
        <w:spacing w:after="120" w:before="80"/>
        <w:ind w:left="400"/>
      </w:pPr>
      <w:r>
        <w:rPr>
          <w:rFonts w:ascii="Arial" w:cs="Arial" w:eastAsia="Arial" w:hAnsi="Arial"/>
          <w:b/>
          <w:bCs/>
          <w:color w:val="004433"/>
          <w:sz w:val="19"/>
          <w:szCs w:val="19"/>
        </w:rPr>
        <w:t xml:space="preserve">CRITICAL: </w:t>
      </w:r>
      <w:r>
        <w:rPr>
          <w:rFonts w:ascii="Arial" w:cs="Arial" w:eastAsia="Arial" w:hAnsi="Arial"/>
          <w:i/>
          <w:iCs/>
          <w:color w:val="004433"/>
          <w:sz w:val="19"/>
          <w:szCs w:val="19"/>
        </w:rPr>
        <w:t xml:space="preserve">You must not call the participant's family or emergency contacts before calling 000. Emergency services must be the first call. After 000 is called and the immediate situation is being managed, your coordinator will manage contact with family and representatives according to the participant's Emergency Action Plan.</w:t>
      </w:r>
    </w:p>
    <w:p>
      <w:pPr>
        <w:pStyle w:val="Heading2"/>
      </w:pPr>
      <w:r>
        <w:t xml:space="preserve">1.3 Natural Disaster and Evacuation</w:t>
      </w:r>
    </w:p>
    <w:p>
      <w:pPr>
        <w:spacing w:after="120" w:line="280"/>
      </w:pPr>
      <w:r>
        <w:rPr>
          <w:rFonts w:ascii="Arial" w:cs="Arial" w:eastAsia="Arial" w:hAnsi="Arial"/>
          <w:sz w:val="20"/>
          <w:szCs w:val="20"/>
        </w:rPr>
        <w:t xml:space="preserve">If evacuation is required due to fire, flood, or other environmental emergency:</w:t>
      </w:r>
    </w:p>
    <w:p>
      <w:pPr>
        <w:pStyle w:val="ListParagraph"/>
        <w:numPr>
          <w:ilvl w:val="0"/>
          <w:numId w:val="3"/>
        </w:numPr>
        <w:spacing w:after="100"/>
      </w:pPr>
      <w:r>
        <w:rPr>
          <w:rFonts w:ascii="Arial" w:cs="Arial" w:eastAsia="Arial" w:hAnsi="Arial"/>
          <w:sz w:val="20"/>
          <w:szCs w:val="20"/>
        </w:rPr>
        <w:t xml:space="preserve">Follow the evacuation plan in the participant's Emergency Action Plan — do not improvise evacuation routes.</w:t>
      </w:r>
    </w:p>
    <w:p>
      <w:pPr>
        <w:pStyle w:val="ListParagraph"/>
        <w:numPr>
          <w:ilvl w:val="0"/>
          <w:numId w:val="3"/>
        </w:numPr>
        <w:spacing w:after="100"/>
      </w:pPr>
      <w:r>
        <w:rPr>
          <w:rFonts w:ascii="Arial" w:cs="Arial" w:eastAsia="Arial" w:hAnsi="Arial"/>
          <w:sz w:val="20"/>
          <w:szCs w:val="20"/>
        </w:rPr>
        <w:t xml:space="preserve">Assist the participant to evacuate using the mobility method documented in their plan — do not use unsanctioned manual handling.</w:t>
      </w:r>
    </w:p>
    <w:p>
      <w:pPr>
        <w:pStyle w:val="ListParagraph"/>
        <w:numPr>
          <w:ilvl w:val="0"/>
          <w:numId w:val="3"/>
        </w:numPr>
        <w:spacing w:after="100"/>
      </w:pPr>
      <w:r>
        <w:rPr>
          <w:rFonts w:ascii="Arial" w:cs="Arial" w:eastAsia="Arial" w:hAnsi="Arial"/>
          <w:sz w:val="20"/>
          <w:szCs w:val="20"/>
        </w:rPr>
        <w:t xml:space="preserve">Account for any medications, medical equipment, or essential items listed in the evacuation checklist in the participant's profile.</w:t>
      </w:r>
    </w:p>
    <w:p>
      <w:pPr>
        <w:pStyle w:val="ListParagraph"/>
        <w:numPr>
          <w:ilvl w:val="0"/>
          <w:numId w:val="3"/>
        </w:numPr>
        <w:spacing w:after="100"/>
      </w:pPr>
      <w:r>
        <w:rPr>
          <w:rFonts w:ascii="Arial" w:cs="Arial" w:eastAsia="Arial" w:hAnsi="Arial"/>
          <w:sz w:val="20"/>
          <w:szCs w:val="20"/>
        </w:rPr>
        <w:t xml:space="preserve">Contact your coordinator from the evacuation point to confirm status.</w:t>
      </w:r>
    </w:p>
    <w:p>
      <w:pPr>
        <w:pStyle w:val="ListParagraph"/>
        <w:numPr>
          <w:ilvl w:val="0"/>
          <w:numId w:val="3"/>
        </w:numPr>
        <w:spacing w:after="100"/>
      </w:pPr>
      <w:r>
        <w:rPr>
          <w:rFonts w:ascii="Arial" w:cs="Arial" w:eastAsia="Arial" w:hAnsi="Arial"/>
          <w:sz w:val="20"/>
          <w:szCs w:val="20"/>
        </w:rPr>
        <w:t xml:space="preserve">Do not return to the evacuated premises until emergency services confirm it is safe.</w:t>
      </w:r>
    </w:p>
    <w:p>
      <w:pPr>
        <w:spacing w:after="120"/>
      </w:pPr>
      <w:r>
        <w:t xml:space="preserve"/>
      </w:r>
    </w:p>
    <w:p>
      <w:pPr>
        <w:pStyle w:val="Heading1"/>
      </w:pPr>
      <w:r>
        <w:t xml:space="preserve">PROCEDURE 2 (HCC-PROC-202): Supported Decision-Making Conversation</w:t>
      </w:r>
    </w:p>
    <w:p>
      <w:pPr>
        <w:pBdr>
          <w:bottom w:val="single" w:color="c0cdd0" w:sz="3"/>
        </w:pBdr>
        <w:spacing w:after="80"/>
      </w:pPr>
      <w:r>
        <w:t xml:space="preserve"/>
      </w:r>
    </w:p>
    <w:p>
      <w:pPr>
        <w:pStyle w:val="Heading2"/>
      </w:pPr>
      <w:r>
        <w:t xml:space="preserve">2.1 When This Procedure Applies</w:t>
      </w:r>
    </w:p>
    <w:p>
      <w:pPr>
        <w:spacing w:after="120" w:line="280"/>
      </w:pPr>
      <w:r>
        <w:rPr>
          <w:rFonts w:ascii="Arial" w:cs="Arial" w:eastAsia="Arial" w:hAnsi="Arial"/>
          <w:sz w:val="20"/>
          <w:szCs w:val="20"/>
        </w:rPr>
        <w:t xml:space="preserve">This procedure applies whenever a worker is supporting a participant to make any decision about their life, their support, or their plans — regardless of whether the participant has formally reduced decision-making capacity. Supported decision-making is the default approach at Horizons for all participants.</w:t>
      </w:r>
    </w:p>
    <w:p>
      <w:pPr>
        <w:spacing w:after="120" w:line="280"/>
      </w:pPr>
      <w:r>
        <w:rPr>
          <w:rFonts w:ascii="Arial" w:cs="Arial" w:eastAsia="Arial" w:hAnsi="Arial"/>
          <w:sz w:val="20"/>
          <w:szCs w:val="20"/>
        </w:rPr>
        <w:t xml:space="preserve">It applies specifically to:</w:t>
      </w:r>
    </w:p>
    <w:p>
      <w:pPr>
        <w:pStyle w:val="ListParagraph"/>
        <w:numPr>
          <w:ilvl w:val="0"/>
          <w:numId w:val="2"/>
        </w:numPr>
        <w:spacing w:after="80"/>
      </w:pPr>
      <w:r>
        <w:rPr>
          <w:rFonts w:ascii="Arial" w:cs="Arial" w:eastAsia="Arial" w:hAnsi="Arial"/>
          <w:sz w:val="20"/>
          <w:szCs w:val="20"/>
        </w:rPr>
        <w:t xml:space="preserve">Decisions about changes to support type, timing, or staff</w:t>
      </w:r>
    </w:p>
    <w:p>
      <w:pPr>
        <w:pStyle w:val="ListParagraph"/>
        <w:numPr>
          <w:ilvl w:val="0"/>
          <w:numId w:val="2"/>
        </w:numPr>
        <w:spacing w:after="80"/>
      </w:pPr>
      <w:r>
        <w:rPr>
          <w:rFonts w:ascii="Arial" w:cs="Arial" w:eastAsia="Arial" w:hAnsi="Arial"/>
          <w:sz w:val="20"/>
          <w:szCs w:val="20"/>
        </w:rPr>
        <w:t xml:space="preserve">Decisions about community participation, social relationships, or accommodation</w:t>
      </w:r>
    </w:p>
    <w:p>
      <w:pPr>
        <w:pStyle w:val="ListParagraph"/>
        <w:numPr>
          <w:ilvl w:val="0"/>
          <w:numId w:val="2"/>
        </w:numPr>
        <w:spacing w:after="80"/>
      </w:pPr>
      <w:r>
        <w:rPr>
          <w:rFonts w:ascii="Arial" w:cs="Arial" w:eastAsia="Arial" w:hAnsi="Arial"/>
          <w:sz w:val="20"/>
          <w:szCs w:val="20"/>
        </w:rPr>
        <w:t xml:space="preserve">Decisions that carry some risk where a worker might be tempted to make the decision on the participant's behalf</w:t>
      </w:r>
    </w:p>
    <w:p>
      <w:pPr>
        <w:pStyle w:val="ListParagraph"/>
        <w:numPr>
          <w:ilvl w:val="0"/>
          <w:numId w:val="2"/>
        </w:numPr>
        <w:spacing w:after="80"/>
      </w:pPr>
      <w:r>
        <w:rPr>
          <w:rFonts w:ascii="Arial" w:cs="Arial" w:eastAsia="Arial" w:hAnsi="Arial"/>
          <w:sz w:val="20"/>
          <w:szCs w:val="20"/>
        </w:rPr>
        <w:t xml:space="preserve">Situations where a family member or representative is advocating for a particular decision and the participant's own view is unclear</w:t>
      </w:r>
    </w:p>
    <w:p>
      <w:pPr>
        <w:pStyle w:val="Heading2"/>
      </w:pPr>
      <w:r>
        <w:t xml:space="preserve">2.2 Preparing for the Conversation</w:t>
      </w:r>
    </w:p>
    <w:p>
      <w:pPr>
        <w:pStyle w:val="ListParagraph"/>
        <w:numPr>
          <w:ilvl w:val="0"/>
          <w:numId w:val="3"/>
        </w:numPr>
        <w:spacing w:after="100"/>
      </w:pPr>
      <w:r>
        <w:rPr>
          <w:rFonts w:ascii="Arial" w:cs="Arial" w:eastAsia="Arial" w:hAnsi="Arial"/>
          <w:sz w:val="20"/>
          <w:szCs w:val="20"/>
        </w:rPr>
        <w:t xml:space="preserve">Identify the decision to be made. Write down clearly what the decision is, what options are available, and what the potential consequences of each option are (including the option of not deciding now).</w:t>
      </w:r>
    </w:p>
    <w:p>
      <w:pPr>
        <w:pStyle w:val="ListParagraph"/>
        <w:numPr>
          <w:ilvl w:val="0"/>
          <w:numId w:val="3"/>
        </w:numPr>
        <w:spacing w:after="100"/>
      </w:pPr>
      <w:r>
        <w:rPr>
          <w:rFonts w:ascii="Arial" w:cs="Arial" w:eastAsia="Arial" w:hAnsi="Arial"/>
          <w:sz w:val="20"/>
          <w:szCs w:val="20"/>
        </w:rPr>
        <w:t xml:space="preserve">Review the participant's communication profile. Identify: preferred language and communication method, any AAC devices or picture supports needed, whether an interpreter is required, and whether the participant has indicated that they prefer to make this type of decision with or without a support person.</w:t>
      </w:r>
    </w:p>
    <w:p>
      <w:pPr>
        <w:pStyle w:val="ListParagraph"/>
        <w:numPr>
          <w:ilvl w:val="0"/>
          <w:numId w:val="3"/>
        </w:numPr>
        <w:spacing w:after="100"/>
      </w:pPr>
      <w:r>
        <w:rPr>
          <w:rFonts w:ascii="Arial" w:cs="Arial" w:eastAsia="Arial" w:hAnsi="Arial"/>
          <w:sz w:val="20"/>
          <w:szCs w:val="20"/>
        </w:rPr>
        <w:t xml:space="preserve">Identify who else, if anyone, the participant wants present. Ask the participant — do not assume that family presence is wanted or helpful.</w:t>
      </w:r>
    </w:p>
    <w:p>
      <w:pPr>
        <w:pStyle w:val="ListParagraph"/>
        <w:numPr>
          <w:ilvl w:val="0"/>
          <w:numId w:val="3"/>
        </w:numPr>
        <w:spacing w:after="100"/>
      </w:pPr>
      <w:r>
        <w:rPr>
          <w:rFonts w:ascii="Arial" w:cs="Arial" w:eastAsia="Arial" w:hAnsi="Arial"/>
          <w:sz w:val="20"/>
          <w:szCs w:val="20"/>
        </w:rPr>
        <w:t xml:space="preserve">Choose a time and setting that supports the participant's capacity. This means: no time pressure, no distractions, the participant is not unwell or distressed, the environment is familiar and comfortable for them.</w:t>
      </w:r>
    </w:p>
    <w:p>
      <w:pPr>
        <w:pStyle w:val="Heading2"/>
      </w:pPr>
      <w:r>
        <w:t xml:space="preserve">2.3 Conducting the Conversation</w:t>
      </w:r>
    </w:p>
    <w:p>
      <w:pPr>
        <w:pStyle w:val="ListParagraph"/>
        <w:numPr>
          <w:ilvl w:val="0"/>
          <w:numId w:val="3"/>
        </w:numPr>
        <w:spacing w:after="100"/>
      </w:pPr>
      <w:r>
        <w:rPr>
          <w:rFonts w:ascii="Arial" w:cs="Arial" w:eastAsia="Arial" w:hAnsi="Arial"/>
          <w:sz w:val="20"/>
          <w:szCs w:val="20"/>
        </w:rPr>
        <w:t xml:space="preserve">Provide information about the decision clearly and in the format that works for the participant. If the participant uses picture cards or visual supports, prepare these materials before the conversation.</w:t>
      </w:r>
    </w:p>
    <w:p>
      <w:pPr>
        <w:pStyle w:val="ListParagraph"/>
        <w:numPr>
          <w:ilvl w:val="0"/>
          <w:numId w:val="3"/>
        </w:numPr>
        <w:spacing w:after="100"/>
      </w:pPr>
      <w:r>
        <w:rPr>
          <w:rFonts w:ascii="Arial" w:cs="Arial" w:eastAsia="Arial" w:hAnsi="Arial"/>
          <w:sz w:val="20"/>
          <w:szCs w:val="20"/>
        </w:rPr>
        <w:t xml:space="preserve">Use open questions: "What matters to you about this?" "How do you feel about that option?" "What would help you feel comfortable?" — not leading questions: "So you'll choose Option A, right?" or binary yes/no questions where the participant may default to agreement.</w:t>
      </w:r>
    </w:p>
    <w:p>
      <w:pPr>
        <w:pStyle w:val="ListParagraph"/>
        <w:numPr>
          <w:ilvl w:val="0"/>
          <w:numId w:val="3"/>
        </w:numPr>
        <w:spacing w:after="100"/>
      </w:pPr>
      <w:r>
        <w:rPr>
          <w:rFonts w:ascii="Arial" w:cs="Arial" w:eastAsia="Arial" w:hAnsi="Arial"/>
          <w:sz w:val="20"/>
          <w:szCs w:val="20"/>
        </w:rPr>
        <w:t xml:space="preserve">Allow time. Do not set a time limit on the conversation. If the participant needs to think about it and come back to the decision, that is completely valid and must be respected.</w:t>
      </w:r>
    </w:p>
    <w:p>
      <w:pPr>
        <w:pStyle w:val="ListParagraph"/>
        <w:numPr>
          <w:ilvl w:val="0"/>
          <w:numId w:val="3"/>
        </w:numPr>
        <w:spacing w:after="100"/>
      </w:pPr>
      <w:r>
        <w:rPr>
          <w:rFonts w:ascii="Arial" w:cs="Arial" w:eastAsia="Arial" w:hAnsi="Arial"/>
          <w:sz w:val="20"/>
          <w:szCs w:val="20"/>
        </w:rPr>
        <w:t xml:space="preserve">Check understanding by asking the participant to explain the decision back in their own words. If they cannot, it may indicate they need the information presented differently — not that they are incapable of making the decision.</w:t>
      </w:r>
    </w:p>
    <w:p>
      <w:pPr>
        <w:pStyle w:val="ListParagraph"/>
        <w:numPr>
          <w:ilvl w:val="0"/>
          <w:numId w:val="3"/>
        </w:numPr>
        <w:spacing w:after="100"/>
      </w:pPr>
      <w:r>
        <w:rPr>
          <w:rFonts w:ascii="Arial" w:cs="Arial" w:eastAsia="Arial" w:hAnsi="Arial"/>
          <w:sz w:val="20"/>
          <w:szCs w:val="20"/>
        </w:rPr>
        <w:t xml:space="preserve">If the participant changes their mind during the conversation, do not express frustration or try to steer them back to a previous position. A change of mind is a valid expression of self-determination.</w:t>
      </w:r>
    </w:p>
    <w:p>
      <w:pPr>
        <w:pStyle w:val="Heading2"/>
      </w:pPr>
      <w:r>
        <w:t xml:space="preserve">2.4 Documentation</w:t>
      </w:r>
    </w:p>
    <w:p>
      <w:pPr>
        <w:pStyle w:val="ListParagraph"/>
        <w:numPr>
          <w:ilvl w:val="0"/>
          <w:numId w:val="3"/>
        </w:numPr>
        <w:spacing w:after="100"/>
      </w:pPr>
      <w:r>
        <w:rPr>
          <w:rFonts w:ascii="Arial" w:cs="Arial" w:eastAsia="Arial" w:hAnsi="Arial"/>
          <w:sz w:val="20"/>
          <w:szCs w:val="20"/>
        </w:rPr>
        <w:t xml:space="preserve">Document the conversation in the participant's file, not just the shift notes. Include: who was present, what decision was being made, what information was provided and in what format, what the participant decided, and any conditions the participant attached to their decision.</w:t>
      </w:r>
    </w:p>
    <w:p>
      <w:pPr>
        <w:pStyle w:val="ListParagraph"/>
        <w:numPr>
          <w:ilvl w:val="0"/>
          <w:numId w:val="3"/>
        </w:numPr>
        <w:spacing w:after="100"/>
      </w:pPr>
      <w:r>
        <w:rPr>
          <w:rFonts w:ascii="Arial" w:cs="Arial" w:eastAsia="Arial" w:hAnsi="Arial"/>
          <w:sz w:val="20"/>
          <w:szCs w:val="20"/>
        </w:rPr>
        <w:t xml:space="preserve">If the participant did not reach a decision during the conversation, document this and note when a follow-up conversation will occur.</w:t>
      </w:r>
    </w:p>
    <w:p>
      <w:pPr>
        <w:pStyle w:val="ListParagraph"/>
        <w:numPr>
          <w:ilvl w:val="0"/>
          <w:numId w:val="3"/>
        </w:numPr>
        <w:spacing w:after="100"/>
      </w:pPr>
      <w:r>
        <w:rPr>
          <w:rFonts w:ascii="Arial" w:cs="Arial" w:eastAsia="Arial" w:hAnsi="Arial"/>
          <w:sz w:val="20"/>
          <w:szCs w:val="20"/>
        </w:rPr>
        <w:t xml:space="preserve">If a family member or representative is advocating for a different outcome than the participant, document both positions clearly without editorialising. Escalate to the coordinator if there is ongoing conflict between the participant's expressed decision and the representative's instructions.</w:t>
      </w:r>
    </w:p>
    <w:p>
      <w:pPr>
        <w:pBdr>
          <w:left w:val="thick" w:color="b35900" w:sz="8"/>
        </w:pBdr>
        <w:spacing w:after="120" w:before="80"/>
        <w:ind w:left="400"/>
      </w:pPr>
      <w:r>
        <w:rPr>
          <w:rFonts w:ascii="Arial" w:cs="Arial" w:eastAsia="Arial" w:hAnsi="Arial"/>
          <w:b/>
          <w:bCs/>
          <w:color w:val="4a3000"/>
          <w:sz w:val="19"/>
          <w:szCs w:val="19"/>
        </w:rPr>
        <w:t xml:space="preserve">NOTE: </w:t>
      </w:r>
      <w:r>
        <w:rPr>
          <w:rFonts w:ascii="Arial" w:cs="Arial" w:eastAsia="Arial" w:hAnsi="Arial"/>
          <w:i/>
          <w:iCs/>
          <w:color w:val="4a3000"/>
          <w:sz w:val="19"/>
          <w:szCs w:val="19"/>
        </w:rPr>
        <w:t xml:space="preserve">A decision made through a supported process — even one that others consider unwise — must be respected and implemented. The role of the worker is to support the decision-making process, not to control its outcome. If you believe a participant's decision poses a serious and immediate safety risk, escalate to your coordinator — but the participant's view must still be documented accurately.</w:t>
      </w:r>
    </w:p>
    <w:p>
      <w:pPr>
        <w:spacing w:after="120"/>
      </w:pPr>
      <w:r>
        <w:t xml:space="preserve"/>
      </w:r>
    </w:p>
    <w:p>
      <w:pPr>
        <w:pStyle w:val="Heading1"/>
      </w:pPr>
      <w:r>
        <w:t xml:space="preserve">PROCEDURE 3 (HCC-PROC-203): Participant Disclosure of Abuse, Neglect or Exploitation</w:t>
      </w:r>
    </w:p>
    <w:p>
      <w:pPr>
        <w:pBdr>
          <w:bottom w:val="single" w:color="c0cdd0" w:sz="3"/>
        </w:pBdr>
        <w:spacing w:after="80"/>
      </w:pPr>
    </w:p>
    <w:p>
      <w:pPr>
        <w:pStyle w:val="Heading2"/>
      </w:pPr>
      <w:r>
        <w:t xml:space="preserve">3.1 Recognising a Disclosure</w:t>
      </w:r>
    </w:p>
    <w:p>
      <w:pPr>
        <w:spacing w:after="120" w:line="280"/>
      </w:pPr>
      <w:r>
        <w:rPr>
          <w:rFonts w:ascii="Arial" w:cs="Arial" w:eastAsia="Arial" w:hAnsi="Arial"/>
          <w:sz w:val="20"/>
          <w:szCs w:val="20"/>
        </w:rPr>
        <w:t xml:space="preserve">Disclosures do not always come as clear statements. Workers should recognise the following as potential disclosures that require this procedure to be followed:</w:t>
      </w:r>
    </w:p>
    <w:p>
      <w:pPr>
        <w:pStyle w:val="ListParagraph"/>
        <w:numPr>
          <w:ilvl w:val="0"/>
          <w:numId w:val="2"/>
        </w:numPr>
        <w:spacing w:after="80"/>
      </w:pPr>
      <w:r>
        <w:rPr>
          <w:rFonts w:ascii="Arial" w:cs="Arial" w:eastAsia="Arial" w:hAnsi="Arial"/>
          <w:sz w:val="20"/>
          <w:szCs w:val="20"/>
        </w:rPr>
        <w:t xml:space="preserve">A direct statement: "Someone hurt me" or "My family member took my money"</w:t>
      </w:r>
    </w:p>
    <w:p>
      <w:pPr>
        <w:pStyle w:val="ListParagraph"/>
        <w:numPr>
          <w:ilvl w:val="0"/>
          <w:numId w:val="2"/>
        </w:numPr>
        <w:spacing w:after="80"/>
      </w:pPr>
      <w:r>
        <w:rPr>
          <w:rFonts w:ascii="Arial" w:cs="Arial" w:eastAsia="Arial" w:hAnsi="Arial"/>
          <w:sz w:val="20"/>
          <w:szCs w:val="20"/>
        </w:rPr>
        <w:t xml:space="preserve">An indirect statement: "I'm scared to go home" or "Things aren't good at home"</w:t>
      </w:r>
    </w:p>
    <w:p>
      <w:pPr>
        <w:pStyle w:val="ListParagraph"/>
        <w:numPr>
          <w:ilvl w:val="0"/>
          <w:numId w:val="2"/>
        </w:numPr>
        <w:spacing w:after="80"/>
      </w:pPr>
      <w:r>
        <w:rPr>
          <w:rFonts w:ascii="Arial" w:cs="Arial" w:eastAsia="Arial" w:hAnsi="Arial"/>
          <w:sz w:val="20"/>
          <w:szCs w:val="20"/>
        </w:rPr>
        <w:t xml:space="preserve">A behavioural change: increased distress, flinching at touch, reluctance to leave at shift end, references to fear</w:t>
      </w:r>
    </w:p>
    <w:p>
      <w:pPr>
        <w:pStyle w:val="ListParagraph"/>
        <w:numPr>
          <w:ilvl w:val="0"/>
          <w:numId w:val="2"/>
        </w:numPr>
        <w:spacing w:after="80"/>
      </w:pPr>
      <w:r>
        <w:rPr>
          <w:rFonts w:ascii="Arial" w:cs="Arial" w:eastAsia="Arial" w:hAnsi="Arial"/>
          <w:sz w:val="20"/>
          <w:szCs w:val="20"/>
        </w:rPr>
        <w:t xml:space="preserve">A third-party report: a neighbour, family friend, or other professional tells you they are concerned about a participant</w:t>
      </w:r>
    </w:p>
    <w:p>
      <w:pPr>
        <w:pStyle w:val="Heading2"/>
      </w:pPr>
      <w:r>
        <w:t xml:space="preserve">3.2 Immediate Response</w:t>
      </w:r>
    </w:p>
    <w:p>
      <w:pPr>
        <w:pStyle w:val="ListParagraph"/>
        <w:numPr>
          <w:ilvl w:val="0"/>
          <w:numId w:val="3"/>
        </w:numPr>
        <w:spacing w:after="100"/>
      </w:pPr>
      <w:r>
        <w:rPr>
          <w:rFonts w:ascii="Arial" w:cs="Arial" w:eastAsia="Arial" w:hAnsi="Arial"/>
          <w:sz w:val="20"/>
          <w:szCs w:val="20"/>
        </w:rPr>
        <w:t xml:space="preserve">Stay calm and present. Your reaction in the first moments will shape whether the participant continues to disclose. Do not show shock, disbelief, or distress — even if what you are hearing is disturbing.</w:t>
      </w:r>
    </w:p>
    <w:p>
      <w:pPr>
        <w:pStyle w:val="ListParagraph"/>
        <w:numPr>
          <w:ilvl w:val="0"/>
          <w:numId w:val="3"/>
        </w:numPr>
        <w:spacing w:after="100"/>
      </w:pPr>
      <w:r>
        <w:rPr>
          <w:rFonts w:ascii="Arial" w:cs="Arial" w:eastAsia="Arial" w:hAnsi="Arial"/>
          <w:sz w:val="20"/>
          <w:szCs w:val="20"/>
        </w:rPr>
        <w:t xml:space="preserve">Do not make promises of confidentiality. You can say: "Thank you for telling me. I take your safety seriously, and because of that, I'll need to share this with my coordinator — only the people who need to know to keep you safe."</w:t>
      </w:r>
    </w:p>
    <w:p>
      <w:pPr>
        <w:pStyle w:val="ListParagraph"/>
        <w:numPr>
          <w:ilvl w:val="0"/>
          <w:numId w:val="3"/>
        </w:numPr>
        <w:spacing w:after="100"/>
      </w:pPr>
      <w:r>
        <w:rPr>
          <w:rFonts w:ascii="Arial" w:cs="Arial" w:eastAsia="Arial" w:hAnsi="Arial"/>
          <w:sz w:val="20"/>
          <w:szCs w:val="20"/>
        </w:rPr>
        <w:t xml:space="preserve">Do not ask investigative questions. You may ask clarifying questions if needed to understand the nature of the concern (e.g. "Can you tell me more about what happened?") — but do not press for details, names, locations, or timelines beyond what the participant volunteers. You are not conducting an investigation.</w:t>
      </w:r>
    </w:p>
    <w:p>
      <w:pPr>
        <w:pStyle w:val="ListParagraph"/>
        <w:numPr>
          <w:ilvl w:val="0"/>
          <w:numId w:val="3"/>
        </w:numPr>
        <w:spacing w:after="100"/>
      </w:pPr>
      <w:r>
        <w:rPr>
          <w:rFonts w:ascii="Arial" w:cs="Arial" w:eastAsia="Arial" w:hAnsi="Arial"/>
          <w:sz w:val="20"/>
          <w:szCs w:val="20"/>
        </w:rPr>
        <w:t xml:space="preserve">If the participant is in immediate danger, call 000 before taking any further steps.</w:t>
      </w:r>
    </w:p>
    <w:p>
      <w:pPr>
        <w:pStyle w:val="Heading2"/>
      </w:pPr>
      <w:r>
        <w:t xml:space="preserve">3.3 Internal Reporting</w:t>
      </w:r>
    </w:p>
    <w:p>
      <w:pPr>
        <w:pStyle w:val="ListParagraph"/>
        <w:numPr>
          <w:ilvl w:val="0"/>
          <w:numId w:val="3"/>
        </w:numPr>
        <w:spacing w:after="100"/>
      </w:pPr>
      <w:r>
        <w:rPr>
          <w:rFonts w:ascii="Arial" w:cs="Arial" w:eastAsia="Arial" w:hAnsi="Arial"/>
          <w:sz w:val="20"/>
          <w:szCs w:val="20"/>
        </w:rPr>
        <w:t xml:space="preserve">Contact your coordinator by phone as soon as it is safe to do so after the disclosure — not at the end of your shift if the concern is serious or ongoing.</w:t>
      </w:r>
    </w:p>
    <w:p>
      <w:pPr>
        <w:pStyle w:val="ListParagraph"/>
        <w:numPr>
          <w:ilvl w:val="0"/>
          <w:numId w:val="3"/>
        </w:numPr>
        <w:spacing w:after="100"/>
      </w:pPr>
      <w:r>
        <w:rPr>
          <w:rFonts w:ascii="Arial" w:cs="Arial" w:eastAsia="Arial" w:hAnsi="Arial"/>
          <w:sz w:val="20"/>
          <w:szCs w:val="20"/>
        </w:rPr>
        <w:t xml:space="preserve">If you cannot reach your coordinator, contact the Horizons safeguarding lead or on-call manager. The contact details are in the Horizons app under "Emergency Contacts."</w:t>
      </w:r>
    </w:p>
    <w:p>
      <w:pPr>
        <w:pStyle w:val="ListParagraph"/>
        <w:numPr>
          <w:ilvl w:val="0"/>
          <w:numId w:val="3"/>
        </w:numPr>
        <w:spacing w:after="100"/>
      </w:pPr>
      <w:r>
        <w:rPr>
          <w:rFonts w:ascii="Arial" w:cs="Arial" w:eastAsia="Arial" w:hAnsi="Arial"/>
          <w:sz w:val="20"/>
          <w:szCs w:val="20"/>
        </w:rPr>
        <w:t xml:space="preserve">Do not contact the alleged person, whether they are a family member, another worker, or anyone else. This applies even if you feel the situation can be resolved quickly.</w:t>
      </w:r>
    </w:p>
    <w:p>
      <w:pPr>
        <w:pStyle w:val="Heading2"/>
      </w:pPr>
      <w:r>
        <w:t xml:space="preserve">3.4 Documentation</w:t>
      </w:r>
    </w:p>
    <w:p>
      <w:pPr>
        <w:pStyle w:val="ListParagraph"/>
        <w:numPr>
          <w:ilvl w:val="0"/>
          <w:numId w:val="3"/>
        </w:numPr>
        <w:spacing w:after="100"/>
      </w:pPr>
      <w:r>
        <w:rPr>
          <w:rFonts w:ascii="Arial" w:cs="Arial" w:eastAsia="Arial" w:hAnsi="Arial"/>
          <w:sz w:val="20"/>
          <w:szCs w:val="20"/>
        </w:rPr>
        <w:t xml:space="preserve">Document the disclosure in the participant's file as a safeguarding concern — not in the general shift notes. Access this through the "Safeguarding" tab in the participant's profile.</w:t>
      </w:r>
    </w:p>
    <w:p>
      <w:pPr>
        <w:pStyle w:val="ListParagraph"/>
        <w:numPr>
          <w:ilvl w:val="0"/>
          <w:numId w:val="3"/>
        </w:numPr>
        <w:spacing w:after="100"/>
      </w:pPr>
      <w:r>
        <w:rPr>
          <w:rFonts w:ascii="Arial" w:cs="Arial" w:eastAsia="Arial" w:hAnsi="Arial"/>
          <w:sz w:val="20"/>
          <w:szCs w:val="20"/>
        </w:rPr>
        <w:t xml:space="preserve">Use the participant's exact words where possible — not a paraphrase. Record: what was said or observed, when and where, who else was present, and what your response was.</w:t>
      </w:r>
    </w:p>
    <w:p>
      <w:pPr>
        <w:pStyle w:val="ListParagraph"/>
        <w:numPr>
          <w:ilvl w:val="0"/>
          <w:numId w:val="3"/>
        </w:numPr>
        <w:spacing w:after="100"/>
      </w:pPr>
      <w:r>
        <w:rPr>
          <w:rFonts w:ascii="Arial" w:cs="Arial" w:eastAsia="Arial" w:hAnsi="Arial"/>
          <w:sz w:val="20"/>
          <w:szCs w:val="20"/>
        </w:rPr>
        <w:t xml:space="preserve">Do not add your interpretation or analysis. Do not record what you think caused the situation or who you think is responsible. Record only what you directly observed or were told.</w:t>
      </w:r>
    </w:p>
    <w:p>
      <w:pPr>
        <w:pStyle w:val="ListParagraph"/>
        <w:numPr>
          <w:ilvl w:val="0"/>
          <w:numId w:val="3"/>
        </w:numPr>
        <w:spacing w:after="100"/>
      </w:pPr>
      <w:r>
        <w:rPr>
          <w:rFonts w:ascii="Arial" w:cs="Arial" w:eastAsia="Arial" w:hAnsi="Arial"/>
          <w:sz w:val="20"/>
          <w:szCs w:val="20"/>
        </w:rPr>
        <w:t xml:space="preserve">Submit the documentation within 2 hours of the disclosure or as soon as practicable.</w:t>
      </w:r>
    </w:p>
    <w:p>
      <w:pPr>
        <w:pBdr>
          <w:left w:val="thick" w:color="b35900" w:sz="8"/>
        </w:pBdr>
        <w:spacing w:after="120" w:before="80"/>
        <w:ind w:left="400"/>
      </w:pPr>
      <w:r>
        <w:rPr>
          <w:rFonts w:ascii="Arial" w:cs="Arial" w:eastAsia="Arial" w:hAnsi="Arial"/>
          <w:b/>
          <w:bCs/>
          <w:color w:val="004433"/>
          <w:sz w:val="19"/>
          <w:szCs w:val="19"/>
        </w:rPr>
        <w:t xml:space="preserve">CRITICAL: </w:t>
      </w:r>
      <w:r>
        <w:rPr>
          <w:rFonts w:ascii="Arial" w:cs="Arial" w:eastAsia="Arial" w:hAnsi="Arial"/>
          <w:i/>
          <w:iCs/>
          <w:color w:val="004433"/>
          <w:sz w:val="19"/>
          <w:szCs w:val="19"/>
        </w:rPr>
        <w:t xml:space="preserve">Horizons' mandatory reporting obligations mean that all disclosures of abuse, neglect, or exploitation involving an NDIS participant must be reported to the NDIS Commission within 24 hours of the organisation becoming aware. Workers support this obligation by reporting internally without delay. The Quality team manages the NDIS Commission notification — workers must not make this notification themselves.</w:t>
      </w:r>
    </w:p>
    <w:p>
      <w:pPr>
        <w:spacing w:after="200"/>
      </w:pPr>
      <w:r>
        <w:t xml:space="preserve"/>
      </w:r>
    </w:p>
    <w:p>
      <w:r>
        <w:rPr>
          <w:rFonts w:ascii="Arial" w:cs="Arial" w:eastAsia="Arial" w:hAnsi="Arial"/>
          <w:i/>
          <w:iCs/>
          <w:color w:val="aaaaaa"/>
          <w:sz w:val="16"/>
          <w:szCs w:val="16"/>
        </w:rPr>
        <w:t xml:space="preserve">HCC-PROC-201-203 v3.1 | Horizons Community Care | CONFIDENTIAL — FOR INTERNAL USE ONLY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0"/>
        <w:szCs w:val="20"/>
      </w:rPr>
    </w:lvl>
  </w:abstractNum>
  <w:abstractNum w:abstractNumId="3" w15:restartNumberingAfterBreak="0">
    <w:multiLevelType w:val="hybridMultilevel"/>
    <w:lvl w:ilvl="0" w15:tentative="1">
      <w:start w:val="1"/>
      <w:numFmt w:val="bullet"/>
      <w:lvlText w:val="◦"/>
      <w:lvlJc w:val="left"/>
      <w:pPr>
        <w:ind w:left="1080" w:hanging="360"/>
      </w:pPr>
      <w:rPr>
        <w:rFonts w:ascii="Arial" w:cs="Arial" w:eastAsia="Arial" w:hAnsi="Arial"/>
        <w:sz w:val="20"/>
        <w:szCs w:val="20"/>
      </w:rPr>
    </w:lvl>
  </w:abstractNum>
  <w:abstractNum w:abstractNumId="4" w15:restartNumberingAfterBreak="0">
    <w:multiLevelType w:val="hybridMultilevel"/>
    <w:lvl w:ilvl="0" w15:tentative="1">
      <w:start w:val="1"/>
      <w:numFmt w:val="decimal"/>
      <w:lvlText w:val="%1."/>
      <w:lvlJc w:val="left"/>
      <w:pPr>
        <w:ind w:left="720" w:hanging="3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e2e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005f6b"/>
      <w:sz w:val="28"/>
      <w:szCs w:val="28"/>
    </w:rPr>
  </w:style>
  <w:style w:type="paragraph" w:styleId="Heading2">
    <w:name w:val="Heading 2"/>
    <w:basedOn w:val="Normal"/>
    <w:next w:val="Normal"/>
    <w:qFormat/>
    <w:pPr>
      <w:spacing w:after="80" w:before="200"/>
      <w:outlineLvl w:val="1"/>
    </w:pPr>
    <w:rPr>
      <w:rFonts w:ascii="Arial" w:cs="Arial" w:eastAsia="Arial" w:hAnsi="Arial"/>
      <w:b/>
      <w:bCs/>
      <w:color w:val="1a8a9a"/>
      <w:sz w:val="24"/>
      <w:szCs w:val="24"/>
    </w:rPr>
  </w:style>
  <w:style w:type="paragraph" w:styleId="Heading3">
    <w:name w:val="Heading 3"/>
    <w:basedOn w:val="Normal"/>
    <w:next w:val="Normal"/>
    <w:qFormat/>
    <w:pPr>
      <w:spacing w:after="60" w:before="140"/>
      <w:outlineLvl w:val="2"/>
    </w:pPr>
    <w:rPr>
      <w:rFonts w:ascii="Arial" w:cs="Arial" w:eastAsia="Arial" w:hAnsi="Arial"/>
      <w:b/>
      <w:bCs/>
      <w:color w:val="2e2e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2026-05-18T12:05:40.100Z</dcterms:created>
  <dcterms:modified xsi:type="dcterms:W3CDTF">2026-05-18T12:05:40.100Z</dcterms:modified>
</cp:coreProperties>
</file>

<file path=docProps/custom.xml><?xml version="1.0" encoding="utf-8"?>
<Properties xmlns="http://schemas.openxmlformats.org/officeDocument/2006/custom-properties" xmlns:vt="http://schemas.openxmlformats.org/officeDocument/2006/docPropsVTypes"/>
</file>