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d6ca2"/>
          <w:sz w:val="18"/>
          <w:szCs w:val="18"/>
        </w:rPr>
        <w:t xml:space="preserve">SUNRISE DISABILITY SUPPORT SERVICES</w:t>
      </w:r>
    </w:p>
    <w:p>
      <w:pPr>
        <w:spacing w:after="80"/>
      </w:pPr>
      <w:r>
        <w:rPr>
          <w:rFonts w:ascii="Arial" w:cs="Arial" w:eastAsia="Arial" w:hAnsi="Arial"/>
          <w:b/>
          <w:bCs/>
          <w:color w:val="1a3560"/>
          <w:sz w:val="28"/>
          <w:szCs w:val="28"/>
        </w:rPr>
        <w:t xml:space="preserve">Operational Procedures — Safety, Hazard Management &amp; Restrictive Practices</w:t>
      </w:r>
    </w:p>
    <w:p>
      <w:pPr>
        <w:pBdr>
          <w:bottom w:val="single" w:color="1a3560"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ID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SDS-PROC-001-002</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Version</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2.4</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Effective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 March 2024</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Review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March 2026</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Owner</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Quality &amp; Operations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Approved By</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Operations Director</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Scope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All support workers, coordinators, team leaders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Related Policies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SDS-POL-002 (Participant Rights, Empowerment &amp; Safeguarding), SDS-POL-003 (Workforce Management, WHS &amp; Service Delivery)</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Related Procedures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SDS-PROC-003 (Incident Reporting), SDS-PROC-007 (Supported Decision-Making)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Status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CURRENT — supersedes SDS-PROC-001 v2.3 and SDS-PROC-002 v1.8</w:t>
            </w:r>
          </w:p>
        </w:tc>
      </w:tr>
    </w:tbl>
    <w:p>
      <w:pPr>
        <w:spacing w:after="160"/>
      </w:pPr>
      <w:r>
        <w:t xml:space="preserve"/>
      </w:r>
    </w:p>
    <w:p>
      <w:pPr>
        <w:spacing w:after="120" w:line="280"/>
      </w:pPr>
      <w:r>
        <w:rPr>
          <w:rFonts w:ascii="Arial" w:cs="Arial" w:eastAsia="Arial" w:hAnsi="Arial"/>
          <w:sz w:val="20"/>
          <w:szCs w:val="20"/>
        </w:rPr>
        <w:t xml:space="preserve">PURPOSE: This document provides step-by-step operational guidance for two critical areas of Sunrise service delivery: (1) workplace hazard identification and safety checks at shift commencement, and (2) the documentation and reporting requirements for restrictive practices. These procedures must be followed without exception by all workers in scope. Familiarity with these procedures is assessed during induction and annual competency reviews.</w:t>
      </w:r>
    </w:p>
    <w:p>
      <w:pPr>
        <w:spacing w:after="120" w:line="280"/>
      </w:pPr>
      <w:r>
        <w:rPr>
          <w:rFonts w:ascii="Arial" w:cs="Arial" w:eastAsia="Arial" w:hAnsi="Arial"/>
          <w:sz w:val="20"/>
          <w:szCs w:val="20"/>
        </w:rPr>
        <w:t xml:space="preserve">IMPORTANT: Procedures do not replace policy. These procedures operationalise the requirements set out in SDS-POL-002 and SDS-POL-003. Where a worker encounters a situation not covered by these procedures, they must escalate to their coordinator immediately — they must not improvise or act unilaterally.</w:t>
      </w:r>
    </w:p>
    <w:p>
      <w:pPr>
        <w:spacing w:after="120"/>
      </w:pPr>
      <w:r>
        <w:t xml:space="preserve"/>
      </w:r>
    </w:p>
    <w:p>
      <w:r>
        <w:br w:type="page"/>
      </w:r>
    </w:p>
    <w:p>
      <w:pPr>
        <w:pStyle w:val="Heading1"/>
      </w:pPr>
      <w:r>
        <w:t xml:space="preserve">PROCEDURE 1: Shift Commencement Hazard Identification and Control</w:t>
      </w:r>
    </w:p>
    <w:p>
      <w:pPr>
        <w:pBdr>
          <w:bottom w:val="single" w:color="d0d5dd" w:sz="3"/>
        </w:pBdr>
        <w:spacing w:after="80"/>
      </w:pPr>
      <w:r>
        <w:t xml:space="preserve"/>
      </w:r>
    </w:p>
    <w:p>
      <w:pPr>
        <w:pStyle w:val="Heading2"/>
      </w:pPr>
      <w:r>
        <w:t xml:space="preserve">1.1 Overview and Purpose</w:t>
      </w:r>
    </w:p>
    <w:p>
      <w:pPr>
        <w:spacing w:after="120" w:line="280"/>
      </w:pPr>
      <w:r>
        <w:rPr>
          <w:rFonts w:ascii="Arial" w:cs="Arial" w:eastAsia="Arial" w:hAnsi="Arial"/>
          <w:sz w:val="20"/>
          <w:szCs w:val="20"/>
        </w:rPr>
        <w:t xml:space="preserve">Every shift at a participant's home, community location, or any setting other than a Sunrise office requires a systematic hazard check at commencement. This is not a casual walkthrough — it is a formal safety assessment that must be documented in the Sunrise system. The hazard check protects both the participant and the worker, and provides a contemporaneous record in the event of a subsequent incident.</w:t>
      </w:r>
    </w:p>
    <w:p>
      <w:pPr>
        <w:spacing w:after="120" w:line="280"/>
      </w:pPr>
      <w:r>
        <w:rPr>
          <w:rFonts w:ascii="Arial" w:cs="Arial" w:eastAsia="Arial" w:hAnsi="Arial"/>
          <w:sz w:val="20"/>
          <w:szCs w:val="20"/>
        </w:rPr>
        <w:t xml:space="preserve">This procedure applies to: client home shifts, community access shifts, in-home respite shifts, and any shift where Sunrise provides support in a setting not owned or controlled by Sunrise.</w:t>
      </w:r>
    </w:p>
    <w:p>
      <w:pPr>
        <w:pStyle w:val="Heading2"/>
      </w:pPr>
      <w:r>
        <w:t xml:space="preserve">1.2 Who Completes the Hazard Check</w:t>
      </w:r>
    </w:p>
    <w:p>
      <w:pPr>
        <w:spacing w:after="120" w:line="280"/>
      </w:pPr>
      <w:r>
        <w:rPr>
          <w:rFonts w:ascii="Arial" w:cs="Arial" w:eastAsia="Arial" w:hAnsi="Arial"/>
          <w:sz w:val="20"/>
          <w:szCs w:val="20"/>
        </w:rPr>
        <w:t xml:space="preserve">The support worker who opens the shift is responsible for completing the hazard check. Where two or more workers are on shift together, the lead worker — or, if not designated, the worker with the longer service history — completes the check and records it. Both workers are jointly responsible for acting on any hazard identified.</w:t>
      </w:r>
    </w:p>
    <w:p>
      <w:pPr>
        <w:pStyle w:val="Heading2"/>
      </w:pPr>
      <w:r>
        <w:t xml:space="preserve">1.3 Hazard Check Procedure — Step by Step</w:t>
      </w:r>
    </w:p>
    <w:p>
      <w:pPr>
        <w:spacing w:after="120" w:line="280"/>
      </w:pPr>
      <w:r>
        <w:rPr>
          <w:rFonts w:ascii="Arial" w:cs="Arial" w:eastAsia="Arial" w:hAnsi="Arial"/>
          <w:sz w:val="20"/>
          <w:szCs w:val="20"/>
        </w:rPr>
        <w:t xml:space="preserve">Complete the following steps in order at the start of every eligible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560" w:sz="1"/>
              <w:left w:val="single" w:color="1a3560" w:sz="1"/>
              <w:bottom w:val="single" w:color="1a3560" w:sz="1"/>
              <w:right w:val="single" w:color="1a3560"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160"/>
            <w:tcBorders>
              <w:top w:val="single" w:color="1a3560" w:sz="1"/>
              <w:left w:val="single" w:color="1a3560" w:sz="1"/>
              <w:bottom w:val="single" w:color="1a3560" w:sz="1"/>
              <w:right w:val="single" w:color="1a3560"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9"/>
                <w:szCs w:val="19"/>
              </w:rPr>
              <w:t xml:space="preserve">Step 1</w:t>
            </w:r>
          </w:p>
        </w:tc>
        <w:tc>
          <w:tcPr>
            <w:tcW w:type="dxa" w:w="8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19"/>
                <w:szCs w:val="19"/>
              </w:rPr>
              <w:t xml:space="preserve">Before entering the property, visually assess the exterior — driveway condition, external lighting, any objects that could be a hazard (e.g. loose steps, overgrown paths, evidence of animals). Note anything that requires attention.</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3560"/>
                <w:sz w:val="19"/>
                <w:szCs w:val="19"/>
              </w:rPr>
              <w:t xml:space="preserve">Step 2</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9"/>
                <w:szCs w:val="19"/>
              </w:rPr>
              <w:t xml:space="preserve">Upon entering, conduct a walk-through of all areas that will be used during the shift. Do not restrict the check to the room where you will be working.</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9"/>
                <w:szCs w:val="19"/>
              </w:rPr>
              <w:t xml:space="preserve">Step 3</w:t>
            </w:r>
          </w:p>
        </w:tc>
        <w:tc>
          <w:tcPr>
            <w:tcW w:type="dxa" w:w="8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19"/>
                <w:szCs w:val="19"/>
              </w:rPr>
              <w:t xml:space="preserve">Check for trip hazards: loose rugs, cords across walkways, items left on stairs or the floor, wet or slippery surfaces. Note location and severity.</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3560"/>
                <w:sz w:val="19"/>
                <w:szCs w:val="19"/>
              </w:rPr>
              <w:t xml:space="preserve">Step 4</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9"/>
                <w:szCs w:val="19"/>
              </w:rPr>
              <w:t xml:space="preserve">Check all exits: are they accessible and unobstructed? Can they be opened quickly? Note if any are blocked or if locks appear to be malfunctioning.</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9"/>
                <w:szCs w:val="19"/>
              </w:rPr>
              <w:t xml:space="preserve">Step 5</w:t>
            </w:r>
          </w:p>
        </w:tc>
        <w:tc>
          <w:tcPr>
            <w:tcW w:type="dxa" w:w="8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19"/>
                <w:szCs w:val="19"/>
              </w:rPr>
              <w:t xml:space="preserve">Check equipment that will be used during the shift: mobility aids, hoists, bath chairs, communication devices. Confirm each is in working condition. Do not use equipment that appears damaged or unsafe.</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3560"/>
                <w:sz w:val="19"/>
                <w:szCs w:val="19"/>
              </w:rPr>
              <w:t xml:space="preserve">Step 6</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9"/>
                <w:szCs w:val="19"/>
              </w:rPr>
              <w:t xml:space="preserve">Ask the participant — using their preferred communication method — whether anything has changed in the environment since your last visit. Prompts: new furniture moved, visitors, building work, new animals, changes to equipment.</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9"/>
                <w:szCs w:val="19"/>
              </w:rPr>
              <w:t xml:space="preserve">Step 7</w:t>
            </w:r>
          </w:p>
        </w:tc>
        <w:tc>
          <w:tcPr>
            <w:tcW w:type="dxa" w:w="8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19"/>
                <w:szCs w:val="19"/>
              </w:rPr>
              <w:t xml:space="preserve">Identify the location of the nearest first aid kit and confirm contents are accessible. If the kit is empty or not accessible, document and notify coordinator.</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3560"/>
                <w:sz w:val="19"/>
                <w:szCs w:val="19"/>
              </w:rPr>
              <w:t xml:space="preserve">Step 8</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9"/>
                <w:szCs w:val="19"/>
              </w:rPr>
              <w:t xml:space="preserve">Open the shift in the Sunrise system and complete the Hazard Check log. Record: (a) the areas checked, (b) any hazards identified, (c) what was done about each hazard, and (d) any hazards that were raised with the coordinator.</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9"/>
                <w:szCs w:val="19"/>
              </w:rPr>
              <w:t xml:space="preserve">Step 9</w:t>
            </w:r>
          </w:p>
        </w:tc>
        <w:tc>
          <w:tcPr>
            <w:tcW w:type="dxa" w:w="8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19"/>
                <w:szCs w:val="19"/>
              </w:rPr>
              <w:t xml:space="preserve">If you identified a hazard you cannot resolve yourself (e.g. structural issue, broken equipment), notify your coordinator by phone before beginning the shift. Do not commence the shift if an unresolved hazard poses an immediate risk.</w:t>
            </w:r>
          </w:p>
        </w:tc>
      </w:tr>
    </w:tbl>
    <w:p>
      <w:pPr>
        <w:spacing w:after="120"/>
      </w:pPr>
      <w:r>
        <w:t xml:space="preserve"/>
      </w:r>
    </w:p>
    <w:p>
      <w:pPr>
        <w:pStyle w:val="Heading2"/>
      </w:pPr>
      <w:r>
        <w:t xml:space="preserve">1.4 Hazard Classification and Response</w:t>
      </w:r>
    </w:p>
    <w:p>
      <w:pPr>
        <w:spacing w:after="120" w:line="280"/>
      </w:pPr>
      <w:r>
        <w:rPr>
          <w:rFonts w:ascii="Arial" w:cs="Arial" w:eastAsia="Arial" w:hAnsi="Arial"/>
          <w:sz w:val="20"/>
          <w:szCs w:val="20"/>
        </w:rPr>
        <w:t xml:space="preserve">Not all hazards require the same response. Use the following framework:</w:t>
      </w:r>
    </w:p>
    <w:p>
      <w:pPr>
        <w:pStyle w:val="ListParagraph"/>
        <w:numPr>
          <w:ilvl w:val="0"/>
          <w:numId w:val="2"/>
        </w:numPr>
        <w:spacing w:after="80"/>
      </w:pPr>
      <w:r>
        <w:rPr>
          <w:rFonts w:ascii="Arial" w:cs="Arial" w:eastAsia="Arial" w:hAnsi="Arial"/>
          <w:sz w:val="20"/>
          <w:szCs w:val="20"/>
        </w:rPr>
        <w:t xml:space="preserve">IMMEDIATE RISK (stop the shift): A hazard that poses an immediate and significant risk of injury to the participant or worker — e.g. exposed electrical wiring, a structural collapse, an aggressive animal that cannot be contained. Call your coordinator before proceeding.</w:t>
      </w:r>
    </w:p>
    <w:p>
      <w:pPr>
        <w:pStyle w:val="ListParagraph"/>
        <w:numPr>
          <w:ilvl w:val="0"/>
          <w:numId w:val="2"/>
        </w:numPr>
        <w:spacing w:after="80"/>
      </w:pPr>
      <w:r>
        <w:rPr>
          <w:rFonts w:ascii="Arial" w:cs="Arial" w:eastAsia="Arial" w:hAnsi="Arial"/>
          <w:sz w:val="20"/>
          <w:szCs w:val="20"/>
        </w:rPr>
        <w:t xml:space="preserve">MANAGEABLE RISK (resolve and continue): A hazard you can address yourself without specialist assistance — e.g. a rug you can move, a spillage you can clean, a door you can unlock. Resolve it, document what you did, and continue.</w:t>
      </w:r>
    </w:p>
    <w:p>
      <w:pPr>
        <w:pStyle w:val="ListParagraph"/>
        <w:numPr>
          <w:ilvl w:val="0"/>
          <w:numId w:val="2"/>
        </w:numPr>
        <w:spacing w:after="80"/>
      </w:pPr>
      <w:r>
        <w:rPr>
          <w:rFonts w:ascii="Arial" w:cs="Arial" w:eastAsia="Arial" w:hAnsi="Arial"/>
          <w:sz w:val="20"/>
          <w:szCs w:val="20"/>
        </w:rPr>
        <w:t xml:space="preserve">MONITOR AND DOCUMENT: A condition that does not present an immediate risk but should be flagged — e.g. a lamp that is flickering, a pathway that is worn, a piece of equipment that is showing signs of wear. Document in the hazard log and notify coordinator.</w:t>
      </w:r>
    </w:p>
    <w:p>
      <w:pPr>
        <w:pBdr>
          <w:left w:val="thick" w:color="cc3333" w:sz="8"/>
        </w:pBdr>
        <w:spacing w:after="120" w:before="80"/>
        <w:ind w:left="400"/>
      </w:pPr>
      <w:r>
        <w:rPr>
          <w:rFonts w:ascii="Arial" w:cs="Arial" w:eastAsia="Arial" w:hAnsi="Arial"/>
          <w:b/>
          <w:bCs/>
          <w:color w:val="5a0000"/>
          <w:sz w:val="19"/>
          <w:szCs w:val="19"/>
        </w:rPr>
        <w:t xml:space="preserve">NOTE: </w:t>
      </w:r>
      <w:r>
        <w:rPr>
          <w:rFonts w:ascii="Arial" w:cs="Arial" w:eastAsia="Arial" w:hAnsi="Arial"/>
          <w:i/>
          <w:iCs/>
          <w:color w:val="5a0000"/>
          <w:sz w:val="19"/>
          <w:szCs w:val="19"/>
        </w:rPr>
        <w:t xml:space="preserve">A hazard check log with no entries — "all clear" — is still a required record. If no hazards were found, that must be recorded. A missing hazard check log will be treated as a documentation failure in any subsequent incident investigation.</w:t>
      </w:r>
    </w:p>
    <w:p>
      <w:pPr>
        <w:spacing w:after="120"/>
      </w:pPr>
      <w:r>
        <w:t xml:space="preserve"/>
      </w:r>
    </w:p>
    <w:p>
      <w:pPr>
        <w:pStyle w:val="Heading1"/>
      </w:pPr>
      <w:r>
        <w:t xml:space="preserve">PROCEDURE 2: Restrictive Practice Use, Documentation &amp; Reporting</w:t>
      </w:r>
    </w:p>
    <w:p>
      <w:pPr>
        <w:pBdr>
          <w:bottom w:val="single" w:color="d0d5dd" w:sz="3"/>
        </w:pBdr>
        <w:spacing w:after="80"/>
      </w:pPr>
      <w:r>
        <w:t xml:space="preserve"/>
      </w:r>
    </w:p>
    <w:p>
      <w:pPr>
        <w:pStyle w:val="Heading2"/>
      </w:pPr>
      <w:r>
        <w:t xml:space="preserve">2.1 Overview</w:t>
      </w:r>
    </w:p>
    <w:p>
      <w:pPr>
        <w:spacing w:after="120" w:line="280"/>
      </w:pPr>
      <w:r>
        <w:rPr>
          <w:rFonts w:ascii="Arial" w:cs="Arial" w:eastAsia="Arial" w:hAnsi="Arial"/>
          <w:sz w:val="20"/>
          <w:szCs w:val="20"/>
        </w:rPr>
        <w:t xml:space="preserve">A restrictive practice is any intervention that limits a participant's freedom of movement or their right to access items, areas, or activities. Under the NDIS (Restrictive Practices and Behaviour Support) Rules 2018, all regulated restrictive practices used with NDIS participants must be: (a) included in a current, registered Behaviour Support Plan, (b) authorised by the relevant state or territory authority, and (c) implemented only by workers who have received specific training in the practice.</w:t>
      </w:r>
    </w:p>
    <w:p>
      <w:pPr>
        <w:spacing w:after="120" w:line="280"/>
      </w:pPr>
      <w:r>
        <w:rPr>
          <w:rFonts w:ascii="Arial" w:cs="Arial" w:eastAsia="Arial" w:hAnsi="Arial"/>
          <w:sz w:val="20"/>
          <w:szCs w:val="20"/>
        </w:rPr>
        <w:t xml:space="preserve">This procedure covers: (A) the use of a pre-approved restrictive practice during a shift, and (B) an emergency or unplanned use of a physical restraint. Both situations require documentation. The requirements differ.</w:t>
      </w:r>
    </w:p>
    <w:p>
      <w:pPr>
        <w:pStyle w:val="Heading2"/>
      </w:pPr>
      <w:r>
        <w:t xml:space="preserve">2.2 Part A — Planned Use of an Approved Restrictive Practice</w:t>
      </w:r>
    </w:p>
    <w:p>
      <w:pPr>
        <w:spacing w:after="120" w:line="280"/>
      </w:pPr>
      <w:r>
        <w:rPr>
          <w:rFonts w:ascii="Arial" w:cs="Arial" w:eastAsia="Arial" w:hAnsi="Arial"/>
          <w:sz w:val="20"/>
          <w:szCs w:val="20"/>
        </w:rPr>
        <w:t xml:space="preserve">Where a participant's Behaviour Support Plan includes an approved restrictive practice:</w:t>
      </w:r>
    </w:p>
    <w:p>
      <w:pPr>
        <w:pStyle w:val="ListParagraph"/>
        <w:numPr>
          <w:ilvl w:val="0"/>
          <w:numId w:val="3"/>
        </w:numPr>
        <w:spacing w:after="100"/>
      </w:pPr>
      <w:r>
        <w:rPr>
          <w:rFonts w:ascii="Arial" w:cs="Arial" w:eastAsia="Arial" w:hAnsi="Arial"/>
          <w:sz w:val="20"/>
          <w:szCs w:val="20"/>
        </w:rPr>
        <w:t xml:space="preserve">Before the shift: confirm the Behaviour Support Plan (BSP) is current, that the specific practice you may use is included, and that your training record for that practice is current in the Sunrise HR system. If any of these conditions are not met, contact your coordinator before the shift — do not use the practice until they are resolved.</w:t>
      </w:r>
    </w:p>
    <w:p>
      <w:pPr>
        <w:pStyle w:val="ListParagraph"/>
        <w:numPr>
          <w:ilvl w:val="0"/>
          <w:numId w:val="3"/>
        </w:numPr>
        <w:spacing w:after="100"/>
      </w:pPr>
      <w:r>
        <w:rPr>
          <w:rFonts w:ascii="Arial" w:cs="Arial" w:eastAsia="Arial" w:hAnsi="Arial"/>
          <w:sz w:val="20"/>
          <w:szCs w:val="20"/>
        </w:rPr>
        <w:t xml:space="preserve">During the shift: if a situation arises where the approved practice is needed, implement it exactly as documented in the BSP. Do not modify the technique, apply it for longer than specified, or apply it in circumstances other than those described in the plan.</w:t>
      </w:r>
    </w:p>
    <w:p>
      <w:pPr>
        <w:pStyle w:val="ListParagraph"/>
        <w:numPr>
          <w:ilvl w:val="0"/>
          <w:numId w:val="3"/>
        </w:numPr>
        <w:spacing w:after="100"/>
      </w:pPr>
      <w:r>
        <w:rPr>
          <w:rFonts w:ascii="Arial" w:cs="Arial" w:eastAsia="Arial" w:hAnsi="Arial"/>
          <w:sz w:val="20"/>
          <w:szCs w:val="20"/>
        </w:rPr>
        <w:t xml:space="preserve">Always try de-escalation first — even where a restrictive practice is approved, it is a last resort within the shift, not a first response.</w:t>
      </w:r>
    </w:p>
    <w:p>
      <w:pPr>
        <w:pStyle w:val="ListParagraph"/>
        <w:numPr>
          <w:ilvl w:val="0"/>
          <w:numId w:val="3"/>
        </w:numPr>
        <w:spacing w:after="100"/>
      </w:pPr>
      <w:r>
        <w:rPr>
          <w:rFonts w:ascii="Arial" w:cs="Arial" w:eastAsia="Arial" w:hAnsi="Arial"/>
          <w:sz w:val="20"/>
          <w:szCs w:val="20"/>
        </w:rPr>
        <w:t xml:space="preserve">After use: complete a Restrictive Practice Use Record in the Sunrise system the same day. This record must include:</w:t>
      </w:r>
    </w:p>
    <w:p>
      <w:pPr>
        <w:pStyle w:val="ListParagraph"/>
        <w:numPr>
          <w:ilvl w:val="0"/>
          <w:numId w:val="4"/>
        </w:numPr>
        <w:spacing w:after="60"/>
      </w:pPr>
      <w:r>
        <w:rPr>
          <w:rFonts w:ascii="Arial" w:cs="Arial" w:eastAsia="Arial" w:hAnsi="Arial"/>
          <w:sz w:val="20"/>
          <w:szCs w:val="20"/>
        </w:rPr>
        <w:t xml:space="preserve">Exact time the practice was commenced and ended</w:t>
      </w:r>
    </w:p>
    <w:p>
      <w:pPr>
        <w:pStyle w:val="ListParagraph"/>
        <w:numPr>
          <w:ilvl w:val="0"/>
          <w:numId w:val="4"/>
        </w:numPr>
        <w:spacing w:after="60"/>
      </w:pPr>
      <w:r>
        <w:rPr>
          <w:rFonts w:ascii="Arial" w:cs="Arial" w:eastAsia="Arial" w:hAnsi="Arial"/>
          <w:sz w:val="20"/>
          <w:szCs w:val="20"/>
        </w:rPr>
        <w:t xml:space="preserve">Location and circumstances — what triggered the situation</w:t>
      </w:r>
    </w:p>
    <w:p>
      <w:pPr>
        <w:pStyle w:val="ListParagraph"/>
        <w:numPr>
          <w:ilvl w:val="0"/>
          <w:numId w:val="4"/>
        </w:numPr>
        <w:spacing w:after="60"/>
      </w:pPr>
      <w:r>
        <w:rPr>
          <w:rFonts w:ascii="Arial" w:cs="Arial" w:eastAsia="Arial" w:hAnsi="Arial"/>
          <w:sz w:val="20"/>
          <w:szCs w:val="20"/>
        </w:rPr>
        <w:t xml:space="preserve">De-escalation strategies used before the practice was applied</w:t>
      </w:r>
    </w:p>
    <w:p>
      <w:pPr>
        <w:pStyle w:val="ListParagraph"/>
        <w:numPr>
          <w:ilvl w:val="0"/>
          <w:numId w:val="4"/>
        </w:numPr>
        <w:spacing w:after="60"/>
      </w:pPr>
      <w:r>
        <w:rPr>
          <w:rFonts w:ascii="Arial" w:cs="Arial" w:eastAsia="Arial" w:hAnsi="Arial"/>
          <w:sz w:val="20"/>
          <w:szCs w:val="20"/>
        </w:rPr>
        <w:t xml:space="preserve">Which approved practice was used and a specific description of how it was applied</w:t>
      </w:r>
    </w:p>
    <w:p>
      <w:pPr>
        <w:pStyle w:val="ListParagraph"/>
        <w:numPr>
          <w:ilvl w:val="0"/>
          <w:numId w:val="4"/>
        </w:numPr>
        <w:spacing w:after="60"/>
      </w:pPr>
      <w:r>
        <w:rPr>
          <w:rFonts w:ascii="Arial" w:cs="Arial" w:eastAsia="Arial" w:hAnsi="Arial"/>
          <w:sz w:val="20"/>
          <w:szCs w:val="20"/>
        </w:rPr>
        <w:t xml:space="preserve">The participant's response during and after the practice</w:t>
      </w:r>
    </w:p>
    <w:p>
      <w:pPr>
        <w:pStyle w:val="ListParagraph"/>
        <w:numPr>
          <w:ilvl w:val="0"/>
          <w:numId w:val="4"/>
        </w:numPr>
        <w:spacing w:after="60"/>
      </w:pPr>
      <w:r>
        <w:rPr>
          <w:rFonts w:ascii="Arial" w:cs="Arial" w:eastAsia="Arial" w:hAnsi="Arial"/>
          <w:sz w:val="20"/>
          <w:szCs w:val="20"/>
        </w:rPr>
        <w:t xml:space="preserve">The participant's condition at the time the record was completed</w:t>
      </w:r>
    </w:p>
    <w:p>
      <w:pPr>
        <w:pStyle w:val="ListParagraph"/>
        <w:numPr>
          <w:ilvl w:val="0"/>
          <w:numId w:val="3"/>
        </w:numPr>
        <w:spacing w:after="100"/>
      </w:pPr>
      <w:r>
        <w:rPr>
          <w:rFonts w:ascii="Arial" w:cs="Arial" w:eastAsia="Arial" w:hAnsi="Arial"/>
          <w:sz w:val="20"/>
          <w:szCs w:val="20"/>
        </w:rPr>
        <w:t xml:space="preserve">Notify your coordinator verbally on the same day — do not rely solely on the system record.</w:t>
      </w:r>
    </w:p>
    <w:p>
      <w:pPr>
        <w:pStyle w:val="ListParagraph"/>
        <w:numPr>
          <w:ilvl w:val="0"/>
          <w:numId w:val="3"/>
        </w:numPr>
        <w:spacing w:after="100"/>
      </w:pPr>
      <w:r>
        <w:rPr>
          <w:rFonts w:ascii="Arial" w:cs="Arial" w:eastAsia="Arial" w:hAnsi="Arial"/>
          <w:sz w:val="20"/>
          <w:szCs w:val="20"/>
        </w:rPr>
        <w:t xml:space="preserve">The Quality team will review all restrictive practice records and determine whether NDIS Commission reporting obligations are triggered for that instance.</w:t>
      </w:r>
    </w:p>
    <w:p>
      <w:pPr>
        <w:spacing w:after="120"/>
      </w:pPr>
      <w:r>
        <w:t xml:space="preserve"/>
      </w:r>
    </w:p>
    <w:p>
      <w:pPr>
        <w:pStyle w:val="Heading2"/>
      </w:pPr>
      <w:r>
        <w:t xml:space="preserve">2.3 Part B — Emergency or Unplanned Use of Physical Restraint</w:t>
      </w:r>
    </w:p>
    <w:p>
      <w:pPr>
        <w:spacing w:after="120" w:line="280"/>
      </w:pPr>
      <w:r>
        <w:rPr>
          <w:rFonts w:ascii="Arial" w:cs="Arial" w:eastAsia="Arial" w:hAnsi="Arial"/>
          <w:sz w:val="20"/>
          <w:szCs w:val="20"/>
        </w:rPr>
        <w:t xml:space="preserve">An emergency use of physical restraint may only occur where: (a) there is an immediate risk of serious physical harm to the participant or another person, and (b) no other option is available in that moment. An "emergency" use is not a substitute for having an approved BSP.</w:t>
      </w:r>
    </w:p>
    <w:p>
      <w:pPr>
        <w:pBdr>
          <w:left w:val="thick" w:color="cc3333" w:sz="8"/>
        </w:pBdr>
        <w:spacing w:after="120" w:before="80"/>
        <w:ind w:left="400"/>
      </w:pPr>
      <w:r>
        <w:rPr>
          <w:rFonts w:ascii="Arial" w:cs="Arial" w:eastAsia="Arial" w:hAnsi="Arial"/>
          <w:b/>
          <w:bCs/>
          <w:color w:val="5a0000"/>
          <w:sz w:val="19"/>
          <w:szCs w:val="19"/>
        </w:rPr>
        <w:t xml:space="preserve">IMPORTANT: </w:t>
      </w:r>
      <w:r>
        <w:rPr>
          <w:rFonts w:ascii="Arial" w:cs="Arial" w:eastAsia="Arial" w:hAnsi="Arial"/>
          <w:i/>
          <w:iCs/>
          <w:color w:val="5a0000"/>
          <w:sz w:val="19"/>
          <w:szCs w:val="19"/>
        </w:rPr>
        <w:t xml:space="preserve">If you find yourself in a situation where you believe emergency physical restraint is necessary more than once, this is a signal that the participant's Behaviour Support Plan is inadequate and must be reviewed urgently. Raise this with your coordinator immediately.</w:t>
      </w:r>
    </w:p>
    <w:p>
      <w:pPr>
        <w:pStyle w:val="ListParagraph"/>
        <w:numPr>
          <w:ilvl w:val="0"/>
          <w:numId w:val="3"/>
        </w:numPr>
        <w:spacing w:after="100"/>
      </w:pPr>
      <w:r>
        <w:rPr>
          <w:rFonts w:ascii="Arial" w:cs="Arial" w:eastAsia="Arial" w:hAnsi="Arial"/>
          <w:sz w:val="20"/>
          <w:szCs w:val="20"/>
        </w:rPr>
        <w:t xml:space="preserve">Apply the minimum force necessary to prevent the immediate harm. Do not use techniques beyond your training.</w:t>
      </w:r>
    </w:p>
    <w:p>
      <w:pPr>
        <w:pStyle w:val="ListParagraph"/>
        <w:numPr>
          <w:ilvl w:val="0"/>
          <w:numId w:val="3"/>
        </w:numPr>
        <w:spacing w:after="100"/>
      </w:pPr>
      <w:r>
        <w:rPr>
          <w:rFonts w:ascii="Arial" w:cs="Arial" w:eastAsia="Arial" w:hAnsi="Arial"/>
          <w:sz w:val="20"/>
          <w:szCs w:val="20"/>
        </w:rPr>
        <w:t xml:space="preserve">Disengage from the restraint as soon as the immediate risk has passed — even if the participant remains distressed.</w:t>
      </w:r>
    </w:p>
    <w:p>
      <w:pPr>
        <w:pStyle w:val="ListParagraph"/>
        <w:numPr>
          <w:ilvl w:val="0"/>
          <w:numId w:val="3"/>
        </w:numPr>
        <w:spacing w:after="100"/>
      </w:pPr>
      <w:r>
        <w:rPr>
          <w:rFonts w:ascii="Arial" w:cs="Arial" w:eastAsia="Arial" w:hAnsi="Arial"/>
          <w:sz w:val="20"/>
          <w:szCs w:val="20"/>
        </w:rPr>
        <w:t xml:space="preserve">Ensure the participant's safety and dignity after the restraint — check for injuries, provide reassurance, and allow them to re-regulate.</w:t>
      </w:r>
    </w:p>
    <w:p>
      <w:pPr>
        <w:pStyle w:val="ListParagraph"/>
        <w:numPr>
          <w:ilvl w:val="0"/>
          <w:numId w:val="3"/>
        </w:numPr>
        <w:spacing w:after="100"/>
      </w:pPr>
      <w:r>
        <w:rPr>
          <w:rFonts w:ascii="Arial" w:cs="Arial" w:eastAsia="Arial" w:hAnsi="Arial"/>
          <w:sz w:val="20"/>
          <w:szCs w:val="20"/>
        </w:rPr>
        <w:t xml:space="preserve">Contact your coordinator by phone immediately after the incident — before leaving the shift if possible.</w:t>
      </w:r>
    </w:p>
    <w:p>
      <w:pPr>
        <w:pStyle w:val="ListParagraph"/>
        <w:numPr>
          <w:ilvl w:val="0"/>
          <w:numId w:val="3"/>
        </w:numPr>
        <w:spacing w:after="100"/>
      </w:pPr>
      <w:r>
        <w:rPr>
          <w:rFonts w:ascii="Arial" w:cs="Arial" w:eastAsia="Arial" w:hAnsi="Arial"/>
          <w:sz w:val="20"/>
          <w:szCs w:val="20"/>
        </w:rPr>
        <w:t xml:space="preserve">Complete a Critical Incident Report in the Sunrise system within 2 hours. This must include all elements listed in 2.2 Step 4 above, plus a statement explaining why emergency restraint was necessary and why other options were not viable.</w:t>
      </w:r>
    </w:p>
    <w:p>
      <w:pPr>
        <w:pStyle w:val="ListParagraph"/>
        <w:numPr>
          <w:ilvl w:val="0"/>
          <w:numId w:val="3"/>
        </w:numPr>
        <w:spacing w:after="100"/>
      </w:pPr>
      <w:r>
        <w:rPr>
          <w:rFonts w:ascii="Arial" w:cs="Arial" w:eastAsia="Arial" w:hAnsi="Arial"/>
          <w:sz w:val="20"/>
          <w:szCs w:val="20"/>
        </w:rPr>
        <w:t xml:space="preserve">The Quality team will review the incident record within 24 hours and notify the NDIS Commission within the required timeframe. Workers must not make direct contact with the NDIS Commission about the incident.</w:t>
      </w:r>
    </w:p>
    <w:p>
      <w:pPr>
        <w:pBdr>
          <w:left w:val="thick" w:color="cc3333" w:sz="8"/>
        </w:pBdr>
        <w:spacing w:after="120" w:before="80"/>
        <w:ind w:left="400"/>
      </w:pPr>
      <w:r>
        <w:rPr>
          <w:rFonts w:ascii="Arial" w:cs="Arial" w:eastAsia="Arial" w:hAnsi="Arial"/>
          <w:b/>
          <w:bCs/>
          <w:color w:val="5a0000"/>
          <w:sz w:val="19"/>
          <w:szCs w:val="19"/>
        </w:rPr>
        <w:t xml:space="preserve">NOTE: </w:t>
      </w:r>
      <w:r>
        <w:rPr>
          <w:rFonts w:ascii="Arial" w:cs="Arial" w:eastAsia="Arial" w:hAnsi="Arial"/>
          <w:i/>
          <w:iCs/>
          <w:color w:val="5a0000"/>
          <w:sz w:val="19"/>
          <w:szCs w:val="19"/>
        </w:rPr>
        <w:t xml:space="preserve">Workers who use physical restraint that was not in the participant's BSP and cannot demonstrate that the emergency criteria were met will be subject to a formal incident investigation. This is not a punitive process — it is a quality assurance obligation under the NDIS framework.</w:t>
      </w:r>
    </w:p>
    <w:p>
      <w:pPr>
        <w:spacing w:after="200"/>
      </w:pPr>
      <w:r>
        <w:t xml:space="preserve"/>
      </w:r>
    </w:p>
    <w:p>
      <w:r>
        <w:rPr>
          <w:rFonts w:ascii="Arial" w:cs="Arial" w:eastAsia="Arial" w:hAnsi="Arial"/>
          <w:i/>
          <w:iCs/>
          <w:color w:val="aaaaaa"/>
          <w:sz w:val="16"/>
          <w:szCs w:val="16"/>
        </w:rPr>
        <w:t xml:space="preserve">SDS-PROC-001-002 v2.4 | Sunrise Disability Support Services | INTERNAL PROCEDURE — NOT FOR EXTERNAL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56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d6ca2"/>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2026-05-18T11:57:56.891Z</dcterms:created>
  <dcterms:modified xsi:type="dcterms:W3CDTF">2026-05-18T11:57:56.891Z</dcterms:modified>
</cp:coreProperties>
</file>

<file path=docProps/custom.xml><?xml version="1.0" encoding="utf-8"?>
<Properties xmlns="http://schemas.openxmlformats.org/officeDocument/2006/custom-properties" xmlns:vt="http://schemas.openxmlformats.org/officeDocument/2006/docPropsVTypes"/>
</file>