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8a9a"/>
          <w:sz w:val="18"/>
          <w:szCs w:val="18"/>
        </w:rPr>
        <w:t xml:space="preserve">HORIZONS COMMUNITY CARE</w:t>
      </w:r>
    </w:p>
    <w:p>
      <w:pPr>
        <w:spacing w:after="80"/>
      </w:pPr>
      <w:r>
        <w:rPr>
          <w:rFonts w:ascii="Arial" w:cs="Arial" w:eastAsia="Arial" w:hAnsi="Arial"/>
          <w:b/>
          <w:bCs/>
          <w:color w:val="005f6b"/>
          <w:sz w:val="26"/>
          <w:szCs w:val="26"/>
        </w:rPr>
        <w:t xml:space="preserve">Operational Procedures — Aggression &amp; Safety, Medication Refusal, Participant Exit &amp; Allowances</w:t>
      </w:r>
    </w:p>
    <w:p>
      <w:pPr>
        <w:pBdr>
          <w:bottom w:val="single" w:color="005f6b"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Document ID</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HCC-PROC-207-210</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Version</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1.7</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Effective Date</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20 February 2024</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Review Date</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February 2026</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Document Owner</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Operations &amp; HR</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Approved By</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CEO</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Scope</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All support workers, coordinators, payroll team</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Related Policies</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HCC-POL-101 (Rights, Decision-Making &amp; Behaviour Support), HCC-POL-102 (Workforce, Safety &amp; Incident Management), HCC-POL-103 (Services, Continuity &amp; Governance)</w:t>
            </w:r>
          </w:p>
        </w:tc>
      </w:tr>
    </w:tbl>
    <w:p>
      <w:pPr>
        <w:spacing w:after="160"/>
      </w:pPr>
      <w:r>
        <w:t xml:space="preserve"/>
      </w:r>
    </w:p>
    <w:p>
      <w:pPr>
        <w:spacing w:after="120" w:line="280"/>
      </w:pPr>
      <w:r>
        <w:rPr>
          <w:rFonts w:ascii="Arial" w:cs="Arial" w:eastAsia="Arial" w:hAnsi="Arial"/>
          <w:sz w:val="20"/>
          <w:szCs w:val="20"/>
        </w:rPr>
        <w:t xml:space="preserve">PURPOSE: This document covers four operational procedures that workers encounter regularly: (1) managing aggression and safety threats, (2) handling medication refusal by a participant, (3) managing a participant's exit from Horizons, and (4) claiming shift allowances. Workers are required to be familiar with all four sections.</w:t>
      </w:r>
    </w:p>
    <w:p>
      <w:pPr>
        <w:spacing w:after="120"/>
      </w:pPr>
      <w:r>
        <w:t xml:space="preserve"/>
      </w:r>
    </w:p>
    <w:p>
      <w:r>
        <w:br w:type="page"/>
      </w:r>
    </w:p>
    <w:p>
      <w:pPr>
        <w:pStyle w:val="Heading1"/>
      </w:pPr>
      <w:r>
        <w:t xml:space="preserve">PROCEDURE 7 (HCC-PROC-207): Managing Aggression and Safety Threats</w:t>
      </w:r>
    </w:p>
    <w:p>
      <w:pPr>
        <w:pBdr>
          <w:bottom w:val="single" w:color="c0cdd0" w:sz="3"/>
        </w:pBdr>
        <w:spacing w:after="80"/>
      </w:pPr>
      <w:r>
        <w:t xml:space="preserve"/>
      </w:r>
    </w:p>
    <w:p>
      <w:pPr>
        <w:pStyle w:val="Heading2"/>
      </w:pPr>
      <w:r>
        <w:t xml:space="preserve">7.1 Prevention First</w:t>
      </w:r>
    </w:p>
    <w:p>
      <w:pPr>
        <w:spacing w:after="120" w:line="280"/>
      </w:pPr>
      <w:r>
        <w:rPr>
          <w:rFonts w:ascii="Arial" w:cs="Arial" w:eastAsia="Arial" w:hAnsi="Arial"/>
          <w:sz w:val="20"/>
          <w:szCs w:val="20"/>
        </w:rPr>
        <w:t xml:space="preserve">Most aggression incidents have early warning signs. Workers who know a participant well will often recognise these signs before escalation occurs. The participant's Behaviour Support Plan (BSP) will document known early warning signs and recommended responses for that specific participant. Workers must be familiar with this section of the BSP before attending shifts with any participant who has a documented history of behaviours of concern.</w:t>
      </w:r>
    </w:p>
    <w:p>
      <w:pPr>
        <w:spacing w:after="120" w:line="280"/>
      </w:pPr>
      <w:r>
        <w:rPr>
          <w:rFonts w:ascii="Arial" w:cs="Arial" w:eastAsia="Arial" w:hAnsi="Arial"/>
          <w:sz w:val="20"/>
          <w:szCs w:val="20"/>
        </w:rPr>
        <w:t xml:space="preserve">If you notice early warning signs during a shift, attempt to de-escalate using the strategies in the BSP before the situation escalates. Document what you observed and what you did in the shift notes regardless of whether the situation escalated.</w:t>
      </w:r>
    </w:p>
    <w:p>
      <w:pPr>
        <w:pStyle w:val="Heading2"/>
      </w:pPr>
      <w:r>
        <w:t xml:space="preserve">7.2 During an Aggression Incident</w:t>
      </w:r>
    </w:p>
    <w:p>
      <w:pPr>
        <w:pStyle w:val="ListParagraph"/>
        <w:numPr>
          <w:ilvl w:val="0"/>
          <w:numId w:val="2"/>
        </w:numPr>
        <w:spacing w:after="100"/>
      </w:pPr>
      <w:r>
        <w:rPr>
          <w:rFonts w:ascii="Arial" w:cs="Arial" w:eastAsia="Arial" w:hAnsi="Arial"/>
          <w:sz w:val="20"/>
          <w:szCs w:val="20"/>
        </w:rPr>
        <w:t xml:space="preserve">Remain calm. Raised voices, defensive posture, and sudden movements will typically escalate the situation. Speak slowly, in a low tone, using simple language.</w:t>
      </w:r>
    </w:p>
    <w:p>
      <w:pPr>
        <w:pStyle w:val="ListParagraph"/>
        <w:numPr>
          <w:ilvl w:val="0"/>
          <w:numId w:val="2"/>
        </w:numPr>
        <w:spacing w:after="100"/>
      </w:pPr>
      <w:r>
        <w:rPr>
          <w:rFonts w:ascii="Arial" w:cs="Arial" w:eastAsia="Arial" w:hAnsi="Arial"/>
          <w:sz w:val="20"/>
          <w:szCs w:val="20"/>
        </w:rPr>
        <w:t xml:space="preserve">Follow the de-escalation strategies in the participant's BSP exactly. Do not improvise techniques that are not in the plan.</w:t>
      </w:r>
    </w:p>
    <w:p>
      <w:pPr>
        <w:pStyle w:val="ListParagraph"/>
        <w:numPr>
          <w:ilvl w:val="0"/>
          <w:numId w:val="2"/>
        </w:numPr>
        <w:spacing w:after="100"/>
      </w:pPr>
      <w:r>
        <w:rPr>
          <w:rFonts w:ascii="Arial" w:cs="Arial" w:eastAsia="Arial" w:hAnsi="Arial"/>
          <w:sz w:val="20"/>
          <w:szCs w:val="20"/>
        </w:rPr>
        <w:t xml:space="preserve">Create physical distance without making sudden movements. Move away from the participant calmly.</w:t>
      </w:r>
    </w:p>
    <w:p>
      <w:pPr>
        <w:pStyle w:val="ListParagraph"/>
        <w:numPr>
          <w:ilvl w:val="0"/>
          <w:numId w:val="2"/>
        </w:numPr>
        <w:spacing w:after="100"/>
      </w:pPr>
      <w:r>
        <w:rPr>
          <w:rFonts w:ascii="Arial" w:cs="Arial" w:eastAsia="Arial" w:hAnsi="Arial"/>
          <w:sz w:val="20"/>
          <w:szCs w:val="20"/>
        </w:rPr>
        <w:t xml:space="preserve">If the situation is escalating and you are in a private home, move toward an exit. Keep the participant in your sight where safe to do so.</w:t>
      </w:r>
    </w:p>
    <w:p>
      <w:pPr>
        <w:pStyle w:val="ListParagraph"/>
        <w:numPr>
          <w:ilvl w:val="0"/>
          <w:numId w:val="2"/>
        </w:numPr>
        <w:spacing w:after="100"/>
      </w:pPr>
      <w:r>
        <w:rPr>
          <w:rFonts w:ascii="Arial" w:cs="Arial" w:eastAsia="Arial" w:hAnsi="Arial"/>
          <w:sz w:val="20"/>
          <w:szCs w:val="20"/>
        </w:rPr>
        <w:t xml:space="preserve">If you are in immediate danger and cannot de-escalate, exit the premises and call 000. You do not need to wait for coordinator approval before calling emergency services in an immediate safety situation.</w:t>
      </w:r>
    </w:p>
    <w:p>
      <w:pPr>
        <w:pStyle w:val="ListParagraph"/>
        <w:numPr>
          <w:ilvl w:val="0"/>
          <w:numId w:val="2"/>
        </w:numPr>
        <w:spacing w:after="100"/>
      </w:pPr>
      <w:r>
        <w:rPr>
          <w:rFonts w:ascii="Arial" w:cs="Arial" w:eastAsia="Arial" w:hAnsi="Arial"/>
          <w:sz w:val="20"/>
          <w:szCs w:val="20"/>
        </w:rPr>
        <w:t xml:space="preserve">Once you are safe, call your coordinator by phone. Do not text — this must be a verbal report.</w:t>
      </w:r>
    </w:p>
    <w:p>
      <w:pPr>
        <w:pStyle w:val="ListParagraph"/>
        <w:numPr>
          <w:ilvl w:val="0"/>
          <w:numId w:val="2"/>
        </w:numPr>
        <w:spacing w:after="100"/>
      </w:pPr>
      <w:r>
        <w:rPr>
          <w:rFonts w:ascii="Arial" w:cs="Arial" w:eastAsia="Arial" w:hAnsi="Arial"/>
          <w:sz w:val="20"/>
          <w:szCs w:val="20"/>
        </w:rPr>
        <w:t xml:space="preserve">Do not return to the participant's location until your coordinator has assessed the situation and given you written clearance. "Written clearance" means a message or email — a verbal phone instruction is not sufficient.</w:t>
      </w:r>
    </w:p>
    <w:p>
      <w:pPr>
        <w:pStyle w:val="ListParagraph"/>
        <w:numPr>
          <w:ilvl w:val="0"/>
          <w:numId w:val="2"/>
        </w:numPr>
        <w:spacing w:after="100"/>
      </w:pPr>
      <w:r>
        <w:rPr>
          <w:rFonts w:ascii="Arial" w:cs="Arial" w:eastAsia="Arial" w:hAnsi="Arial"/>
          <w:sz w:val="20"/>
          <w:szCs w:val="20"/>
        </w:rPr>
        <w:t xml:space="preserve">Document the incident as a Critical Incident in the Horizons system within 2 hours. Include: early warning signs observed, de-escalation strategies used, how the situation escalated despite those strategies, what action you took to ensure your safety, and the participant's status when you left.</w:t>
      </w:r>
    </w:p>
    <w:p>
      <w:pPr>
        <w:pStyle w:val="ListParagraph"/>
        <w:numPr>
          <w:ilvl w:val="0"/>
          <w:numId w:val="2"/>
        </w:numPr>
        <w:spacing w:after="100"/>
      </w:pPr>
      <w:r>
        <w:rPr>
          <w:rFonts w:ascii="Arial" w:cs="Arial" w:eastAsia="Arial" w:hAnsi="Arial"/>
          <w:sz w:val="20"/>
          <w:szCs w:val="20"/>
        </w:rPr>
        <w:t xml:space="preserve">Accept the offer of a debrief. Horizons has a duty of care to workers who have experienced a threatening or violent incident. The debrief is not optional for critical incidents — your coordinator will arrange it within 24 hours.</w:t>
      </w:r>
    </w:p>
    <w:p>
      <w:pPr>
        <w:pStyle w:val="Heading2"/>
      </w:pPr>
      <w:r>
        <w:t xml:space="preserve">7.3 After Clearance to Return</w:t>
      </w:r>
    </w:p>
    <w:p>
      <w:pPr>
        <w:spacing w:after="120" w:line="280"/>
      </w:pPr>
      <w:r>
        <w:rPr>
          <w:rFonts w:ascii="Arial" w:cs="Arial" w:eastAsia="Arial" w:hAnsi="Arial"/>
          <w:sz w:val="20"/>
          <w:szCs w:val="20"/>
        </w:rPr>
        <w:t xml:space="preserve">Before returning to a shift with a participant following an aggression incident:</w:t>
      </w:r>
    </w:p>
    <w:p>
      <w:pPr>
        <w:pStyle w:val="ListParagraph"/>
        <w:numPr>
          <w:ilvl w:val="0"/>
          <w:numId w:val="3"/>
        </w:numPr>
        <w:spacing w:after="80"/>
      </w:pPr>
      <w:r>
        <w:rPr>
          <w:rFonts w:ascii="Arial" w:cs="Arial" w:eastAsia="Arial" w:hAnsi="Arial"/>
          <w:sz w:val="20"/>
          <w:szCs w:val="20"/>
        </w:rPr>
        <w:t xml:space="preserve">A risk assessment must be completed by the coordinator and Quality team</w:t>
      </w:r>
    </w:p>
    <w:p>
      <w:pPr>
        <w:pStyle w:val="ListParagraph"/>
        <w:numPr>
          <w:ilvl w:val="0"/>
          <w:numId w:val="3"/>
        </w:numPr>
        <w:spacing w:after="80"/>
      </w:pPr>
      <w:r>
        <w:rPr>
          <w:rFonts w:ascii="Arial" w:cs="Arial" w:eastAsia="Arial" w:hAnsi="Arial"/>
          <w:sz w:val="20"/>
          <w:szCs w:val="20"/>
        </w:rPr>
        <w:t xml:space="preserve">Your coordinator must brief you on any changes to the approach or BSP before your return</w:t>
      </w:r>
    </w:p>
    <w:p>
      <w:pPr>
        <w:pStyle w:val="ListParagraph"/>
        <w:numPr>
          <w:ilvl w:val="0"/>
          <w:numId w:val="3"/>
        </w:numPr>
        <w:spacing w:after="80"/>
      </w:pPr>
      <w:r>
        <w:rPr>
          <w:rFonts w:ascii="Arial" w:cs="Arial" w:eastAsia="Arial" w:hAnsi="Arial"/>
          <w:sz w:val="20"/>
          <w:szCs w:val="20"/>
        </w:rPr>
        <w:t xml:space="preserve">You may decline to return to that participant's shifts. If you do, this will be treated as a professional decision and will not affect your employment. Discuss with your coordinator.</w:t>
      </w:r>
    </w:p>
    <w:p>
      <w:pPr>
        <w:spacing w:after="120"/>
      </w:pPr>
      <w:r>
        <w:t xml:space="preserve"/>
      </w:r>
    </w:p>
    <w:p>
      <w:pPr>
        <w:pStyle w:val="Heading1"/>
      </w:pPr>
      <w:r>
        <w:t xml:space="preserve">PROCEDURE 8 (HCC-PROC-208): Handling Medication Refusal</w:t>
      </w:r>
    </w:p>
    <w:p>
      <w:pPr>
        <w:pBdr>
          <w:bottom w:val="single" w:color="c0cdd0" w:sz="3"/>
        </w:pBdr>
        <w:spacing w:after="80"/>
      </w:pPr>
      <w:r>
        <w:t xml:space="preserve"/>
      </w:r>
    </w:p>
    <w:p>
      <w:pPr>
        <w:pStyle w:val="Heading2"/>
      </w:pPr>
      <w:r>
        <w:t xml:space="preserve">8.1 The Right to Refuse</w:t>
      </w:r>
    </w:p>
    <w:p>
      <w:pPr>
        <w:spacing w:after="120" w:line="280"/>
      </w:pPr>
      <w:r>
        <w:rPr>
          <w:rFonts w:ascii="Arial" w:cs="Arial" w:eastAsia="Arial" w:hAnsi="Arial"/>
          <w:sz w:val="20"/>
          <w:szCs w:val="20"/>
        </w:rPr>
        <w:t xml:space="preserve">A participant with decision-making capacity has the absolute right to refuse medication. This applies even if the medication is considered important for their health or safety. Workers must not administer medication to a participant who has refused, coerce a participant into taking medication, or document a refusal as medication administered.</w:t>
      </w:r>
    </w:p>
    <w:p>
      <w:pPr>
        <w:spacing w:after="120" w:line="280"/>
      </w:pPr>
      <w:r>
        <w:rPr>
          <w:rFonts w:ascii="Arial" w:cs="Arial" w:eastAsia="Arial" w:hAnsi="Arial"/>
          <w:sz w:val="20"/>
          <w:szCs w:val="20"/>
        </w:rPr>
        <w:t xml:space="preserve">Where a participant has significantly reduced decision-making capacity, the medication management plan in their support file will specify the approach to use — refer to that plan and escalate to the coordinator if the situation is unclear.</w:t>
      </w:r>
    </w:p>
    <w:p>
      <w:pPr>
        <w:pStyle w:val="Heading2"/>
      </w:pPr>
      <w:r>
        <w:t xml:space="preserve">8.2 When a Participant Refuses Medication — Step by Step</w:t>
      </w:r>
    </w:p>
    <w:p>
      <w:pPr>
        <w:pStyle w:val="ListParagraph"/>
        <w:numPr>
          <w:ilvl w:val="0"/>
          <w:numId w:val="2"/>
        </w:numPr>
        <w:spacing w:after="100"/>
      </w:pPr>
      <w:r>
        <w:rPr>
          <w:rFonts w:ascii="Arial" w:cs="Arial" w:eastAsia="Arial" w:hAnsi="Arial"/>
          <w:sz w:val="20"/>
          <w:szCs w:val="20"/>
        </w:rPr>
        <w:t xml:space="preserve">Do not attempt to administer the medication. Accept the refusal calmly.</w:t>
      </w:r>
    </w:p>
    <w:p>
      <w:pPr>
        <w:pStyle w:val="ListParagraph"/>
        <w:numPr>
          <w:ilvl w:val="0"/>
          <w:numId w:val="2"/>
        </w:numPr>
        <w:spacing w:after="100"/>
      </w:pPr>
      <w:r>
        <w:rPr>
          <w:rFonts w:ascii="Arial" w:cs="Arial" w:eastAsia="Arial" w:hAnsi="Arial"/>
          <w:sz w:val="20"/>
          <w:szCs w:val="20"/>
        </w:rPr>
        <w:t xml:space="preserve">If the participant is willing to talk, ask gently if there is a reason for the refusal — for example, side effects, timing, difficulty swallowing. Do not press if they are not willing to discuss it.</w:t>
      </w:r>
    </w:p>
    <w:p>
      <w:pPr>
        <w:pStyle w:val="ListParagraph"/>
        <w:numPr>
          <w:ilvl w:val="0"/>
          <w:numId w:val="2"/>
        </w:numPr>
        <w:spacing w:after="100"/>
      </w:pPr>
      <w:r>
        <w:rPr>
          <w:rFonts w:ascii="Arial" w:cs="Arial" w:eastAsia="Arial" w:hAnsi="Arial"/>
          <w:sz w:val="20"/>
          <w:szCs w:val="20"/>
        </w:rPr>
        <w:t xml:space="preserve">Check the medication management plan in the participant's profile for any guidance specific to this medication and this situation.</w:t>
      </w:r>
    </w:p>
    <w:p>
      <w:pPr>
        <w:pStyle w:val="ListParagraph"/>
        <w:numPr>
          <w:ilvl w:val="0"/>
          <w:numId w:val="2"/>
        </w:numPr>
        <w:spacing w:after="100"/>
      </w:pPr>
      <w:r>
        <w:rPr>
          <w:rFonts w:ascii="Arial" w:cs="Arial" w:eastAsia="Arial" w:hAnsi="Arial"/>
          <w:sz w:val="20"/>
          <w:szCs w:val="20"/>
        </w:rPr>
        <w:t xml:space="preserve">Document the refusal immediately in the Horizons system under the Medication section. Include: the medication name and dose, the scheduled time, the time the refusal occurred, any reason provided by the participant, and whether any alternative approach was attempted as per the medication management plan.</w:t>
      </w:r>
    </w:p>
    <w:p>
      <w:pPr>
        <w:pStyle w:val="ListParagraph"/>
        <w:numPr>
          <w:ilvl w:val="0"/>
          <w:numId w:val="2"/>
        </w:numPr>
        <w:spacing w:after="100"/>
      </w:pPr>
      <w:r>
        <w:rPr>
          <w:rFonts w:ascii="Arial" w:cs="Arial" w:eastAsia="Arial" w:hAnsi="Arial"/>
          <w:sz w:val="20"/>
          <w:szCs w:val="20"/>
        </w:rPr>
        <w:t xml:space="preserve">Notify your coordinator within 30 minutes of the refusal — by phone, not just through the system. This is mandatory regardless of how routine the medication appears.</w:t>
      </w:r>
    </w:p>
    <w:p>
      <w:pPr>
        <w:pStyle w:val="ListParagraph"/>
        <w:numPr>
          <w:ilvl w:val="0"/>
          <w:numId w:val="2"/>
        </w:numPr>
        <w:spacing w:after="100"/>
      </w:pPr>
      <w:r>
        <w:rPr>
          <w:rFonts w:ascii="Arial" w:cs="Arial" w:eastAsia="Arial" w:hAnsi="Arial"/>
          <w:sz w:val="20"/>
          <w:szCs w:val="20"/>
        </w:rPr>
        <w:t xml:space="preserve">Your coordinator will determine whether to contact the prescribing clinician or the participant's GP, based on the clinical significance of the missed dose.</w:t>
      </w:r>
    </w:p>
    <w:p>
      <w:pPr>
        <w:pStyle w:val="ListParagraph"/>
        <w:numPr>
          <w:ilvl w:val="0"/>
          <w:numId w:val="2"/>
        </w:numPr>
        <w:spacing w:after="100"/>
      </w:pPr>
      <w:r>
        <w:rPr>
          <w:rFonts w:ascii="Arial" w:cs="Arial" w:eastAsia="Arial" w:hAnsi="Arial"/>
          <w:sz w:val="20"/>
          <w:szCs w:val="20"/>
        </w:rPr>
        <w:t xml:space="preserve">Multiple refusals of the same medication will trigger a medication management plan review by the coordinator and clinical team.</w:t>
      </w:r>
    </w:p>
    <w:p>
      <w:pPr>
        <w:pBdr>
          <w:left w:val="thick" w:color="b35900" w:sz="8"/>
        </w:pBdr>
        <w:spacing w:after="120" w:before="80"/>
        <w:ind w:left="400"/>
      </w:pPr>
      <w:r>
        <w:rPr>
          <w:rFonts w:ascii="Arial" w:cs="Arial" w:eastAsia="Arial" w:hAnsi="Arial"/>
          <w:b/>
          <w:bCs/>
          <w:color w:val="4a3000"/>
          <w:sz w:val="19"/>
          <w:szCs w:val="19"/>
        </w:rPr>
        <w:t xml:space="preserve">NOTE: </w:t>
      </w:r>
      <w:r>
        <w:rPr>
          <w:rFonts w:ascii="Arial" w:cs="Arial" w:eastAsia="Arial" w:hAnsi="Arial"/>
          <w:i/>
          <w:iCs/>
          <w:color w:val="4a3000"/>
          <w:sz w:val="19"/>
          <w:szCs w:val="19"/>
        </w:rPr>
        <w:t xml:space="preserve">Never document "medication administered" if the participant refused. Never mix medication into food or drink to administer it without the participant's knowledge or consent. Both of these actions constitute abuse under the NDIS framework and will result in immediate investigation and likely termination.</w:t>
      </w:r>
    </w:p>
    <w:p>
      <w:pPr>
        <w:spacing w:after="120"/>
      </w:pPr>
      <w:r>
        <w:t xml:space="preserve"/>
      </w:r>
    </w:p>
    <w:p>
      <w:pPr>
        <w:pStyle w:val="Heading1"/>
      </w:pPr>
      <w:r>
        <w:t xml:space="preserve">PROCEDURE 9 (HCC-PROC-209): Participant Exit from Horizons</w:t>
      </w:r>
    </w:p>
    <w:p>
      <w:pPr>
        <w:pBdr>
          <w:bottom w:val="single" w:color="c0cdd0" w:sz="3"/>
        </w:pBdr>
        <w:spacing w:after="80"/>
      </w:pPr>
      <w:r>
        <w:t xml:space="preserve"/>
      </w:r>
    </w:p>
    <w:p>
      <w:pPr>
        <w:pStyle w:val="Heading2"/>
      </w:pPr>
      <w:r>
        <w:t xml:space="preserve">9.1 When a Participant Indicates They Want to Leave — Worker Response</w:t>
      </w:r>
    </w:p>
    <w:p>
      <w:pPr>
        <w:spacing w:after="120" w:line="280"/>
      </w:pPr>
      <w:r>
        <w:rPr>
          <w:rFonts w:ascii="Arial" w:cs="Arial" w:eastAsia="Arial" w:hAnsi="Arial"/>
          <w:sz w:val="20"/>
          <w:szCs w:val="20"/>
        </w:rPr>
        <w:t xml:space="preserve">When a participant tells you — during a shift or otherwise — that they want to stop receiving services from Horizons, your immediate role is:</w:t>
      </w:r>
    </w:p>
    <w:p>
      <w:pPr>
        <w:pStyle w:val="ListParagraph"/>
        <w:numPr>
          <w:ilvl w:val="0"/>
          <w:numId w:val="2"/>
        </w:numPr>
        <w:spacing w:after="100"/>
      </w:pPr>
      <w:r>
        <w:rPr>
          <w:rFonts w:ascii="Arial" w:cs="Arial" w:eastAsia="Arial" w:hAnsi="Arial"/>
          <w:sz w:val="20"/>
          <w:szCs w:val="20"/>
        </w:rPr>
        <w:t xml:space="preserve">Listen without reacting with surprise, disappointment, or argument. The participant has an absolute right to leave.</w:t>
      </w:r>
    </w:p>
    <w:p>
      <w:pPr>
        <w:pStyle w:val="ListParagraph"/>
        <w:numPr>
          <w:ilvl w:val="0"/>
          <w:numId w:val="2"/>
        </w:numPr>
        <w:spacing w:after="100"/>
      </w:pPr>
      <w:r>
        <w:rPr>
          <w:rFonts w:ascii="Arial" w:cs="Arial" w:eastAsia="Arial" w:hAnsi="Arial"/>
          <w:sz w:val="20"/>
          <w:szCs w:val="20"/>
        </w:rPr>
        <w:t xml:space="preserve">Acknowledge: "Thank you for telling me. I'll make sure my coordinator knows." Do not offer opinions on whether the decision is a good idea.</w:t>
      </w:r>
    </w:p>
    <w:p>
      <w:pPr>
        <w:pStyle w:val="ListParagraph"/>
        <w:numPr>
          <w:ilvl w:val="0"/>
          <w:numId w:val="2"/>
        </w:numPr>
        <w:spacing w:after="100"/>
      </w:pPr>
      <w:r>
        <w:rPr>
          <w:rFonts w:ascii="Arial" w:cs="Arial" w:eastAsia="Arial" w:hAnsi="Arial"/>
          <w:sz w:val="20"/>
          <w:szCs w:val="20"/>
        </w:rPr>
        <w:t xml:space="preserve">If the participant wants to discuss their reasons, listen without trying to address concerns on the spot or on behalf of Horizons. You are not in a position to make commitments about what Horizons will change.</w:t>
      </w:r>
    </w:p>
    <w:p>
      <w:pPr>
        <w:pStyle w:val="ListParagraph"/>
        <w:numPr>
          <w:ilvl w:val="0"/>
          <w:numId w:val="2"/>
        </w:numPr>
        <w:spacing w:after="100"/>
      </w:pPr>
      <w:r>
        <w:rPr>
          <w:rFonts w:ascii="Arial" w:cs="Arial" w:eastAsia="Arial" w:hAnsi="Arial"/>
          <w:sz w:val="20"/>
          <w:szCs w:val="20"/>
        </w:rPr>
        <w:t xml:space="preserve">Offer — but do not insist — to connect them with a coordinator if they would like to discuss the transition: "Would it be helpful to speak with my coordinator about what the process looks like?"</w:t>
      </w:r>
    </w:p>
    <w:p>
      <w:pPr>
        <w:pStyle w:val="ListParagraph"/>
        <w:numPr>
          <w:ilvl w:val="0"/>
          <w:numId w:val="2"/>
        </w:numPr>
        <w:spacing w:after="100"/>
      </w:pPr>
      <w:r>
        <w:rPr>
          <w:rFonts w:ascii="Arial" w:cs="Arial" w:eastAsia="Arial" w:hAnsi="Arial"/>
          <w:sz w:val="20"/>
          <w:szCs w:val="20"/>
        </w:rPr>
        <w:t xml:space="preserve">Continue delivering the shift as normal. Do not reduce, alter, or withdraw any support because of the expressed intention to leave.</w:t>
      </w:r>
    </w:p>
    <w:p>
      <w:pPr>
        <w:pStyle w:val="ListParagraph"/>
        <w:numPr>
          <w:ilvl w:val="0"/>
          <w:numId w:val="2"/>
        </w:numPr>
        <w:spacing w:after="100"/>
      </w:pPr>
      <w:r>
        <w:rPr>
          <w:rFonts w:ascii="Arial" w:cs="Arial" w:eastAsia="Arial" w:hAnsi="Arial"/>
          <w:sz w:val="20"/>
          <w:szCs w:val="20"/>
        </w:rPr>
        <w:t xml:space="preserve">Notify your coordinator at the end of the shift, or immediately if the participant is distressed or in a difficult situation connected to the exit decision.</w:t>
      </w:r>
    </w:p>
    <w:p>
      <w:pPr>
        <w:pStyle w:val="ListParagraph"/>
        <w:numPr>
          <w:ilvl w:val="0"/>
          <w:numId w:val="2"/>
        </w:numPr>
        <w:spacing w:after="100"/>
      </w:pPr>
      <w:r>
        <w:rPr>
          <w:rFonts w:ascii="Arial" w:cs="Arial" w:eastAsia="Arial" w:hAnsi="Arial"/>
          <w:sz w:val="20"/>
          <w:szCs w:val="20"/>
        </w:rPr>
        <w:t xml:space="preserve">Document the conversation in the shift notes: what the participant said, what your response was, and whether they agreed to speak with a coordinator.</w:t>
      </w:r>
    </w:p>
    <w:p>
      <w:pPr>
        <w:pStyle w:val="Heading2"/>
      </w:pPr>
      <w:r>
        <w:t xml:space="preserve">9.2 Formal Exit Process (Coordinator-Managed)</w:t>
      </w:r>
    </w:p>
    <w:p>
      <w:pPr>
        <w:spacing w:after="120" w:line="280"/>
      </w:pPr>
      <w:r>
        <w:rPr>
          <w:rFonts w:ascii="Arial" w:cs="Arial" w:eastAsia="Arial" w:hAnsi="Arial"/>
          <w:sz w:val="20"/>
          <w:szCs w:val="20"/>
        </w:rPr>
        <w:t xml:space="preserve">Once the coordinator is notified, the following steps apply — workers are not responsible for managing these but should be aware of them:</w:t>
      </w:r>
    </w:p>
    <w:p>
      <w:pPr>
        <w:pStyle w:val="ListParagraph"/>
        <w:numPr>
          <w:ilvl w:val="0"/>
          <w:numId w:val="3"/>
        </w:numPr>
        <w:spacing w:after="80"/>
      </w:pPr>
      <w:r>
        <w:rPr>
          <w:rFonts w:ascii="Arial" w:cs="Arial" w:eastAsia="Arial" w:hAnsi="Arial"/>
          <w:sz w:val="20"/>
          <w:szCs w:val="20"/>
        </w:rPr>
        <w:t xml:space="preserve">Written confirmation of the decision is provided to the participant within 2 business days</w:t>
      </w:r>
    </w:p>
    <w:p>
      <w:pPr>
        <w:pStyle w:val="ListParagraph"/>
        <w:numPr>
          <w:ilvl w:val="0"/>
          <w:numId w:val="3"/>
        </w:numPr>
        <w:spacing w:after="80"/>
      </w:pPr>
      <w:r>
        <w:rPr>
          <w:rFonts w:ascii="Arial" w:cs="Arial" w:eastAsia="Arial" w:hAnsi="Arial"/>
          <w:sz w:val="20"/>
          <w:szCs w:val="20"/>
        </w:rPr>
        <w:t xml:space="preserve">A 4-week support continuation period applies unless the participant requests a shorter period</w:t>
      </w:r>
    </w:p>
    <w:p>
      <w:pPr>
        <w:pStyle w:val="ListParagraph"/>
        <w:numPr>
          <w:ilvl w:val="0"/>
          <w:numId w:val="3"/>
        </w:numPr>
        <w:spacing w:after="80"/>
      </w:pPr>
      <w:r>
        <w:rPr>
          <w:rFonts w:ascii="Arial" w:cs="Arial" w:eastAsia="Arial" w:hAnsi="Arial"/>
          <w:sz w:val="20"/>
          <w:szCs w:val="20"/>
        </w:rPr>
        <w:t xml:space="preserve">A transition plan is developed and agreed with the participant</w:t>
      </w:r>
    </w:p>
    <w:p>
      <w:pPr>
        <w:pStyle w:val="ListParagraph"/>
        <w:numPr>
          <w:ilvl w:val="0"/>
          <w:numId w:val="3"/>
        </w:numPr>
        <w:spacing w:after="80"/>
      </w:pPr>
      <w:r>
        <w:rPr>
          <w:rFonts w:ascii="Arial" w:cs="Arial" w:eastAsia="Arial" w:hAnsi="Arial"/>
          <w:sz w:val="20"/>
          <w:szCs w:val="20"/>
        </w:rPr>
        <w:t xml:space="preserve">Warm handover to incoming provider is offered where the participant consents</w:t>
      </w:r>
    </w:p>
    <w:p>
      <w:pPr>
        <w:pStyle w:val="ListParagraph"/>
        <w:numPr>
          <w:ilvl w:val="0"/>
          <w:numId w:val="3"/>
        </w:numPr>
        <w:spacing w:after="80"/>
      </w:pPr>
      <w:r>
        <w:rPr>
          <w:rFonts w:ascii="Arial" w:cs="Arial" w:eastAsia="Arial" w:hAnsi="Arial"/>
          <w:sz w:val="20"/>
          <w:szCs w:val="20"/>
        </w:rPr>
        <w:t xml:space="preserve">Participant records are provided within 5 business days of final service date</w:t>
      </w:r>
    </w:p>
    <w:p>
      <w:pPr>
        <w:pStyle w:val="ListParagraph"/>
        <w:numPr>
          <w:ilvl w:val="0"/>
          <w:numId w:val="3"/>
        </w:numPr>
        <w:spacing w:after="80"/>
      </w:pPr>
      <w:r>
        <w:rPr>
          <w:rFonts w:ascii="Arial" w:cs="Arial" w:eastAsia="Arial" w:hAnsi="Arial"/>
          <w:sz w:val="20"/>
          <w:szCs w:val="20"/>
        </w:rPr>
        <w:t xml:space="preserve">Participant feedback is collected and recorded in the quality system</w:t>
      </w:r>
    </w:p>
    <w:p>
      <w:pPr>
        <w:pStyle w:val="ListParagraph"/>
        <w:numPr>
          <w:ilvl w:val="0"/>
          <w:numId w:val="3"/>
        </w:numPr>
        <w:spacing w:after="80"/>
      </w:pPr>
      <w:r>
        <w:rPr>
          <w:rFonts w:ascii="Arial" w:cs="Arial" w:eastAsia="Arial" w:hAnsi="Arial"/>
          <w:sz w:val="20"/>
          <w:szCs w:val="20"/>
        </w:rPr>
        <w:t xml:space="preserve">Participants may re-register within 90 days without a full re-intake — a file reactivation and current needs review is sufficient</w:t>
      </w:r>
    </w:p>
    <w:p>
      <w:pPr>
        <w:spacing w:after="120"/>
      </w:pPr>
      <w:r>
        <w:t xml:space="preserve"/>
      </w:r>
    </w:p>
    <w:p>
      <w:pPr>
        <w:pStyle w:val="Heading1"/>
      </w:pPr>
      <w:r>
        <w:t xml:space="preserve">PROCEDURE 10 (HCC-PROC-210): Claiming Shift Allowances</w:t>
      </w:r>
    </w:p>
    <w:p>
      <w:pPr>
        <w:pBdr>
          <w:bottom w:val="single" w:color="c0cdd0" w:sz="3"/>
        </w:pBdr>
        <w:spacing w:after="80"/>
      </w:pPr>
      <w:r>
        <w:t xml:space="preserve"/>
      </w:r>
    </w:p>
    <w:p>
      <w:pPr>
        <w:pStyle w:val="Heading2"/>
      </w:pPr>
      <w:r>
        <w:t xml:space="preserve">10.1 Available Allowances</w:t>
      </w:r>
    </w:p>
    <w:p>
      <w:pPr>
        <w:spacing w:after="120" w:line="280"/>
      </w:pPr>
      <w:r>
        <w:rPr>
          <w:rFonts w:ascii="Arial" w:cs="Arial" w:eastAsia="Arial" w:hAnsi="Arial"/>
          <w:sz w:val="20"/>
          <w:szCs w:val="20"/>
        </w:rPr>
        <w:t xml:space="preserve">The following allowances may be available to eligible workers based on the nature of the shift and the worker's employment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5f6b" w:sz="1"/>
              <w:left w:val="single" w:color="005f6b" w:sz="1"/>
              <w:bottom w:val="single" w:color="005f6b" w:sz="1"/>
              <w:right w:val="single" w:color="005f6b" w:sz="1"/>
            </w:tcBorders>
            <w:shd w:fill="005f6b" w:val="clear"/>
            <w:tcMar>
              <w:top w:type="dxa" w:w="80"/>
              <w:left w:type="dxa" w:w="120"/>
              <w:bottom w:type="dxa" w:w="80"/>
              <w:right w:type="dxa" w:w="120"/>
            </w:tcMar>
          </w:tcPr>
          <w:p>
            <w:r>
              <w:rPr>
                <w:rFonts w:ascii="Arial" w:cs="Arial" w:eastAsia="Arial" w:hAnsi="Arial"/>
                <w:b/>
                <w:bCs/>
                <w:color w:val="FFFFFF"/>
                <w:sz w:val="18"/>
                <w:szCs w:val="18"/>
              </w:rPr>
              <w:t xml:space="preserve">Allowance</w:t>
            </w:r>
          </w:p>
        </w:tc>
        <w:tc>
          <w:tcPr>
            <w:tcW w:type="dxa" w:w="6160"/>
            <w:tcBorders>
              <w:top w:val="single" w:color="005f6b" w:sz="1"/>
              <w:left w:val="single" w:color="005f6b" w:sz="1"/>
              <w:bottom w:val="single" w:color="005f6b" w:sz="1"/>
              <w:right w:val="single" w:color="005f6b" w:sz="1"/>
            </w:tcBorders>
            <w:shd w:fill="005f6b" w:val="clear"/>
            <w:tcMar>
              <w:top w:type="dxa" w:w="80"/>
              <w:left w:type="dxa" w:w="120"/>
              <w:bottom w:type="dxa" w:w="80"/>
              <w:right w:type="dxa" w:w="120"/>
            </w:tcMar>
          </w:tcPr>
          <w:p>
            <w:r>
              <w:rPr>
                <w:rFonts w:ascii="Arial" w:cs="Arial" w:eastAsia="Arial" w:hAnsi="Arial"/>
                <w:b/>
                <w:bCs/>
                <w:color w:val="FFFFFF"/>
                <w:sz w:val="18"/>
                <w:szCs w:val="18"/>
              </w:rPr>
              <w:t xml:space="preserve">Eligibility and Conditions</w:t>
            </w:r>
          </w:p>
        </w:tc>
      </w:tr>
      <w:tr>
        <w:tc>
          <w:tcPr>
            <w:tcW w:type="dxa" w:w="32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sz w:val="18"/>
                <w:szCs w:val="18"/>
              </w:rPr>
              <w:t xml:space="preserve">Meal Allowance (1 meal)</w:t>
            </w:r>
          </w:p>
        </w:tc>
        <w:tc>
          <w:tcPr>
            <w:tcW w:type="dxa" w:w="616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sz w:val="18"/>
                <w:szCs w:val="18"/>
              </w:rPr>
              <w:t xml:space="preserve">Shifts of 10 or more continuous hours. One flat-rate allowance per shift. No receipt required.</w:t>
            </w:r>
          </w:p>
        </w:tc>
      </w:tr>
      <w:tr>
        <w:tc>
          <w:tcPr>
            <w:tcW w:type="dxa" w:w="3200"/>
            <w:tcBorders>
              <w:top w:val="single" w:color="c0cdd0" w:sz="1"/>
              <w:left w:val="single" w:color="c0cdd0" w:sz="1"/>
              <w:bottom w:val="single" w:color="c0cdd0" w:sz="1"/>
              <w:right w:val="single" w:color="c0cdd0" w:sz="1"/>
            </w:tcBorders>
            <w:shd w:fill="FFFFFF" w:val="clear"/>
            <w:tcMar>
              <w:top w:type="dxa" w:w="80"/>
              <w:left w:type="dxa" w:w="120"/>
              <w:bottom w:type="dxa" w:w="80"/>
              <w:right w:type="dxa" w:w="120"/>
            </w:tcMar>
          </w:tcPr>
          <w:p>
            <w:r>
              <w:rPr>
                <w:rFonts w:ascii="Arial" w:cs="Arial" w:eastAsia="Arial" w:hAnsi="Arial"/>
                <w:sz w:val="18"/>
                <w:szCs w:val="18"/>
              </w:rPr>
              <w:t xml:space="preserve">Meal Allowance (2+ meals)</w:t>
            </w:r>
          </w:p>
        </w:tc>
        <w:tc>
          <w:tcPr>
            <w:tcW w:type="dxa" w:w="6160"/>
            <w:tcBorders>
              <w:top w:val="single" w:color="c0cdd0" w:sz="1"/>
              <w:left w:val="single" w:color="c0cdd0" w:sz="1"/>
              <w:bottom w:val="single" w:color="c0cdd0" w:sz="1"/>
              <w:right w:val="single" w:color="c0cdd0" w:sz="1"/>
            </w:tcBorders>
            <w:shd w:fill="FFFFFF" w:val="clear"/>
            <w:tcMar>
              <w:top w:type="dxa" w:w="80"/>
              <w:left w:type="dxa" w:w="120"/>
              <w:bottom w:type="dxa" w:w="80"/>
              <w:right w:type="dxa" w:w="120"/>
            </w:tcMar>
          </w:tcPr>
          <w:p>
            <w:r>
              <w:rPr>
                <w:rFonts w:ascii="Arial" w:cs="Arial" w:eastAsia="Arial" w:hAnsi="Arial"/>
                <w:sz w:val="18"/>
                <w:szCs w:val="18"/>
              </w:rPr>
              <w:t xml:space="preserve">Shifts of 15 or more continuous hours. Two flat-rate allowances per shift. No receipt required.</w:t>
            </w:r>
          </w:p>
        </w:tc>
      </w:tr>
      <w:tr>
        <w:tc>
          <w:tcPr>
            <w:tcW w:type="dxa" w:w="32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sz w:val="18"/>
                <w:szCs w:val="18"/>
              </w:rPr>
              <w:t xml:space="preserve">Laundry Allowance</w:t>
            </w:r>
          </w:p>
        </w:tc>
        <w:tc>
          <w:tcPr>
            <w:tcW w:type="dxa" w:w="616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sz w:val="18"/>
                <w:szCs w:val="18"/>
              </w:rPr>
              <w:t xml:space="preserve">Workers required by Horizons to maintain work clothing at their own cost. Applied per shift where work clothing was worn and requires laundering.</w:t>
            </w:r>
          </w:p>
        </w:tc>
      </w:tr>
      <w:tr>
        <w:tc>
          <w:tcPr>
            <w:tcW w:type="dxa" w:w="3200"/>
            <w:tcBorders>
              <w:top w:val="single" w:color="c0cdd0" w:sz="1"/>
              <w:left w:val="single" w:color="c0cdd0" w:sz="1"/>
              <w:bottom w:val="single" w:color="c0cdd0" w:sz="1"/>
              <w:right w:val="single" w:color="c0cdd0" w:sz="1"/>
            </w:tcBorders>
            <w:shd w:fill="FFFFFF" w:val="clear"/>
            <w:tcMar>
              <w:top w:type="dxa" w:w="80"/>
              <w:left w:type="dxa" w:w="120"/>
              <w:bottom w:type="dxa" w:w="80"/>
              <w:right w:type="dxa" w:w="120"/>
            </w:tcMar>
          </w:tcPr>
          <w:p>
            <w:r>
              <w:rPr>
                <w:rFonts w:ascii="Arial" w:cs="Arial" w:eastAsia="Arial" w:hAnsi="Arial"/>
                <w:sz w:val="18"/>
                <w:szCs w:val="18"/>
              </w:rPr>
              <w:t xml:space="preserve">Uniform Allowance</w:t>
            </w:r>
          </w:p>
        </w:tc>
        <w:tc>
          <w:tcPr>
            <w:tcW w:type="dxa" w:w="6160"/>
            <w:tcBorders>
              <w:top w:val="single" w:color="c0cdd0" w:sz="1"/>
              <w:left w:val="single" w:color="c0cdd0" w:sz="1"/>
              <w:bottom w:val="single" w:color="c0cdd0" w:sz="1"/>
              <w:right w:val="single" w:color="c0cdd0" w:sz="1"/>
            </w:tcBorders>
            <w:shd w:fill="FFFFFF" w:val="clear"/>
            <w:tcMar>
              <w:top w:type="dxa" w:w="80"/>
              <w:left w:type="dxa" w:w="120"/>
              <w:bottom w:type="dxa" w:w="80"/>
              <w:right w:type="dxa" w:w="120"/>
            </w:tcMar>
          </w:tcPr>
          <w:p>
            <w:r>
              <w:rPr>
                <w:rFonts w:ascii="Arial" w:cs="Arial" w:eastAsia="Arial" w:hAnsi="Arial"/>
                <w:sz w:val="18"/>
                <w:szCs w:val="18"/>
              </w:rPr>
              <w:t xml:space="preserve">Workers required to wear Horizons-issued uniform. Conditions set by enterprise agreement or employment contract. Applied as a periodic allowance — not per shift.</w:t>
            </w:r>
          </w:p>
        </w:tc>
      </w:tr>
      <w:tr>
        <w:tc>
          <w:tcPr>
            <w:tcW w:type="dxa" w:w="32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sz w:val="18"/>
                <w:szCs w:val="18"/>
              </w:rPr>
              <w:t xml:space="preserve">First Aid Allowance</w:t>
            </w:r>
          </w:p>
        </w:tc>
        <w:tc>
          <w:tcPr>
            <w:tcW w:type="dxa" w:w="616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sz w:val="18"/>
                <w:szCs w:val="18"/>
              </w:rPr>
              <w:t xml:space="preserve">Workers who hold a current first aid certificate relevant to the support provided in the shift. Certificate must be recorded in the Horizons HR system. Applied per shift.</w:t>
            </w:r>
          </w:p>
        </w:tc>
      </w:tr>
      <w:tr>
        <w:tc>
          <w:tcPr>
            <w:tcW w:type="dxa" w:w="3200"/>
            <w:tcBorders>
              <w:top w:val="single" w:color="c0cdd0" w:sz="1"/>
              <w:left w:val="single" w:color="c0cdd0" w:sz="1"/>
              <w:bottom w:val="single" w:color="c0cdd0" w:sz="1"/>
              <w:right w:val="single" w:color="c0cdd0" w:sz="1"/>
            </w:tcBorders>
            <w:shd w:fill="FFFFFF" w:val="clear"/>
            <w:tcMar>
              <w:top w:type="dxa" w:w="80"/>
              <w:left w:type="dxa" w:w="120"/>
              <w:bottom w:type="dxa" w:w="80"/>
              <w:right w:type="dxa" w:w="120"/>
            </w:tcMar>
          </w:tcPr>
          <w:p>
            <w:r>
              <w:rPr>
                <w:rFonts w:ascii="Arial" w:cs="Arial" w:eastAsia="Arial" w:hAnsi="Arial"/>
                <w:sz w:val="18"/>
                <w:szCs w:val="18"/>
              </w:rPr>
              <w:t xml:space="preserve">Vehicle/Kilometre Rate</w:t>
            </w:r>
          </w:p>
        </w:tc>
        <w:tc>
          <w:tcPr>
            <w:tcW w:type="dxa" w:w="6160"/>
            <w:tcBorders>
              <w:top w:val="single" w:color="c0cdd0" w:sz="1"/>
              <w:left w:val="single" w:color="c0cdd0" w:sz="1"/>
              <w:bottom w:val="single" w:color="c0cdd0" w:sz="1"/>
              <w:right w:val="single" w:color="c0cdd0" w:sz="1"/>
            </w:tcBorders>
            <w:shd w:fill="FFFFFF" w:val="clear"/>
            <w:tcMar>
              <w:top w:type="dxa" w:w="80"/>
              <w:left w:type="dxa" w:w="120"/>
              <w:bottom w:type="dxa" w:w="80"/>
              <w:right w:type="dxa" w:w="120"/>
            </w:tcMar>
          </w:tcPr>
          <w:p>
            <w:r>
              <w:rPr>
                <w:rFonts w:ascii="Arial" w:cs="Arial" w:eastAsia="Arial" w:hAnsi="Arial"/>
                <w:sz w:val="18"/>
                <w:szCs w:val="18"/>
              </w:rPr>
              <w:t xml:space="preserve">Workers who use their personal vehicle to transport a participant during a shift. Applies to kilometres driven with the participant in the vehicle. Logged through the Transport Log — see HCC-PROC-205.</w:t>
            </w:r>
          </w:p>
        </w:tc>
      </w:tr>
    </w:tbl>
    <w:p>
      <w:pPr>
        <w:spacing w:after="120"/>
      </w:pPr>
      <w:r>
        <w:t xml:space="preserve"/>
      </w:r>
    </w:p>
    <w:p>
      <w:pPr>
        <w:pStyle w:val="Heading2"/>
      </w:pPr>
      <w:r>
        <w:t xml:space="preserve">10.2 How to Claim</w:t>
      </w:r>
    </w:p>
    <w:p>
      <w:pPr>
        <w:pStyle w:val="ListParagraph"/>
        <w:numPr>
          <w:ilvl w:val="0"/>
          <w:numId w:val="2"/>
        </w:numPr>
        <w:spacing w:after="100"/>
      </w:pPr>
      <w:r>
        <w:rPr>
          <w:rFonts w:ascii="Arial" w:cs="Arial" w:eastAsia="Arial" w:hAnsi="Arial"/>
          <w:sz w:val="20"/>
          <w:szCs w:val="20"/>
        </w:rPr>
        <w:t xml:space="preserve">Allowances must be selected in the work log for the relevant shift before the work log is submitted. Navigate to the Allowances section of the shift work log.</w:t>
      </w:r>
    </w:p>
    <w:p>
      <w:pPr>
        <w:pStyle w:val="ListParagraph"/>
        <w:numPr>
          <w:ilvl w:val="0"/>
          <w:numId w:val="2"/>
        </w:numPr>
        <w:spacing w:after="100"/>
      </w:pPr>
      <w:r>
        <w:rPr>
          <w:rFonts w:ascii="Arial" w:cs="Arial" w:eastAsia="Arial" w:hAnsi="Arial"/>
          <w:sz w:val="20"/>
          <w:szCs w:val="20"/>
        </w:rPr>
        <w:t xml:space="preserve">Select each applicable allowance from the dropdown list. For meal allowance, select "1 meal" or "2+ meals" based on the actual shift duration.</w:t>
      </w:r>
    </w:p>
    <w:p>
      <w:pPr>
        <w:pStyle w:val="ListParagraph"/>
        <w:numPr>
          <w:ilvl w:val="0"/>
          <w:numId w:val="2"/>
        </w:numPr>
        <w:spacing w:after="100"/>
      </w:pPr>
      <w:r>
        <w:rPr>
          <w:rFonts w:ascii="Arial" w:cs="Arial" w:eastAsia="Arial" w:hAnsi="Arial"/>
          <w:sz w:val="20"/>
          <w:szCs w:val="20"/>
        </w:rPr>
        <w:t xml:space="preserve">For the first aid allowance, your current first aid certificate must already be recorded in the Horizons HR system. If it is not, contact HR before the shift to upload it — you cannot claim the allowance retroactively based on a certificate that wasn't in the system at the time.</w:t>
      </w:r>
    </w:p>
    <w:p>
      <w:pPr>
        <w:pStyle w:val="ListParagraph"/>
        <w:numPr>
          <w:ilvl w:val="0"/>
          <w:numId w:val="2"/>
        </w:numPr>
        <w:spacing w:after="100"/>
      </w:pPr>
      <w:r>
        <w:rPr>
          <w:rFonts w:ascii="Arial" w:cs="Arial" w:eastAsia="Arial" w:hAnsi="Arial"/>
          <w:sz w:val="20"/>
          <w:szCs w:val="20"/>
        </w:rPr>
        <w:t xml:space="preserve">Vehicle kilometres are captured through the Transport Log (see HCC-PROC-205) and automatically populate the kilometre rate in the work log. Check that the total kilometres are correct before submitting.</w:t>
      </w:r>
    </w:p>
    <w:p>
      <w:pPr>
        <w:pStyle w:val="ListParagraph"/>
        <w:numPr>
          <w:ilvl w:val="0"/>
          <w:numId w:val="2"/>
        </w:numPr>
        <w:spacing w:after="100"/>
      </w:pPr>
      <w:r>
        <w:rPr>
          <w:rFonts w:ascii="Arial" w:cs="Arial" w:eastAsia="Arial" w:hAnsi="Arial"/>
          <w:sz w:val="20"/>
          <w:szCs w:val="20"/>
        </w:rPr>
        <w:t xml:space="preserve">Submit the work log. Allowances are processed with the applicable pay run.</w:t>
      </w:r>
    </w:p>
    <w:p>
      <w:pPr>
        <w:pStyle w:val="Heading2"/>
      </w:pPr>
      <w:r>
        <w:t xml:space="preserve">10.3 If You Believe an Allowance Was Missed</w:t>
      </w:r>
    </w:p>
    <w:p>
      <w:pPr>
        <w:pStyle w:val="ListParagraph"/>
        <w:numPr>
          <w:ilvl w:val="0"/>
          <w:numId w:val="2"/>
        </w:numPr>
        <w:spacing w:after="100"/>
      </w:pPr>
      <w:r>
        <w:rPr>
          <w:rFonts w:ascii="Arial" w:cs="Arial" w:eastAsia="Arial" w:hAnsi="Arial"/>
          <w:sz w:val="20"/>
          <w:szCs w:val="20"/>
        </w:rPr>
        <w:t xml:space="preserve">Identify the shift and the allowance you believe was missed.</w:t>
      </w:r>
    </w:p>
    <w:p>
      <w:pPr>
        <w:pStyle w:val="ListParagraph"/>
        <w:numPr>
          <w:ilvl w:val="0"/>
          <w:numId w:val="2"/>
        </w:numPr>
        <w:spacing w:after="100"/>
      </w:pPr>
      <w:r>
        <w:rPr>
          <w:rFonts w:ascii="Arial" w:cs="Arial" w:eastAsia="Arial" w:hAnsi="Arial"/>
          <w:sz w:val="20"/>
          <w:szCs w:val="20"/>
        </w:rPr>
        <w:t xml:space="preserve">Contact your coordinator within 5 business days of that shift. Allowance queries raised more than 5 business days after the shift may not be processable for that pay period.</w:t>
      </w:r>
    </w:p>
    <w:p>
      <w:pPr>
        <w:pStyle w:val="ListParagraph"/>
        <w:numPr>
          <w:ilvl w:val="0"/>
          <w:numId w:val="2"/>
        </w:numPr>
        <w:spacing w:after="100"/>
      </w:pPr>
      <w:r>
        <w:rPr>
          <w:rFonts w:ascii="Arial" w:cs="Arial" w:eastAsia="Arial" w:hAnsi="Arial"/>
          <w:sz w:val="20"/>
          <w:szCs w:val="20"/>
        </w:rPr>
        <w:t xml:space="preserve">Your coordinator will review the work log and submit a payroll amendment if the allowance was legitimately missed.</w:t>
      </w:r>
    </w:p>
    <w:p>
      <w:pPr>
        <w:pStyle w:val="ListParagraph"/>
        <w:numPr>
          <w:ilvl w:val="0"/>
          <w:numId w:val="2"/>
        </w:numPr>
        <w:spacing w:after="100"/>
      </w:pPr>
      <w:r>
        <w:rPr>
          <w:rFonts w:ascii="Arial" w:cs="Arial" w:eastAsia="Arial" w:hAnsi="Arial"/>
          <w:sz w:val="20"/>
          <w:szCs w:val="20"/>
        </w:rPr>
        <w:t xml:space="preserve">Do not contact payroll directly — all allowance queries go through your coordinator.</w:t>
      </w:r>
    </w:p>
    <w:p>
      <w:pPr>
        <w:pBdr>
          <w:left w:val="thick" w:color="b35900" w:sz="8"/>
        </w:pBdr>
        <w:spacing w:after="120" w:before="80"/>
        <w:ind w:left="400"/>
      </w:pPr>
      <w:r>
        <w:rPr>
          <w:rFonts w:ascii="Arial" w:cs="Arial" w:eastAsia="Arial" w:hAnsi="Arial"/>
          <w:b/>
          <w:bCs/>
          <w:color w:val="4a3000"/>
          <w:sz w:val="19"/>
          <w:szCs w:val="19"/>
        </w:rPr>
        <w:t xml:space="preserve">NOTE: </w:t>
      </w:r>
      <w:r>
        <w:rPr>
          <w:rFonts w:ascii="Arial" w:cs="Arial" w:eastAsia="Arial" w:hAnsi="Arial"/>
          <w:i/>
          <w:iCs/>
          <w:color w:val="4a3000"/>
          <w:sz w:val="19"/>
          <w:szCs w:val="19"/>
        </w:rPr>
        <w:t xml:space="preserve">If your coordinator is unavailable, contact HR directly for allowance queries within the 5-business-day window. Providing false information in an allowance claim is a disciplinary matter.</w:t>
      </w:r>
    </w:p>
    <w:p>
      <w:pPr>
        <w:spacing w:after="200"/>
      </w:pPr>
      <w:r>
        <w:t xml:space="preserve"/>
      </w:r>
    </w:p>
    <w:p>
      <w:r>
        <w:rPr>
          <w:rFonts w:ascii="Arial" w:cs="Arial" w:eastAsia="Arial" w:hAnsi="Arial"/>
          <w:i/>
          <w:iCs/>
          <w:color w:val="aaaaaa"/>
          <w:sz w:val="16"/>
          <w:szCs w:val="16"/>
        </w:rPr>
        <w:t xml:space="preserve">HCC-PROC-207-210 v1.7 | Horizons Community Care | CONFIDENTIAL — FOR INTERNAL USE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5f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8a9a"/>
      <w:sz w:val="24"/>
      <w:szCs w:val="24"/>
    </w:rPr>
  </w:style>
  <w:style w:type="paragraph" w:styleId="Heading3">
    <w:name w:val="Heading 3"/>
    <w:basedOn w:val="Normal"/>
    <w:next w:val="Normal"/>
    <w:qFormat/>
    <w:pPr>
      <w:spacing w:after="60" w:before="140"/>
      <w:outlineLvl w:val="2"/>
    </w:pPr>
    <w:rPr>
      <w:rFonts w:ascii="Arial" w:cs="Arial" w:eastAsia="Arial" w:hAnsi="Arial"/>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2026-05-18T12:05:40.462Z</dcterms:created>
  <dcterms:modified xsi:type="dcterms:W3CDTF">2026-05-18T12:05:40.462Z</dcterms:modified>
</cp:coreProperties>
</file>

<file path=docProps/custom.xml><?xml version="1.0" encoding="utf-8"?>
<Properties xmlns="http://schemas.openxmlformats.org/officeDocument/2006/custom-properties" xmlns:vt="http://schemas.openxmlformats.org/officeDocument/2006/docPropsVTypes"/>
</file>