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d6ca2"/>
          <w:sz w:val="18"/>
          <w:szCs w:val="18"/>
        </w:rPr>
        <w:t xml:space="preserve">SUNRISE DISABILITY SUPPORT SERVICES</w:t>
      </w:r>
    </w:p>
    <w:p>
      <w:pPr>
        <w:spacing w:after="80"/>
      </w:pPr>
      <w:r>
        <w:rPr>
          <w:rFonts w:ascii="Arial" w:cs="Arial" w:eastAsia="Arial" w:hAnsi="Arial"/>
          <w:b/>
          <w:bCs/>
          <w:color w:val="1a3560"/>
          <w:sz w:val="26"/>
          <w:szCs w:val="26"/>
        </w:rPr>
        <w:t xml:space="preserve">Operational Procedures — Participant &amp; Staff Interaction, Disclosures, Conflict of Interest &amp; Cultural Practice</w:t>
      </w:r>
    </w:p>
    <w:p>
      <w:pPr>
        <w:pBdr>
          <w:bottom w:val="single" w:color="1a3560"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Document ID</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SDS-PROC-003-005</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Version</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1.9</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Effective Date</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15 August 2023</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Review Date</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August 2025</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Document Owner</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Quality &amp; Safeguarding</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Approved By</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CEO</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Scope</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All support workers, coordinators, student placements</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Related Policies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SDS-POL-001 (Conduct, Rights &amp; Professional Standards), SDS-POL-002 (Participant Rights, Empowerment &amp; Safeguarding), SDS-POL-003 (Workforce Management)</w:t>
            </w:r>
          </w:p>
        </w:tc>
      </w:tr>
    </w:tbl>
    <w:p>
      <w:pPr>
        <w:spacing w:after="160"/>
      </w:pPr>
      <w:r>
        <w:t xml:space="preserve"/>
      </w:r>
    </w:p>
    <w:p>
      <w:pPr>
        <w:spacing w:after="120" w:line="280"/>
      </w:pPr>
      <w:r>
        <w:rPr>
          <w:rFonts w:ascii="Arial" w:cs="Arial" w:eastAsia="Arial" w:hAnsi="Arial"/>
          <w:sz w:val="20"/>
          <w:szCs w:val="20"/>
        </w:rPr>
        <w:t xml:space="preserve">PURPOSE: This document provides operational procedures for four inter-related areas: (1) safeguarding disclosures by participants, (2) near-miss reporting, (3) conflict of interest identification and referral, and (4) cultural practice integration in support delivery. Workers are required to be familiar with all four procedures.</w:t>
      </w:r>
    </w:p>
    <w:p>
      <w:pPr>
        <w:spacing w:after="120"/>
      </w:pPr>
      <w:r>
        <w:t xml:space="preserve"/>
      </w:r>
    </w:p>
    <w:p>
      <w:r>
        <w:br w:type="page"/>
      </w:r>
    </w:p>
    <w:p>
      <w:pPr>
        <w:pStyle w:val="Heading1"/>
      </w:pPr>
      <w:r>
        <w:t xml:space="preserve">PROCEDURE 3: Handling a Participant Safeguarding Disclosure</w:t>
      </w:r>
    </w:p>
    <w:p>
      <w:pPr>
        <w:pBdr>
          <w:bottom w:val="single" w:color="d0d5dd" w:sz="3"/>
        </w:pBdr>
        <w:spacing w:after="80"/>
      </w:pPr>
      <w:r>
        <w:t xml:space="preserve"/>
      </w:r>
    </w:p>
    <w:p>
      <w:pPr>
        <w:pStyle w:val="Heading2"/>
      </w:pPr>
      <w:r>
        <w:t xml:space="preserve">3.1 What is a Disclosure?</w:t>
      </w:r>
    </w:p>
    <w:p>
      <w:pPr>
        <w:spacing w:after="120" w:line="280"/>
      </w:pPr>
      <w:r>
        <w:rPr>
          <w:rFonts w:ascii="Arial" w:cs="Arial" w:eastAsia="Arial" w:hAnsi="Arial"/>
          <w:sz w:val="20"/>
          <w:szCs w:val="20"/>
        </w:rPr>
        <w:t xml:space="preserve">A disclosure occurs when a participant tells a worker — verbally, in writing, through behaviour, or through another communication method — that they have experienced, are experiencing, or are at risk of abuse, neglect, or exploitation. Disclosures can be direct ("something happened to me") or indirect ("I don't feel safe at home").</w:t>
      </w:r>
    </w:p>
    <w:p>
      <w:pPr>
        <w:spacing w:after="120" w:line="280"/>
      </w:pPr>
      <w:r>
        <w:rPr>
          <w:rFonts w:ascii="Arial" w:cs="Arial" w:eastAsia="Arial" w:hAnsi="Arial"/>
          <w:sz w:val="20"/>
          <w:szCs w:val="20"/>
        </w:rPr>
        <w:t xml:space="preserve">A disclosure may also come from a third party — a family member, neighbour, or other professional. Third-party disclosures are handled the same way as direct disclosures.</w:t>
      </w:r>
    </w:p>
    <w:p>
      <w:pPr>
        <w:pStyle w:val="Heading2"/>
      </w:pPr>
      <w:r>
        <w:t xml:space="preserve">3.2 What to Do When a Participant Discloses</w:t>
      </w:r>
    </w:p>
    <w:p>
      <w:pPr>
        <w:pStyle w:val="ListParagraph"/>
        <w:numPr>
          <w:ilvl w:val="0"/>
          <w:numId w:val="2"/>
        </w:numPr>
        <w:spacing w:after="100"/>
      </w:pPr>
      <w:r>
        <w:rPr>
          <w:rFonts w:ascii="Arial" w:cs="Arial" w:eastAsia="Arial" w:hAnsi="Arial"/>
          <w:sz w:val="20"/>
          <w:szCs w:val="20"/>
        </w:rPr>
        <w:t xml:space="preserve">Listen without interrupting. Give the participant time and space to share at their own pace. Do not ask questions that guide, pressure, or suggest specific answers.</w:t>
      </w:r>
    </w:p>
    <w:p>
      <w:pPr>
        <w:pStyle w:val="ListParagraph"/>
        <w:numPr>
          <w:ilvl w:val="0"/>
          <w:numId w:val="2"/>
        </w:numPr>
        <w:spacing w:after="100"/>
      </w:pPr>
      <w:r>
        <w:rPr>
          <w:rFonts w:ascii="Arial" w:cs="Arial" w:eastAsia="Arial" w:hAnsi="Arial"/>
          <w:sz w:val="20"/>
          <w:szCs w:val="20"/>
        </w:rPr>
        <w:t xml:space="preserve">Do not make promises you cannot keep. You must not say "I won't tell anyone" or "this stays between us." If a participant asks you to keep it secret, explain clearly: "I care about your safety, and because of that, I need to share this with my coordinator. I won't share it with anyone who doesn't need to know."</w:t>
      </w:r>
    </w:p>
    <w:p>
      <w:pPr>
        <w:pStyle w:val="ListParagraph"/>
        <w:numPr>
          <w:ilvl w:val="0"/>
          <w:numId w:val="2"/>
        </w:numPr>
        <w:spacing w:after="100"/>
      </w:pPr>
      <w:r>
        <w:rPr>
          <w:rFonts w:ascii="Arial" w:cs="Arial" w:eastAsia="Arial" w:hAnsi="Arial"/>
          <w:sz w:val="20"/>
          <w:szCs w:val="20"/>
        </w:rPr>
        <w:t xml:space="preserve">Acknowledge what they have told you. Say something like "Thank you for trusting me with this" or "I take what you've said seriously." Do not minimise, express disbelief, or speculate about motivations.</w:t>
      </w:r>
    </w:p>
    <w:p>
      <w:pPr>
        <w:pStyle w:val="ListParagraph"/>
        <w:numPr>
          <w:ilvl w:val="0"/>
          <w:numId w:val="2"/>
        </w:numPr>
        <w:spacing w:after="100"/>
      </w:pPr>
      <w:r>
        <w:rPr>
          <w:rFonts w:ascii="Arial" w:cs="Arial" w:eastAsia="Arial" w:hAnsi="Arial"/>
          <w:sz w:val="20"/>
          <w:szCs w:val="20"/>
        </w:rPr>
        <w:t xml:space="preserve">Do not investigate. Do not contact the alleged person, visit the alleged location, or attempt to gather additional evidence. That is not your role.</w:t>
      </w:r>
    </w:p>
    <w:p>
      <w:pPr>
        <w:pStyle w:val="ListParagraph"/>
        <w:numPr>
          <w:ilvl w:val="0"/>
          <w:numId w:val="2"/>
        </w:numPr>
        <w:spacing w:after="100"/>
      </w:pPr>
      <w:r>
        <w:rPr>
          <w:rFonts w:ascii="Arial" w:cs="Arial" w:eastAsia="Arial" w:hAnsi="Arial"/>
          <w:sz w:val="20"/>
          <w:szCs w:val="20"/>
        </w:rPr>
        <w:t xml:space="preserve">As soon as it is safe to do so, contact your coordinator by phone. If you cannot reach them, contact the Sunrise after-hours safeguarding line. Do not wait until the end of your shift if the disclosure involves ongoing risk.</w:t>
      </w:r>
    </w:p>
    <w:p>
      <w:pPr>
        <w:pStyle w:val="ListParagraph"/>
        <w:numPr>
          <w:ilvl w:val="0"/>
          <w:numId w:val="2"/>
        </w:numPr>
        <w:spacing w:after="100"/>
      </w:pPr>
      <w:r>
        <w:rPr>
          <w:rFonts w:ascii="Arial" w:cs="Arial" w:eastAsia="Arial" w:hAnsi="Arial"/>
          <w:sz w:val="20"/>
          <w:szCs w:val="20"/>
        </w:rPr>
        <w:t xml:space="preserve">Document the disclosure in the system. Use the participant's words as closely as possible — note exactly what was said, when, and in what circumstances. Do not paraphrase in a way that changes the meaning. Do not add your interpretation.</w:t>
      </w:r>
    </w:p>
    <w:p>
      <w:pPr>
        <w:pStyle w:val="ListParagraph"/>
        <w:numPr>
          <w:ilvl w:val="0"/>
          <w:numId w:val="2"/>
        </w:numPr>
        <w:spacing w:after="100"/>
      </w:pPr>
      <w:r>
        <w:rPr>
          <w:rFonts w:ascii="Arial" w:cs="Arial" w:eastAsia="Arial" w:hAnsi="Arial"/>
          <w:sz w:val="20"/>
          <w:szCs w:val="20"/>
        </w:rPr>
        <w:t xml:space="preserve">Continue to provide support to the participant during subsequent shifts. Do not treat them differently, avoid the topic unless they raise it, and update your coordinator on their wellbeing at each shift.</w:t>
      </w:r>
    </w:p>
    <w:p>
      <w:pPr>
        <w:pBdr>
          <w:left w:val="thick" w:color="cc3333" w:sz="8"/>
        </w:pBdr>
        <w:spacing w:after="120" w:before="80"/>
        <w:ind w:left="400"/>
      </w:pPr>
      <w:r>
        <w:rPr>
          <w:rFonts w:ascii="Arial" w:cs="Arial" w:eastAsia="Arial" w:hAnsi="Arial"/>
          <w:b/>
          <w:bCs/>
          <w:color w:val="5a0000"/>
          <w:sz w:val="19"/>
          <w:szCs w:val="19"/>
        </w:rPr>
        <w:t xml:space="preserve">NOTE: </w:t>
      </w:r>
      <w:r>
        <w:rPr>
          <w:rFonts w:ascii="Arial" w:cs="Arial" w:eastAsia="Arial" w:hAnsi="Arial"/>
          <w:i/>
          <w:iCs/>
          <w:color w:val="5a0000"/>
          <w:sz w:val="19"/>
          <w:szCs w:val="19"/>
        </w:rPr>
        <w:t xml:space="preserve">Mandatory reporting obligations apply. If the disclosure involves abuse, neglect, or exploitation by any person — including a family member or another Sunrise worker — it must be reported. The obligation to report is not waived by the participant's request for confidentiality when their safety is at risk.</w:t>
      </w:r>
    </w:p>
    <w:p>
      <w:pPr>
        <w:spacing w:after="120"/>
      </w:pPr>
      <w:r>
        <w:t xml:space="preserve"/>
      </w:r>
    </w:p>
    <w:p>
      <w:pPr>
        <w:pStyle w:val="Heading1"/>
      </w:pPr>
      <w:r>
        <w:t xml:space="preserve">PROCEDURE 4: Near-Miss Identification and Reporting</w:t>
      </w:r>
    </w:p>
    <w:p>
      <w:pPr>
        <w:pBdr>
          <w:bottom w:val="single" w:color="d0d5dd" w:sz="3"/>
        </w:pBdr>
        <w:spacing w:after="80"/>
      </w:pPr>
      <w:r>
        <w:t xml:space="preserve"/>
      </w:r>
    </w:p>
    <w:p>
      <w:pPr>
        <w:pStyle w:val="Heading2"/>
      </w:pPr>
      <w:r>
        <w:t xml:space="preserve">4.1 What is a Near-Miss?</w:t>
      </w:r>
    </w:p>
    <w:p>
      <w:pPr>
        <w:spacing w:after="120" w:line="280"/>
      </w:pPr>
      <w:r>
        <w:rPr>
          <w:rFonts w:ascii="Arial" w:cs="Arial" w:eastAsia="Arial" w:hAnsi="Arial"/>
          <w:sz w:val="20"/>
          <w:szCs w:val="20"/>
        </w:rPr>
        <w:t xml:space="preserve">A near-miss is any event, condition, or situation that had the potential to cause harm to a participant or worker but did not — whether by chance, quick action, or a combination of both. Examples include:</w:t>
      </w:r>
    </w:p>
    <w:p>
      <w:pPr>
        <w:pStyle w:val="ListParagraph"/>
        <w:numPr>
          <w:ilvl w:val="0"/>
          <w:numId w:val="3"/>
        </w:numPr>
        <w:spacing w:after="80"/>
      </w:pPr>
      <w:r>
        <w:rPr>
          <w:rFonts w:ascii="Arial" w:cs="Arial" w:eastAsia="Arial" w:hAnsi="Arial"/>
          <w:sz w:val="20"/>
          <w:szCs w:val="20"/>
        </w:rPr>
        <w:t xml:space="preserve">A participant nearly falls but is caught before hitting the floor</w:t>
      </w:r>
    </w:p>
    <w:p>
      <w:pPr>
        <w:pStyle w:val="ListParagraph"/>
        <w:numPr>
          <w:ilvl w:val="0"/>
          <w:numId w:val="3"/>
        </w:numPr>
        <w:spacing w:after="80"/>
      </w:pPr>
      <w:r>
        <w:rPr>
          <w:rFonts w:ascii="Arial" w:cs="Arial" w:eastAsia="Arial" w:hAnsi="Arial"/>
          <w:sz w:val="20"/>
          <w:szCs w:val="20"/>
        </w:rPr>
        <w:t xml:space="preserve">A worker identifies a medication error before it is administered</w:t>
      </w:r>
    </w:p>
    <w:p>
      <w:pPr>
        <w:pStyle w:val="ListParagraph"/>
        <w:numPr>
          <w:ilvl w:val="0"/>
          <w:numId w:val="3"/>
        </w:numPr>
        <w:spacing w:after="80"/>
      </w:pPr>
      <w:r>
        <w:rPr>
          <w:rFonts w:ascii="Arial" w:cs="Arial" w:eastAsia="Arial" w:hAnsi="Arial"/>
          <w:sz w:val="20"/>
          <w:szCs w:val="20"/>
        </w:rPr>
        <w:t xml:space="preserve">A trip hazard is identified and removed before anyone trips</w:t>
      </w:r>
    </w:p>
    <w:p>
      <w:pPr>
        <w:pStyle w:val="ListParagraph"/>
        <w:numPr>
          <w:ilvl w:val="0"/>
          <w:numId w:val="3"/>
        </w:numPr>
        <w:spacing w:after="80"/>
      </w:pPr>
      <w:r>
        <w:rPr>
          <w:rFonts w:ascii="Arial" w:cs="Arial" w:eastAsia="Arial" w:hAnsi="Arial"/>
          <w:sz w:val="20"/>
          <w:szCs w:val="20"/>
        </w:rPr>
        <w:t xml:space="preserve">A participant wanders toward an unsafe area and is redirected before reaching it</w:t>
      </w:r>
    </w:p>
    <w:p>
      <w:pPr>
        <w:pStyle w:val="ListParagraph"/>
        <w:numPr>
          <w:ilvl w:val="0"/>
          <w:numId w:val="3"/>
        </w:numPr>
        <w:spacing w:after="80"/>
      </w:pPr>
      <w:r>
        <w:rPr>
          <w:rFonts w:ascii="Arial" w:cs="Arial" w:eastAsia="Arial" w:hAnsi="Arial"/>
          <w:sz w:val="20"/>
          <w:szCs w:val="20"/>
        </w:rPr>
        <w:t xml:space="preserve">A piece of equipment malfunctions during use but no injury occurs</w:t>
      </w:r>
    </w:p>
    <w:p>
      <w:pPr>
        <w:spacing w:after="120" w:line="280"/>
      </w:pPr>
      <w:r>
        <w:rPr>
          <w:rFonts w:ascii="Arial" w:cs="Arial" w:eastAsia="Arial" w:hAnsi="Arial"/>
          <w:sz w:val="20"/>
          <w:szCs w:val="20"/>
        </w:rPr>
        <w:t xml:space="preserve">Near-misses are as important as actual incidents for safety management purposes. They are leading indicators — they tell Sunrise where risks exist before someone is harmed.</w:t>
      </w:r>
    </w:p>
    <w:p>
      <w:pPr>
        <w:pStyle w:val="Heading2"/>
      </w:pPr>
      <w:r>
        <w:t xml:space="preserve">4.2 Reporting Process</w:t>
      </w:r>
    </w:p>
    <w:p>
      <w:pPr>
        <w:pStyle w:val="ListParagraph"/>
        <w:numPr>
          <w:ilvl w:val="0"/>
          <w:numId w:val="2"/>
        </w:numPr>
        <w:spacing w:after="100"/>
      </w:pPr>
      <w:r>
        <w:rPr>
          <w:rFonts w:ascii="Arial" w:cs="Arial" w:eastAsia="Arial" w:hAnsi="Arial"/>
          <w:sz w:val="20"/>
          <w:szCs w:val="20"/>
        </w:rPr>
        <w:t xml:space="preserve">Notify your coordinator verbally at the end of the shift — or immediately if the near-miss involved a serious risk that is still present.</w:t>
      </w:r>
    </w:p>
    <w:p>
      <w:pPr>
        <w:pStyle w:val="ListParagraph"/>
        <w:numPr>
          <w:ilvl w:val="0"/>
          <w:numId w:val="2"/>
        </w:numPr>
        <w:spacing w:after="100"/>
      </w:pPr>
      <w:r>
        <w:rPr>
          <w:rFonts w:ascii="Arial" w:cs="Arial" w:eastAsia="Arial" w:hAnsi="Arial"/>
          <w:sz w:val="20"/>
          <w:szCs w:val="20"/>
        </w:rPr>
        <w:t xml:space="preserve">Log the near-miss as an incident in the Sunrise system within 24 hours. Select "Near-Miss" as the incident category.</w:t>
      </w:r>
    </w:p>
    <w:p>
      <w:pPr>
        <w:pStyle w:val="ListParagraph"/>
        <w:numPr>
          <w:ilvl w:val="0"/>
          <w:numId w:val="2"/>
        </w:numPr>
        <w:spacing w:after="100"/>
      </w:pPr>
      <w:r>
        <w:rPr>
          <w:rFonts w:ascii="Arial" w:cs="Arial" w:eastAsia="Arial" w:hAnsi="Arial"/>
          <w:sz w:val="20"/>
          <w:szCs w:val="20"/>
        </w:rPr>
        <w:t xml:space="preserve">In the description, include: what happened, what could have gone wrong if the event had not been interrupted, what specifically prevented harm, any contributing factors (environment, equipment, communication, time pressure), and what you believe could be done to prevent recurrence.</w:t>
      </w:r>
    </w:p>
    <w:p>
      <w:pPr>
        <w:pStyle w:val="ListParagraph"/>
        <w:numPr>
          <w:ilvl w:val="0"/>
          <w:numId w:val="2"/>
        </w:numPr>
        <w:spacing w:after="100"/>
      </w:pPr>
      <w:r>
        <w:rPr>
          <w:rFonts w:ascii="Arial" w:cs="Arial" w:eastAsia="Arial" w:hAnsi="Arial"/>
          <w:sz w:val="20"/>
          <w:szCs w:val="20"/>
        </w:rPr>
        <w:t xml:space="preserve">Do not minimise the near-miss in your report. The detail you include directly shapes whether Sunrise acts to prevent a future incident.</w:t>
      </w:r>
    </w:p>
    <w:p>
      <w:pPr>
        <w:pStyle w:val="ListParagraph"/>
        <w:numPr>
          <w:ilvl w:val="0"/>
          <w:numId w:val="2"/>
        </w:numPr>
        <w:spacing w:after="100"/>
      </w:pPr>
      <w:r>
        <w:rPr>
          <w:rFonts w:ascii="Arial" w:cs="Arial" w:eastAsia="Arial" w:hAnsi="Arial"/>
          <w:sz w:val="20"/>
          <w:szCs w:val="20"/>
        </w:rPr>
        <w:t xml:space="preserve">You will not be penalised for reporting a near-miss. If you experience any pressure not to report, or if you believe a report was not acted on appropriately, raise this with People &amp; Culture as a whistleblower concern.</w:t>
      </w:r>
    </w:p>
    <w:p>
      <w:pPr>
        <w:spacing w:after="120"/>
      </w:pPr>
      <w:r>
        <w:t xml:space="preserve"/>
      </w:r>
    </w:p>
    <w:p>
      <w:pPr>
        <w:pStyle w:val="Heading1"/>
      </w:pPr>
      <w:r>
        <w:t xml:space="preserve">PROCEDURE 5: Conflict of Interest Identification and Referral</w:t>
      </w:r>
    </w:p>
    <w:p>
      <w:pPr>
        <w:pBdr>
          <w:bottom w:val="single" w:color="d0d5dd" w:sz="3"/>
        </w:pBdr>
        <w:spacing w:after="80"/>
      </w:pPr>
      <w:r>
        <w:t xml:space="preserve"/>
      </w:r>
    </w:p>
    <w:p>
      <w:pPr>
        <w:pStyle w:val="Heading2"/>
      </w:pPr>
      <w:r>
        <w:t xml:space="preserve">5.1 Identifying a Conflict of Interest Situation</w:t>
      </w:r>
    </w:p>
    <w:p>
      <w:pPr>
        <w:spacing w:after="120" w:line="280"/>
      </w:pPr>
      <w:r>
        <w:rPr>
          <w:rFonts w:ascii="Arial" w:cs="Arial" w:eastAsia="Arial" w:hAnsi="Arial"/>
          <w:sz w:val="20"/>
          <w:szCs w:val="20"/>
        </w:rPr>
        <w:t xml:space="preserve">Workers encounter potential conflict of interest situations more often than they realise. The following questions are a practical checklist for identifying whether a conflict exists or may be perceived to exist:</w:t>
      </w:r>
    </w:p>
    <w:p>
      <w:pPr>
        <w:pStyle w:val="ListParagraph"/>
        <w:numPr>
          <w:ilvl w:val="0"/>
          <w:numId w:val="3"/>
        </w:numPr>
        <w:spacing w:after="80"/>
      </w:pPr>
      <w:r>
        <w:rPr>
          <w:rFonts w:ascii="Arial" w:cs="Arial" w:eastAsia="Arial" w:hAnsi="Arial"/>
          <w:sz w:val="20"/>
          <w:szCs w:val="20"/>
        </w:rPr>
        <w:t xml:space="preserve">Do I have a personal relationship with this participant or anyone connected to them outside of my Sunrise role?</w:t>
      </w:r>
    </w:p>
    <w:p>
      <w:pPr>
        <w:pStyle w:val="ListParagraph"/>
        <w:numPr>
          <w:ilvl w:val="0"/>
          <w:numId w:val="3"/>
        </w:numPr>
        <w:spacing w:after="80"/>
      </w:pPr>
      <w:r>
        <w:rPr>
          <w:rFonts w:ascii="Arial" w:cs="Arial" w:eastAsia="Arial" w:hAnsi="Arial"/>
          <w:sz w:val="20"/>
          <w:szCs w:val="20"/>
        </w:rPr>
        <w:t xml:space="preserve">Would I benefit financially — directly or indirectly — from a decision I am involved in making about this participant's care or support?</w:t>
      </w:r>
    </w:p>
    <w:p>
      <w:pPr>
        <w:pStyle w:val="ListParagraph"/>
        <w:numPr>
          <w:ilvl w:val="0"/>
          <w:numId w:val="3"/>
        </w:numPr>
        <w:spacing w:after="80"/>
      </w:pPr>
      <w:r>
        <w:rPr>
          <w:rFonts w:ascii="Arial" w:cs="Arial" w:eastAsia="Arial" w:hAnsi="Arial"/>
          <w:sz w:val="20"/>
          <w:szCs w:val="20"/>
        </w:rPr>
        <w:t xml:space="preserve">Have I been offered anything by this participant, their family, or a provider they are connected to?</w:t>
      </w:r>
    </w:p>
    <w:p>
      <w:pPr>
        <w:pStyle w:val="ListParagraph"/>
        <w:numPr>
          <w:ilvl w:val="0"/>
          <w:numId w:val="3"/>
        </w:numPr>
        <w:spacing w:after="80"/>
      </w:pPr>
      <w:r>
        <w:rPr>
          <w:rFonts w:ascii="Arial" w:cs="Arial" w:eastAsia="Arial" w:hAnsi="Arial"/>
          <w:sz w:val="20"/>
          <w:szCs w:val="20"/>
        </w:rPr>
        <w:t xml:space="preserve">Could a reasonable person looking at my situation from the outside think my personal interests might affect my professional judgement?</w:t>
      </w:r>
    </w:p>
    <w:p>
      <w:pPr>
        <w:spacing w:after="120" w:line="280"/>
      </w:pPr>
      <w:r>
        <w:rPr>
          <w:rFonts w:ascii="Arial" w:cs="Arial" w:eastAsia="Arial" w:hAnsi="Arial"/>
          <w:sz w:val="20"/>
          <w:szCs w:val="20"/>
        </w:rPr>
        <w:t xml:space="preserve">If the answer to any of these is "yes" or "possibly," a conflict of interest situation exists and must be disclosed.</w:t>
      </w:r>
    </w:p>
    <w:p>
      <w:pPr>
        <w:pStyle w:val="Heading2"/>
      </w:pPr>
      <w:r>
        <w:t xml:space="preserve">5.2 Disclosure Procedure — Worker Identifies Own Conflict</w:t>
      </w:r>
    </w:p>
    <w:p>
      <w:pPr>
        <w:pStyle w:val="ListParagraph"/>
        <w:numPr>
          <w:ilvl w:val="0"/>
          <w:numId w:val="2"/>
        </w:numPr>
        <w:spacing w:after="100"/>
      </w:pPr>
      <w:r>
        <w:rPr>
          <w:rFonts w:ascii="Arial" w:cs="Arial" w:eastAsia="Arial" w:hAnsi="Arial"/>
          <w:sz w:val="20"/>
          <w:szCs w:val="20"/>
        </w:rPr>
        <w:t xml:space="preserve">As soon as you identify or become aware of a potential conflict, stop any activities that could be affected by it. Do not wait to see how it plays out.</w:t>
      </w:r>
    </w:p>
    <w:p>
      <w:pPr>
        <w:pStyle w:val="ListParagraph"/>
        <w:numPr>
          <w:ilvl w:val="0"/>
          <w:numId w:val="2"/>
        </w:numPr>
        <w:spacing w:after="100"/>
      </w:pPr>
      <w:r>
        <w:rPr>
          <w:rFonts w:ascii="Arial" w:cs="Arial" w:eastAsia="Arial" w:hAnsi="Arial"/>
          <w:sz w:val="20"/>
          <w:szCs w:val="20"/>
        </w:rPr>
        <w:t xml:space="preserve">Contact your coordinator as soon as practicable — the same day where possible.</w:t>
      </w:r>
    </w:p>
    <w:p>
      <w:pPr>
        <w:pStyle w:val="ListParagraph"/>
        <w:numPr>
          <w:ilvl w:val="0"/>
          <w:numId w:val="2"/>
        </w:numPr>
        <w:spacing w:after="100"/>
      </w:pPr>
      <w:r>
        <w:rPr>
          <w:rFonts w:ascii="Arial" w:cs="Arial" w:eastAsia="Arial" w:hAnsi="Arial"/>
          <w:sz w:val="20"/>
          <w:szCs w:val="20"/>
        </w:rPr>
        <w:t xml:space="preserve">Complete the Conflict of Interest Declaration Form on the Sunrise internal portal. Submit it within 2 business days of becoming aware of the conflict.</w:t>
      </w:r>
    </w:p>
    <w:p>
      <w:pPr>
        <w:pStyle w:val="ListParagraph"/>
        <w:numPr>
          <w:ilvl w:val="0"/>
          <w:numId w:val="2"/>
        </w:numPr>
        <w:spacing w:after="100"/>
      </w:pPr>
      <w:r>
        <w:rPr>
          <w:rFonts w:ascii="Arial" w:cs="Arial" w:eastAsia="Arial" w:hAnsi="Arial"/>
          <w:sz w:val="20"/>
          <w:szCs w:val="20"/>
        </w:rPr>
        <w:t xml:space="preserve">Your coordinator forwards the form to People &amp; Culture who will confirm the management approach within 5 business days. You will be notified in writing of the outcome.</w:t>
      </w:r>
    </w:p>
    <w:p>
      <w:pPr>
        <w:pStyle w:val="ListParagraph"/>
        <w:numPr>
          <w:ilvl w:val="0"/>
          <w:numId w:val="2"/>
        </w:numPr>
        <w:spacing w:after="100"/>
      </w:pPr>
      <w:r>
        <w:rPr>
          <w:rFonts w:ascii="Arial" w:cs="Arial" w:eastAsia="Arial" w:hAnsi="Arial"/>
          <w:sz w:val="20"/>
          <w:szCs w:val="20"/>
        </w:rPr>
        <w:t xml:space="preserve">Until you receive written confirmation of the management approach, do not make decisions or take actions that could be affected by the conflict.</w:t>
      </w:r>
    </w:p>
    <w:p>
      <w:pPr>
        <w:pStyle w:val="Heading2"/>
      </w:pPr>
      <w:r>
        <w:t xml:space="preserve">5.3 Disclosure Procedure — Worker Observes a Colleague's Conflict</w:t>
      </w:r>
    </w:p>
    <w:p>
      <w:pPr>
        <w:pStyle w:val="ListParagraph"/>
        <w:numPr>
          <w:ilvl w:val="0"/>
          <w:numId w:val="2"/>
        </w:numPr>
        <w:spacing w:after="100"/>
      </w:pPr>
      <w:r>
        <w:rPr>
          <w:rFonts w:ascii="Arial" w:cs="Arial" w:eastAsia="Arial" w:hAnsi="Arial"/>
          <w:sz w:val="20"/>
          <w:szCs w:val="20"/>
        </w:rPr>
        <w:t xml:space="preserve">Do not approach the colleague directly or raise it informally.</w:t>
      </w:r>
    </w:p>
    <w:p>
      <w:pPr>
        <w:pStyle w:val="ListParagraph"/>
        <w:numPr>
          <w:ilvl w:val="0"/>
          <w:numId w:val="2"/>
        </w:numPr>
        <w:spacing w:after="100"/>
      </w:pPr>
      <w:r>
        <w:rPr>
          <w:rFonts w:ascii="Arial" w:cs="Arial" w:eastAsia="Arial" w:hAnsi="Arial"/>
          <w:sz w:val="20"/>
          <w:szCs w:val="20"/>
        </w:rPr>
        <w:t xml:space="preserve">Document what you have observed — dates, what was seen or heard, names of any other witnesses.</w:t>
      </w:r>
    </w:p>
    <w:p>
      <w:pPr>
        <w:pStyle w:val="ListParagraph"/>
        <w:numPr>
          <w:ilvl w:val="0"/>
          <w:numId w:val="2"/>
        </w:numPr>
        <w:spacing w:after="100"/>
      </w:pPr>
      <w:r>
        <w:rPr>
          <w:rFonts w:ascii="Arial" w:cs="Arial" w:eastAsia="Arial" w:hAnsi="Arial"/>
          <w:sz w:val="20"/>
          <w:szCs w:val="20"/>
        </w:rPr>
        <w:t xml:space="preserve">Report confidentially to your coordinator or to People &amp; Culture directly. If your coordinator is the person involved, go directly to People &amp; Culture or the CEO.</w:t>
      </w:r>
    </w:p>
    <w:p>
      <w:pPr>
        <w:pStyle w:val="ListParagraph"/>
        <w:numPr>
          <w:ilvl w:val="0"/>
          <w:numId w:val="2"/>
        </w:numPr>
        <w:spacing w:after="100"/>
      </w:pPr>
      <w:r>
        <w:rPr>
          <w:rFonts w:ascii="Arial" w:cs="Arial" w:eastAsia="Arial" w:hAnsi="Arial"/>
          <w:sz w:val="20"/>
          <w:szCs w:val="20"/>
        </w:rPr>
        <w:t xml:space="preserve">You are fully protected against retaliation for making this disclosure in good faith — refer to the Whistleblower section of SDS-POL-001 if you experience any adverse treatment.</w:t>
      </w:r>
    </w:p>
    <w:p>
      <w:pPr>
        <w:spacing w:after="120"/>
      </w:pPr>
      <w:r>
        <w:t xml:space="preserve"/>
      </w:r>
    </w:p>
    <w:p>
      <w:pPr>
        <w:pStyle w:val="Heading1"/>
      </w:pPr>
      <w:r>
        <w:t xml:space="preserve">PROCEDURE 6: Cultural and Person-Centred Practice Integration</w:t>
      </w:r>
    </w:p>
    <w:p>
      <w:pPr>
        <w:pBdr>
          <w:bottom w:val="single" w:color="d0d5dd" w:sz="3"/>
        </w:pBdr>
        <w:spacing w:after="80"/>
      </w:pPr>
      <w:r>
        <w:t xml:space="preserve"/>
      </w:r>
    </w:p>
    <w:p>
      <w:pPr>
        <w:pStyle w:val="Heading2"/>
      </w:pPr>
      <w:r>
        <w:t xml:space="preserve">6.1 Reviewing Cultural Preferences Before a Shift</w:t>
      </w:r>
    </w:p>
    <w:p>
      <w:pPr>
        <w:pStyle w:val="ListParagraph"/>
        <w:numPr>
          <w:ilvl w:val="0"/>
          <w:numId w:val="2"/>
        </w:numPr>
        <w:spacing w:after="100"/>
      </w:pPr>
      <w:r>
        <w:rPr>
          <w:rFonts w:ascii="Arial" w:cs="Arial" w:eastAsia="Arial" w:hAnsi="Arial"/>
          <w:sz w:val="20"/>
          <w:szCs w:val="20"/>
        </w:rPr>
        <w:t xml:space="preserve">Before your first shift with any participant — or the first shift of a new service period with an existing participant — open the participant's profile and locate the Cultural &amp; Communication Preferences section.</w:t>
      </w:r>
    </w:p>
    <w:p>
      <w:pPr>
        <w:pStyle w:val="ListParagraph"/>
        <w:numPr>
          <w:ilvl w:val="0"/>
          <w:numId w:val="2"/>
        </w:numPr>
        <w:spacing w:after="100"/>
      </w:pPr>
      <w:r>
        <w:rPr>
          <w:rFonts w:ascii="Arial" w:cs="Arial" w:eastAsia="Arial" w:hAnsi="Arial"/>
          <w:sz w:val="20"/>
          <w:szCs w:val="20"/>
        </w:rPr>
        <w:t xml:space="preserve">Review: preferred language, communication method and aids, cultural or religious practices relevant to daily routine, dietary requirements, preferences about gender of support worker, any cultural practices that affect personal care or support delivery.</w:t>
      </w:r>
    </w:p>
    <w:p>
      <w:pPr>
        <w:pStyle w:val="ListParagraph"/>
        <w:numPr>
          <w:ilvl w:val="0"/>
          <w:numId w:val="2"/>
        </w:numPr>
        <w:spacing w:after="100"/>
      </w:pPr>
      <w:r>
        <w:rPr>
          <w:rFonts w:ascii="Arial" w:cs="Arial" w:eastAsia="Arial" w:hAnsi="Arial"/>
          <w:sz w:val="20"/>
          <w:szCs w:val="20"/>
        </w:rPr>
        <w:t xml:space="preserve">If any of these fields are empty or say "not recorded," do not assume there are no preferences. Ask the participant at the start of the shift using open questions: "Is there anything about how you like to be supported that's important for me to know?"</w:t>
      </w:r>
    </w:p>
    <w:p>
      <w:pPr>
        <w:pStyle w:val="ListParagraph"/>
        <w:numPr>
          <w:ilvl w:val="0"/>
          <w:numId w:val="2"/>
        </w:numPr>
        <w:spacing w:after="100"/>
      </w:pPr>
      <w:r>
        <w:rPr>
          <w:rFonts w:ascii="Arial" w:cs="Arial" w:eastAsia="Arial" w:hAnsi="Arial"/>
          <w:sz w:val="20"/>
          <w:szCs w:val="20"/>
        </w:rPr>
        <w:t xml:space="preserve">Record any preferences disclosed during the shift in the shift notes immediately. Flag to your coordinator so the participant's profile can be updated.</w:t>
      </w:r>
    </w:p>
    <w:p>
      <w:pPr>
        <w:pStyle w:val="Heading2"/>
      </w:pPr>
      <w:r>
        <w:t xml:space="preserve">6.2 During the Shift</w:t>
      </w:r>
    </w:p>
    <w:p>
      <w:pPr>
        <w:spacing w:after="120" w:line="280"/>
      </w:pPr>
      <w:r>
        <w:rPr>
          <w:rFonts w:ascii="Arial" w:cs="Arial" w:eastAsia="Arial" w:hAnsi="Arial"/>
          <w:sz w:val="20"/>
          <w:szCs w:val="20"/>
        </w:rPr>
        <w:t xml:space="preserve">Apply documented preferences as the baseline — not as optional extras. Specific considerations:</w:t>
      </w:r>
    </w:p>
    <w:p>
      <w:pPr>
        <w:pStyle w:val="ListParagraph"/>
        <w:numPr>
          <w:ilvl w:val="0"/>
          <w:numId w:val="3"/>
        </w:numPr>
        <w:spacing w:after="80"/>
      </w:pPr>
      <w:r>
        <w:rPr>
          <w:rFonts w:ascii="Arial" w:cs="Arial" w:eastAsia="Arial" w:hAnsi="Arial"/>
          <w:sz w:val="20"/>
          <w:szCs w:val="20"/>
        </w:rPr>
        <w:t xml:space="preserve">Dietary: if the participant has a documented dietary requirement (e.g. halal, kosher, vegetarian, allergy-related), it applies every time food is involved, including incidental decisions like where you suggest having lunch.</w:t>
      </w:r>
    </w:p>
    <w:p>
      <w:pPr>
        <w:pStyle w:val="ListParagraph"/>
        <w:numPr>
          <w:ilvl w:val="0"/>
          <w:numId w:val="3"/>
        </w:numPr>
        <w:spacing w:after="80"/>
      </w:pPr>
      <w:r>
        <w:rPr>
          <w:rFonts w:ascii="Arial" w:cs="Arial" w:eastAsia="Arial" w:hAnsi="Arial"/>
          <w:sz w:val="20"/>
          <w:szCs w:val="20"/>
        </w:rPr>
        <w:t xml:space="preserve">Personal care: if preferences about who can assist with personal care are documented (e.g. preference for same-gender worker), these must be followed. If the rostered worker does not match the preference, contact the coordinator before beginning personal care tasks.</w:t>
      </w:r>
    </w:p>
    <w:p>
      <w:pPr>
        <w:pStyle w:val="ListParagraph"/>
        <w:numPr>
          <w:ilvl w:val="0"/>
          <w:numId w:val="3"/>
        </w:numPr>
        <w:spacing w:after="80"/>
      </w:pPr>
      <w:r>
        <w:rPr>
          <w:rFonts w:ascii="Arial" w:cs="Arial" w:eastAsia="Arial" w:hAnsi="Arial"/>
          <w:sz w:val="20"/>
          <w:szCs w:val="20"/>
        </w:rPr>
        <w:t xml:space="preserve">Religious observance: if a prayer time, religious observance, or practice falls within the shift, plan around it — do not schedule activities that would require the participant to miss or rush through it.</w:t>
      </w:r>
    </w:p>
    <w:p>
      <w:pPr>
        <w:pStyle w:val="ListParagraph"/>
        <w:numPr>
          <w:ilvl w:val="0"/>
          <w:numId w:val="3"/>
        </w:numPr>
        <w:spacing w:after="80"/>
      </w:pPr>
      <w:r>
        <w:rPr>
          <w:rFonts w:ascii="Arial" w:cs="Arial" w:eastAsia="Arial" w:hAnsi="Arial"/>
          <w:sz w:val="20"/>
          <w:szCs w:val="20"/>
        </w:rPr>
        <w:t xml:space="preserve">Communication: use the documented communication aids and methods. If the participant uses AAC, picture exchange, or Auslan, you must use these supports — not default to spoken language because it is easier for you.</w:t>
      </w:r>
    </w:p>
    <w:p>
      <w:pPr>
        <w:pStyle w:val="Heading2"/>
      </w:pPr>
      <w:r>
        <w:t xml:space="preserve">6.3 When Preferences Create Practical Challenges</w:t>
      </w:r>
    </w:p>
    <w:p>
      <w:pPr>
        <w:spacing w:after="120" w:line="280"/>
      </w:pPr>
      <w:r>
        <w:rPr>
          <w:rFonts w:ascii="Arial" w:cs="Arial" w:eastAsia="Arial" w:hAnsi="Arial"/>
          <w:sz w:val="20"/>
          <w:szCs w:val="20"/>
        </w:rPr>
        <w:t xml:space="preserve">If a cultural or religious preference creates a challenge for the shift delivery — for example, a religious observance that significantly changes the shift timeline, or a dietary requirement that affects a planned community outing — do the following:</w:t>
      </w:r>
    </w:p>
    <w:p>
      <w:pPr>
        <w:pStyle w:val="ListParagraph"/>
        <w:numPr>
          <w:ilvl w:val="0"/>
          <w:numId w:val="2"/>
        </w:numPr>
        <w:spacing w:after="100"/>
      </w:pPr>
      <w:r>
        <w:rPr>
          <w:rFonts w:ascii="Arial" w:cs="Arial" w:eastAsia="Arial" w:hAnsi="Arial"/>
          <w:sz w:val="20"/>
          <w:szCs w:val="20"/>
        </w:rPr>
        <w:t xml:space="preserve">Do not unilaterally decide how to manage it. The participant's preference is the starting point, not an obstacle.</w:t>
      </w:r>
    </w:p>
    <w:p>
      <w:pPr>
        <w:pStyle w:val="ListParagraph"/>
        <w:numPr>
          <w:ilvl w:val="0"/>
          <w:numId w:val="2"/>
        </w:numPr>
        <w:spacing w:after="100"/>
      </w:pPr>
      <w:r>
        <w:rPr>
          <w:rFonts w:ascii="Arial" w:cs="Arial" w:eastAsia="Arial" w:hAnsi="Arial"/>
          <w:sz w:val="20"/>
          <w:szCs w:val="20"/>
        </w:rPr>
        <w:t xml:space="preserve">Discuss with the participant what options work for them.</w:t>
      </w:r>
    </w:p>
    <w:p>
      <w:pPr>
        <w:pStyle w:val="ListParagraph"/>
        <w:numPr>
          <w:ilvl w:val="0"/>
          <w:numId w:val="2"/>
        </w:numPr>
        <w:spacing w:after="100"/>
      </w:pPr>
      <w:r>
        <w:rPr>
          <w:rFonts w:ascii="Arial" w:cs="Arial" w:eastAsia="Arial" w:hAnsi="Arial"/>
          <w:sz w:val="20"/>
          <w:szCs w:val="20"/>
        </w:rPr>
        <w:t xml:space="preserve">Contact your coordinator and document the challenge and the agreed resolution.</w:t>
      </w:r>
    </w:p>
    <w:p>
      <w:pPr>
        <w:pStyle w:val="ListParagraph"/>
        <w:numPr>
          <w:ilvl w:val="0"/>
          <w:numId w:val="2"/>
        </w:numPr>
        <w:spacing w:after="100"/>
      </w:pPr>
      <w:r>
        <w:rPr>
          <w:rFonts w:ascii="Arial" w:cs="Arial" w:eastAsia="Arial" w:hAnsi="Arial"/>
          <w:sz w:val="20"/>
          <w:szCs w:val="20"/>
        </w:rPr>
        <w:t xml:space="preserve">If a preference means a planned activity cannot proceed as originally planned, reschedule the activity — not the preference.</w:t>
      </w:r>
    </w:p>
    <w:p>
      <w:pPr>
        <w:spacing w:after="200"/>
      </w:pPr>
      <w:r>
        <w:t xml:space="preserve"/>
      </w:r>
    </w:p>
    <w:p>
      <w:r>
        <w:rPr>
          <w:rFonts w:ascii="Arial" w:cs="Arial" w:eastAsia="Arial" w:hAnsi="Arial"/>
          <w:i/>
          <w:iCs/>
          <w:color w:val="aaaaaa"/>
          <w:sz w:val="16"/>
          <w:szCs w:val="16"/>
        </w:rPr>
        <w:t xml:space="preserve">SDS-PROC-003-005 v1.9 | Sunrise Disability Support Services | INTERNAL PROCEDURE — NOT FOR EXTERNAL DISTRIBUTION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356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d6ca2"/>
      <w:sz w:val="24"/>
      <w:szCs w:val="24"/>
    </w:rPr>
  </w:style>
  <w:style w:type="paragraph" w:styleId="Heading3">
    <w:name w:val="Heading 3"/>
    <w:basedOn w:val="Normal"/>
    <w:next w:val="Normal"/>
    <w:qFormat/>
    <w:pPr>
      <w:spacing w:after="6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2026-05-18T11:57:57.193Z</dcterms:created>
  <dcterms:modified xsi:type="dcterms:W3CDTF">2026-05-18T11:57:57.193Z</dcterms:modified>
</cp:coreProperties>
</file>

<file path=docProps/custom.xml><?xml version="1.0" encoding="utf-8"?>
<Properties xmlns="http://schemas.openxmlformats.org/officeDocument/2006/custom-properties" xmlns:vt="http://schemas.openxmlformats.org/officeDocument/2006/docPropsVTypes"/>
</file>