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E8C" w:rsidRDefault="006C5E8C" w:rsidP="006C5E8C">
      <w:pPr>
        <w:pStyle w:val="Title"/>
        <w:jc w:val="center"/>
        <w:rPr>
          <w:rFonts w:asciiTheme="minorHAnsi" w:hAnsiTheme="minorHAnsi"/>
          <w:sz w:val="32"/>
          <w:szCs w:val="32"/>
        </w:rPr>
      </w:pPr>
      <w:r>
        <w:rPr>
          <w:rFonts w:asciiTheme="minorHAnsi" w:hAnsiTheme="minorHAnsi"/>
          <w:sz w:val="32"/>
          <w:szCs w:val="32"/>
        </w:rPr>
        <w:t>Improving the performance of Apriori Algorithm</w:t>
      </w:r>
    </w:p>
    <w:p w:rsidR="006C5E8C" w:rsidRDefault="006C5E8C" w:rsidP="006C5E8C"/>
    <w:p w:rsidR="006C5E8C" w:rsidRDefault="006C5E8C" w:rsidP="006C5E8C">
      <w:pPr>
        <w:jc w:val="both"/>
      </w:pPr>
      <w:r>
        <w:t>This paper presents an approach, which is a combination to two techniques, to improve the performance of the Apriori Algorithm. The first technique helps in reducing the run-time of the algorithm by calculating support from in-memory representation of the database, thereby resulting in saving the I/O cost to scan the database for finding support of candidate itemsets. The second techniques helps in reducing the number of candidate itemsets generated by pruning the frequent itemsets before generation of next level candidate itemsets.</w:t>
      </w:r>
    </w:p>
    <w:p w:rsidR="006C5E8C" w:rsidRDefault="006C5E8C" w:rsidP="006C5E8C">
      <w:pPr>
        <w:rPr>
          <w:b/>
          <w:sz w:val="28"/>
          <w:szCs w:val="28"/>
        </w:rPr>
      </w:pPr>
      <w:r>
        <w:rPr>
          <w:b/>
          <w:sz w:val="28"/>
          <w:szCs w:val="28"/>
        </w:rPr>
        <w:t>The CRS representation of the database:</w:t>
      </w:r>
    </w:p>
    <w:p w:rsidR="006C5E8C" w:rsidRDefault="006C5E8C" w:rsidP="006C5E8C">
      <w:pPr>
        <w:jc w:val="both"/>
      </w:pPr>
      <w:r>
        <w:t xml:space="preserve">The original Apriori Algorithm requires multiple scan of the database to calculate the support of candidate itemsets. The I/O operations involved in scanning the database has impact on the run-time of the algorithm. To overcome this problem, the entire database can be stored in memory. However, we need some efficient representation of database. One approach, which is commonly used, is used is to create a Boolean Matrix representation of the database. The support of candidate itemsets can be directly calculated by using the Boolean Matrix. The Boolean Matrix approach works well if the no. of different items and no. of transactions is less. However, as the no. of items and the no. of transactions increases, the memory requirements for storing the Boolean matrix increases drastically and if the database is sparse, which is usually the case with market basket database, the Boolean matrix representation turns out to be inefficient in terms of memory requirement. The Compressed Row Storage (CRS) format for representing sparse matrix helps in reducing the memory requirement. </w:t>
      </w:r>
    </w:p>
    <w:p w:rsidR="006C5E8C" w:rsidRDefault="006C5E8C" w:rsidP="006C5E8C">
      <w:pPr>
        <w:jc w:val="both"/>
      </w:pPr>
      <w:r>
        <w:t>For e.g. one database on which test were run contains 16500 different items and 88162 transactions. The memory requirement for storing the Boolean matrix would be:</w:t>
      </w:r>
    </w:p>
    <w:p w:rsidR="006C5E8C" w:rsidRDefault="006C5E8C" w:rsidP="006C5E8C">
      <w:pPr>
        <w:pStyle w:val="ListParagraph"/>
        <w:numPr>
          <w:ilvl w:val="0"/>
          <w:numId w:val="1"/>
        </w:numPr>
        <w:jc w:val="both"/>
      </w:pPr>
      <w:r>
        <w:t xml:space="preserve">(16470*88162) / (8*1024*1024) = 173 MB. </w:t>
      </w:r>
    </w:p>
    <w:p w:rsidR="006C5E8C" w:rsidRDefault="006C5E8C" w:rsidP="006C5E8C">
      <w:pPr>
        <w:spacing w:after="0"/>
        <w:jc w:val="both"/>
      </w:pPr>
      <w:r>
        <w:t>The memory requirement for storing the CRS representation would be (assuming the average size of transaction to be 10):</w:t>
      </w:r>
    </w:p>
    <w:p w:rsidR="006C5E8C" w:rsidRDefault="006C5E8C" w:rsidP="006C5E8C">
      <w:pPr>
        <w:pStyle w:val="ListParagraph"/>
        <w:numPr>
          <w:ilvl w:val="0"/>
          <w:numId w:val="2"/>
        </w:numPr>
        <w:spacing w:after="0"/>
        <w:jc w:val="both"/>
      </w:pPr>
      <w:r>
        <w:t>For row vector (size: no of transactions +1):          [Row vector is stored as vector of integers]</w:t>
      </w:r>
    </w:p>
    <w:p w:rsidR="006C5E8C" w:rsidRDefault="006C5E8C" w:rsidP="006C5E8C">
      <w:pPr>
        <w:pStyle w:val="ListParagraph"/>
        <w:spacing w:after="0"/>
        <w:jc w:val="both"/>
      </w:pPr>
      <w:r>
        <w:t>(No of transactions + 1)*(size of integer)/ (1024*1024)</w:t>
      </w:r>
    </w:p>
    <w:p w:rsidR="006C5E8C" w:rsidRDefault="006C5E8C" w:rsidP="006C5E8C">
      <w:pPr>
        <w:pStyle w:val="ListParagraph"/>
        <w:spacing w:after="0"/>
        <w:jc w:val="both"/>
      </w:pPr>
      <w:r>
        <w:t>88163*4/ (1024*1024) = 0.34 MB</w:t>
      </w:r>
    </w:p>
    <w:p w:rsidR="006C5E8C" w:rsidRDefault="006C5E8C" w:rsidP="006C5E8C">
      <w:pPr>
        <w:pStyle w:val="ListParagraph"/>
        <w:spacing w:after="0"/>
        <w:jc w:val="both"/>
      </w:pPr>
    </w:p>
    <w:p w:rsidR="006C5E8C" w:rsidRDefault="006C5E8C" w:rsidP="006C5E8C">
      <w:pPr>
        <w:pStyle w:val="ListParagraph"/>
        <w:numPr>
          <w:ilvl w:val="0"/>
          <w:numId w:val="2"/>
        </w:numPr>
        <w:spacing w:after="0"/>
        <w:jc w:val="both"/>
      </w:pPr>
      <w:r>
        <w:t>For Column Vector (size : no of items present):   [Column vector is stored as vector of shorts]</w:t>
      </w:r>
    </w:p>
    <w:p w:rsidR="006C5E8C" w:rsidRDefault="006C5E8C" w:rsidP="006C5E8C">
      <w:pPr>
        <w:pStyle w:val="ListParagraph"/>
        <w:spacing w:after="0"/>
        <w:jc w:val="both"/>
      </w:pPr>
      <w:r>
        <w:t>(Avg. length of transaction)*(no of transactions)*(size of short) / (1024*1024)</w:t>
      </w:r>
    </w:p>
    <w:p w:rsidR="006C5E8C" w:rsidRDefault="006C5E8C" w:rsidP="006C5E8C">
      <w:pPr>
        <w:pStyle w:val="ListParagraph"/>
        <w:spacing w:after="0"/>
        <w:jc w:val="both"/>
      </w:pPr>
      <w:r>
        <w:t>(10*88162*2) / (1024*1024) = 1.68 MB</w:t>
      </w:r>
    </w:p>
    <w:p w:rsidR="006C5E8C" w:rsidRDefault="006C5E8C" w:rsidP="006C5E8C">
      <w:pPr>
        <w:pStyle w:val="ListParagraph"/>
        <w:spacing w:after="0"/>
        <w:jc w:val="both"/>
      </w:pPr>
    </w:p>
    <w:p w:rsidR="006C5E8C" w:rsidRDefault="006C5E8C" w:rsidP="006C5E8C">
      <w:pPr>
        <w:spacing w:after="0"/>
        <w:jc w:val="both"/>
      </w:pPr>
      <w:r>
        <w:t>Total: 0.34 + 1.68 = 2.02 MB.</w:t>
      </w:r>
    </w:p>
    <w:p w:rsidR="006C5E8C" w:rsidRDefault="006C5E8C" w:rsidP="006C5E8C">
      <w:pPr>
        <w:jc w:val="both"/>
      </w:pPr>
      <w:r>
        <w:t>Thus resulting in ((173 – 1.68) / 173) = 99 % reduction in memory requirement in this case.</w:t>
      </w:r>
    </w:p>
    <w:p w:rsidR="006C5E8C" w:rsidRDefault="006C5E8C" w:rsidP="006C5E8C">
      <w:pPr>
        <w:jc w:val="both"/>
      </w:pPr>
      <w:r>
        <w:t>The CRS representation uses two vectors to represent the transactional database. The following case illustrates the CRS representation of an example database:</w:t>
      </w:r>
    </w:p>
    <w:p w:rsidR="006C5E8C" w:rsidRDefault="006C5E8C" w:rsidP="006C5E8C">
      <w:pPr>
        <w:jc w:val="both"/>
        <w:rPr>
          <w:rFonts w:eastAsia="Times New Roman" w:cs="Arial"/>
          <w:color w:val="222222"/>
        </w:rPr>
      </w:pPr>
    </w:p>
    <w:p w:rsidR="006C5E8C" w:rsidRDefault="006C5E8C" w:rsidP="006C5E8C">
      <w:pPr>
        <w:jc w:val="both"/>
        <w:rPr>
          <w:rFonts w:eastAsia="Times New Roman" w:cs="Arial"/>
          <w:color w:val="222222"/>
        </w:rPr>
      </w:pPr>
    </w:p>
    <w:p w:rsidR="006C5E8C" w:rsidRDefault="006C5E8C" w:rsidP="006C5E8C">
      <w:pPr>
        <w:jc w:val="both"/>
      </w:pPr>
      <w:r>
        <w:rPr>
          <w:rFonts w:eastAsia="Times New Roman" w:cs="Arial"/>
          <w:color w:val="222222"/>
        </w:rPr>
        <w:lastRenderedPageBreak/>
        <w:t>E.g. consider the following transactional database:</w:t>
      </w:r>
    </w:p>
    <w:tbl>
      <w:tblPr>
        <w:tblStyle w:val="TableGrid"/>
        <w:tblW w:w="0" w:type="auto"/>
        <w:tblInd w:w="3463" w:type="dxa"/>
        <w:tblLook w:val="04A0" w:firstRow="1" w:lastRow="0" w:firstColumn="1" w:lastColumn="0" w:noHBand="0" w:noVBand="1"/>
      </w:tblPr>
      <w:tblGrid>
        <w:gridCol w:w="536"/>
        <w:gridCol w:w="1079"/>
      </w:tblGrid>
      <w:tr w:rsidR="006C5E8C" w:rsidTr="006C5E8C">
        <w:trPr>
          <w:trHeight w:val="361"/>
        </w:trPr>
        <w:tc>
          <w:tcPr>
            <w:tcW w:w="536"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rPr>
                <w:rFonts w:eastAsia="Times New Roman" w:cs="Arial"/>
                <w:color w:val="222222"/>
              </w:rPr>
            </w:pPr>
            <w:r>
              <w:rPr>
                <w:rFonts w:eastAsia="Times New Roman" w:cs="Arial"/>
                <w:color w:val="222222"/>
              </w:rPr>
              <w:t>TID</w:t>
            </w:r>
          </w:p>
        </w:tc>
        <w:tc>
          <w:tcPr>
            <w:tcW w:w="1079"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rPr>
                <w:rFonts w:eastAsia="Times New Roman" w:cs="Arial"/>
                <w:color w:val="222222"/>
              </w:rPr>
            </w:pPr>
            <w:r>
              <w:rPr>
                <w:rFonts w:eastAsia="Times New Roman" w:cs="Arial"/>
                <w:color w:val="222222"/>
              </w:rPr>
              <w:t>Items</w:t>
            </w:r>
          </w:p>
        </w:tc>
      </w:tr>
      <w:tr w:rsidR="006C5E8C" w:rsidTr="006C5E8C">
        <w:trPr>
          <w:trHeight w:val="361"/>
        </w:trPr>
        <w:tc>
          <w:tcPr>
            <w:tcW w:w="536"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rPr>
                <w:rFonts w:eastAsia="Times New Roman" w:cs="Arial"/>
                <w:color w:val="222222"/>
              </w:rPr>
            </w:pPr>
            <w:r>
              <w:rPr>
                <w:rFonts w:eastAsia="Times New Roman" w:cs="Arial"/>
                <w:color w:val="222222"/>
              </w:rPr>
              <w:t>1</w:t>
            </w:r>
          </w:p>
        </w:tc>
        <w:tc>
          <w:tcPr>
            <w:tcW w:w="1079"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rPr>
                <w:rFonts w:eastAsia="Times New Roman" w:cs="Arial"/>
                <w:color w:val="222222"/>
              </w:rPr>
            </w:pPr>
            <w:r>
              <w:rPr>
                <w:rFonts w:eastAsia="Times New Roman" w:cs="Arial"/>
                <w:color w:val="222222"/>
              </w:rPr>
              <w:t>A, B, E</w:t>
            </w:r>
          </w:p>
        </w:tc>
      </w:tr>
      <w:tr w:rsidR="006C5E8C" w:rsidTr="006C5E8C">
        <w:trPr>
          <w:trHeight w:val="422"/>
        </w:trPr>
        <w:tc>
          <w:tcPr>
            <w:tcW w:w="536"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rPr>
                <w:rFonts w:eastAsia="Times New Roman" w:cs="Arial"/>
                <w:color w:val="222222"/>
              </w:rPr>
            </w:pPr>
            <w:r>
              <w:rPr>
                <w:rFonts w:eastAsia="Times New Roman" w:cs="Arial"/>
                <w:color w:val="222222"/>
              </w:rPr>
              <w:t>2</w:t>
            </w:r>
          </w:p>
        </w:tc>
        <w:tc>
          <w:tcPr>
            <w:tcW w:w="1079"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rPr>
                <w:rFonts w:eastAsia="Times New Roman" w:cs="Arial"/>
                <w:color w:val="222222"/>
              </w:rPr>
            </w:pPr>
            <w:r>
              <w:rPr>
                <w:rFonts w:eastAsia="Times New Roman" w:cs="Arial"/>
                <w:color w:val="222222"/>
              </w:rPr>
              <w:t>B, C, D</w:t>
            </w:r>
          </w:p>
        </w:tc>
      </w:tr>
      <w:tr w:rsidR="006C5E8C" w:rsidTr="006C5E8C">
        <w:trPr>
          <w:trHeight w:val="361"/>
        </w:trPr>
        <w:tc>
          <w:tcPr>
            <w:tcW w:w="536"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rPr>
                <w:rFonts w:eastAsia="Times New Roman" w:cs="Arial"/>
                <w:color w:val="222222"/>
              </w:rPr>
            </w:pPr>
            <w:r>
              <w:rPr>
                <w:rFonts w:eastAsia="Times New Roman" w:cs="Arial"/>
                <w:color w:val="222222"/>
              </w:rPr>
              <w:t>3</w:t>
            </w:r>
          </w:p>
        </w:tc>
        <w:tc>
          <w:tcPr>
            <w:tcW w:w="1079"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rPr>
                <w:rFonts w:eastAsia="Times New Roman" w:cs="Arial"/>
                <w:color w:val="222222"/>
              </w:rPr>
            </w:pPr>
            <w:r>
              <w:rPr>
                <w:rFonts w:eastAsia="Times New Roman" w:cs="Arial"/>
                <w:color w:val="222222"/>
              </w:rPr>
              <w:t>C, E</w:t>
            </w:r>
          </w:p>
        </w:tc>
      </w:tr>
      <w:tr w:rsidR="006C5E8C" w:rsidTr="006C5E8C">
        <w:trPr>
          <w:trHeight w:val="361"/>
        </w:trPr>
        <w:tc>
          <w:tcPr>
            <w:tcW w:w="536"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rPr>
                <w:rFonts w:eastAsia="Times New Roman" w:cs="Arial"/>
                <w:color w:val="222222"/>
              </w:rPr>
            </w:pPr>
            <w:r>
              <w:rPr>
                <w:rFonts w:eastAsia="Times New Roman" w:cs="Arial"/>
                <w:color w:val="222222"/>
              </w:rPr>
              <w:t>4</w:t>
            </w:r>
          </w:p>
        </w:tc>
        <w:tc>
          <w:tcPr>
            <w:tcW w:w="1079"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rPr>
                <w:rFonts w:eastAsia="Times New Roman" w:cs="Arial"/>
                <w:color w:val="222222"/>
              </w:rPr>
            </w:pPr>
            <w:r>
              <w:rPr>
                <w:rFonts w:eastAsia="Times New Roman" w:cs="Arial"/>
                <w:color w:val="222222"/>
              </w:rPr>
              <w:t>A, C, D</w:t>
            </w:r>
          </w:p>
        </w:tc>
      </w:tr>
      <w:tr w:rsidR="006C5E8C" w:rsidTr="006C5E8C">
        <w:trPr>
          <w:trHeight w:val="361"/>
        </w:trPr>
        <w:tc>
          <w:tcPr>
            <w:tcW w:w="536"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rPr>
                <w:rFonts w:eastAsia="Times New Roman" w:cs="Arial"/>
                <w:color w:val="222222"/>
              </w:rPr>
            </w:pPr>
            <w:r>
              <w:rPr>
                <w:rFonts w:eastAsia="Times New Roman" w:cs="Arial"/>
                <w:color w:val="222222"/>
              </w:rPr>
              <w:t>5</w:t>
            </w:r>
          </w:p>
        </w:tc>
        <w:tc>
          <w:tcPr>
            <w:tcW w:w="1079"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rPr>
                <w:rFonts w:eastAsia="Times New Roman" w:cs="Arial"/>
                <w:color w:val="222222"/>
              </w:rPr>
            </w:pPr>
            <w:r>
              <w:rPr>
                <w:rFonts w:eastAsia="Times New Roman" w:cs="Arial"/>
                <w:color w:val="222222"/>
              </w:rPr>
              <w:t>A, B, C, D</w:t>
            </w:r>
          </w:p>
        </w:tc>
      </w:tr>
      <w:tr w:rsidR="006C5E8C" w:rsidTr="006C5E8C">
        <w:trPr>
          <w:trHeight w:val="361"/>
        </w:trPr>
        <w:tc>
          <w:tcPr>
            <w:tcW w:w="536"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rPr>
                <w:rFonts w:eastAsia="Times New Roman" w:cs="Arial"/>
                <w:color w:val="222222"/>
              </w:rPr>
            </w:pPr>
            <w:r>
              <w:rPr>
                <w:rFonts w:eastAsia="Times New Roman" w:cs="Arial"/>
                <w:color w:val="222222"/>
              </w:rPr>
              <w:t>6</w:t>
            </w:r>
          </w:p>
        </w:tc>
        <w:tc>
          <w:tcPr>
            <w:tcW w:w="1079"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rPr>
                <w:rFonts w:eastAsia="Times New Roman" w:cs="Arial"/>
                <w:color w:val="222222"/>
              </w:rPr>
            </w:pPr>
            <w:r>
              <w:rPr>
                <w:rFonts w:eastAsia="Times New Roman" w:cs="Arial"/>
                <w:color w:val="222222"/>
              </w:rPr>
              <w:t>A, E</w:t>
            </w:r>
          </w:p>
        </w:tc>
      </w:tr>
      <w:tr w:rsidR="006C5E8C" w:rsidTr="006C5E8C">
        <w:trPr>
          <w:trHeight w:val="377"/>
        </w:trPr>
        <w:tc>
          <w:tcPr>
            <w:tcW w:w="536"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rPr>
                <w:rFonts w:eastAsia="Times New Roman" w:cs="Arial"/>
                <w:color w:val="222222"/>
              </w:rPr>
            </w:pPr>
            <w:r>
              <w:rPr>
                <w:rFonts w:eastAsia="Times New Roman" w:cs="Arial"/>
                <w:color w:val="222222"/>
              </w:rPr>
              <w:t>7</w:t>
            </w:r>
          </w:p>
        </w:tc>
        <w:tc>
          <w:tcPr>
            <w:tcW w:w="1079"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rPr>
                <w:rFonts w:eastAsia="Times New Roman" w:cs="Arial"/>
                <w:color w:val="222222"/>
              </w:rPr>
            </w:pPr>
            <w:r>
              <w:rPr>
                <w:rFonts w:eastAsia="Times New Roman" w:cs="Arial"/>
                <w:color w:val="222222"/>
              </w:rPr>
              <w:t>A, B</w:t>
            </w:r>
          </w:p>
        </w:tc>
      </w:tr>
      <w:tr w:rsidR="006C5E8C" w:rsidTr="006C5E8C">
        <w:trPr>
          <w:trHeight w:val="361"/>
        </w:trPr>
        <w:tc>
          <w:tcPr>
            <w:tcW w:w="536"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rPr>
                <w:rFonts w:eastAsia="Times New Roman" w:cs="Arial"/>
                <w:color w:val="222222"/>
              </w:rPr>
            </w:pPr>
            <w:r>
              <w:rPr>
                <w:rFonts w:eastAsia="Times New Roman" w:cs="Arial"/>
                <w:color w:val="222222"/>
              </w:rPr>
              <w:t>8</w:t>
            </w:r>
          </w:p>
        </w:tc>
        <w:tc>
          <w:tcPr>
            <w:tcW w:w="1079"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rPr>
                <w:rFonts w:eastAsia="Times New Roman" w:cs="Arial"/>
                <w:color w:val="222222"/>
              </w:rPr>
            </w:pPr>
            <w:r>
              <w:rPr>
                <w:rFonts w:eastAsia="Times New Roman" w:cs="Arial"/>
                <w:color w:val="222222"/>
              </w:rPr>
              <w:t>A, B, C</w:t>
            </w:r>
          </w:p>
        </w:tc>
      </w:tr>
      <w:tr w:rsidR="006C5E8C" w:rsidTr="006C5E8C">
        <w:trPr>
          <w:trHeight w:val="361"/>
        </w:trPr>
        <w:tc>
          <w:tcPr>
            <w:tcW w:w="536"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rPr>
                <w:rFonts w:eastAsia="Times New Roman" w:cs="Arial"/>
                <w:color w:val="222222"/>
              </w:rPr>
            </w:pPr>
            <w:r>
              <w:rPr>
                <w:rFonts w:eastAsia="Times New Roman" w:cs="Arial"/>
                <w:color w:val="222222"/>
              </w:rPr>
              <w:t>9</w:t>
            </w:r>
          </w:p>
        </w:tc>
        <w:tc>
          <w:tcPr>
            <w:tcW w:w="1079"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rPr>
                <w:rFonts w:eastAsia="Times New Roman" w:cs="Arial"/>
                <w:color w:val="222222"/>
              </w:rPr>
            </w:pPr>
            <w:r>
              <w:rPr>
                <w:rFonts w:eastAsia="Times New Roman" w:cs="Arial"/>
                <w:color w:val="222222"/>
              </w:rPr>
              <w:t>A, C, D</w:t>
            </w:r>
          </w:p>
        </w:tc>
      </w:tr>
      <w:tr w:rsidR="006C5E8C" w:rsidTr="006C5E8C">
        <w:trPr>
          <w:trHeight w:val="361"/>
        </w:trPr>
        <w:tc>
          <w:tcPr>
            <w:tcW w:w="536"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rPr>
                <w:rFonts w:eastAsia="Times New Roman" w:cs="Arial"/>
                <w:color w:val="222222"/>
              </w:rPr>
            </w:pPr>
            <w:r>
              <w:rPr>
                <w:rFonts w:eastAsia="Times New Roman" w:cs="Arial"/>
                <w:color w:val="222222"/>
              </w:rPr>
              <w:t>10</w:t>
            </w:r>
          </w:p>
        </w:tc>
        <w:tc>
          <w:tcPr>
            <w:tcW w:w="1079"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rPr>
                <w:rFonts w:eastAsia="Times New Roman" w:cs="Arial"/>
                <w:color w:val="222222"/>
              </w:rPr>
            </w:pPr>
            <w:r>
              <w:rPr>
                <w:rFonts w:eastAsia="Times New Roman" w:cs="Arial"/>
                <w:color w:val="222222"/>
              </w:rPr>
              <w:t>B</w:t>
            </w:r>
          </w:p>
        </w:tc>
      </w:tr>
    </w:tbl>
    <w:p w:rsidR="006C5E8C" w:rsidRDefault="006C5E8C" w:rsidP="006C5E8C">
      <w:pPr>
        <w:shd w:val="clear" w:color="auto" w:fill="FFFFFF"/>
        <w:spacing w:after="0" w:line="240" w:lineRule="auto"/>
        <w:jc w:val="both"/>
        <w:rPr>
          <w:rFonts w:eastAsia="Times New Roman" w:cs="Arial"/>
          <w:color w:val="000000" w:themeColor="text1"/>
        </w:rPr>
      </w:pPr>
    </w:p>
    <w:p w:rsidR="006C5E8C" w:rsidRDefault="006C5E8C" w:rsidP="006C5E8C">
      <w:pPr>
        <w:shd w:val="clear" w:color="auto" w:fill="FFFFFF"/>
        <w:spacing w:after="0" w:line="240" w:lineRule="auto"/>
        <w:jc w:val="both"/>
        <w:rPr>
          <w:rFonts w:eastAsia="Times New Roman" w:cs="Arial"/>
          <w:color w:val="000000" w:themeColor="text1"/>
        </w:rPr>
      </w:pPr>
      <w:r>
        <w:rPr>
          <w:rFonts w:eastAsia="Times New Roman" w:cs="Arial"/>
          <w:color w:val="000000" w:themeColor="text1"/>
        </w:rPr>
        <w:t>The Boolean Matrix representation of the database:</w:t>
      </w:r>
    </w:p>
    <w:p w:rsidR="006C5E8C" w:rsidRDefault="006C5E8C" w:rsidP="006C5E8C">
      <w:pPr>
        <w:shd w:val="clear" w:color="auto" w:fill="FFFFFF"/>
        <w:spacing w:after="0" w:line="240" w:lineRule="auto"/>
        <w:jc w:val="both"/>
        <w:rPr>
          <w:rFonts w:eastAsia="Times New Roman" w:cs="Arial"/>
          <w:color w:val="000000" w:themeColor="text1"/>
        </w:rPr>
      </w:pPr>
    </w:p>
    <w:tbl>
      <w:tblPr>
        <w:tblW w:w="0" w:type="auto"/>
        <w:tblInd w:w="1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71"/>
        <w:gridCol w:w="651"/>
        <w:gridCol w:w="651"/>
        <w:gridCol w:w="651"/>
        <w:gridCol w:w="651"/>
        <w:gridCol w:w="651"/>
      </w:tblGrid>
      <w:tr w:rsidR="006C5E8C" w:rsidTr="006C5E8C">
        <w:trPr>
          <w:trHeight w:val="261"/>
        </w:trPr>
        <w:tc>
          <w:tcPr>
            <w:tcW w:w="197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Transactions/Items</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A</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B</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C</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D</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E</w:t>
            </w:r>
          </w:p>
        </w:tc>
      </w:tr>
      <w:tr w:rsidR="006C5E8C" w:rsidTr="006C5E8C">
        <w:trPr>
          <w:trHeight w:val="261"/>
        </w:trPr>
        <w:tc>
          <w:tcPr>
            <w:tcW w:w="197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T1</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1</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1</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0</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0</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1</w:t>
            </w:r>
          </w:p>
        </w:tc>
      </w:tr>
      <w:tr w:rsidR="006C5E8C" w:rsidTr="006C5E8C">
        <w:trPr>
          <w:trHeight w:val="261"/>
        </w:trPr>
        <w:tc>
          <w:tcPr>
            <w:tcW w:w="197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T2</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0</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1</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1</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1</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0</w:t>
            </w:r>
          </w:p>
        </w:tc>
      </w:tr>
      <w:tr w:rsidR="006C5E8C" w:rsidTr="006C5E8C">
        <w:trPr>
          <w:trHeight w:val="261"/>
        </w:trPr>
        <w:tc>
          <w:tcPr>
            <w:tcW w:w="197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T3</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0</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0</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1</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0</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1</w:t>
            </w:r>
          </w:p>
        </w:tc>
      </w:tr>
      <w:tr w:rsidR="006C5E8C" w:rsidTr="006C5E8C">
        <w:trPr>
          <w:trHeight w:val="261"/>
        </w:trPr>
        <w:tc>
          <w:tcPr>
            <w:tcW w:w="197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T4</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1</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0</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1</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1</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0</w:t>
            </w:r>
          </w:p>
        </w:tc>
      </w:tr>
      <w:tr w:rsidR="006C5E8C" w:rsidTr="006C5E8C">
        <w:trPr>
          <w:trHeight w:val="261"/>
        </w:trPr>
        <w:tc>
          <w:tcPr>
            <w:tcW w:w="197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T5</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1</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1</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1</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1</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0</w:t>
            </w:r>
          </w:p>
        </w:tc>
      </w:tr>
      <w:tr w:rsidR="006C5E8C" w:rsidTr="006C5E8C">
        <w:trPr>
          <w:trHeight w:val="261"/>
        </w:trPr>
        <w:tc>
          <w:tcPr>
            <w:tcW w:w="197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T6</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1</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0</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0</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0</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1</w:t>
            </w:r>
          </w:p>
        </w:tc>
      </w:tr>
      <w:tr w:rsidR="006C5E8C" w:rsidTr="006C5E8C">
        <w:trPr>
          <w:trHeight w:val="261"/>
        </w:trPr>
        <w:tc>
          <w:tcPr>
            <w:tcW w:w="197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T7</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1</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1</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0</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0</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0</w:t>
            </w:r>
          </w:p>
        </w:tc>
      </w:tr>
      <w:tr w:rsidR="006C5E8C" w:rsidTr="006C5E8C">
        <w:trPr>
          <w:trHeight w:val="261"/>
        </w:trPr>
        <w:tc>
          <w:tcPr>
            <w:tcW w:w="197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T8</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1</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1</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1</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0</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0</w:t>
            </w:r>
          </w:p>
        </w:tc>
      </w:tr>
      <w:tr w:rsidR="006C5E8C" w:rsidTr="006C5E8C">
        <w:trPr>
          <w:trHeight w:val="261"/>
        </w:trPr>
        <w:tc>
          <w:tcPr>
            <w:tcW w:w="197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T9</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1</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0</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1</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1</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0</w:t>
            </w:r>
          </w:p>
        </w:tc>
      </w:tr>
      <w:tr w:rsidR="006C5E8C" w:rsidTr="006C5E8C">
        <w:trPr>
          <w:trHeight w:val="261"/>
        </w:trPr>
        <w:tc>
          <w:tcPr>
            <w:tcW w:w="197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T10</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0</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1</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0</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0</w:t>
            </w:r>
          </w:p>
        </w:tc>
        <w:tc>
          <w:tcPr>
            <w:tcW w:w="6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C5E8C" w:rsidRDefault="006C5E8C">
            <w:pPr>
              <w:spacing w:after="0" w:line="240" w:lineRule="auto"/>
              <w:jc w:val="both"/>
              <w:rPr>
                <w:rFonts w:eastAsia="Times New Roman" w:cs="Times New Roman"/>
                <w:color w:val="222222"/>
              </w:rPr>
            </w:pPr>
            <w:r>
              <w:rPr>
                <w:rFonts w:eastAsia="Times New Roman" w:cs="Times New Roman"/>
                <w:color w:val="222222"/>
              </w:rPr>
              <w:t>0</w:t>
            </w:r>
          </w:p>
        </w:tc>
      </w:tr>
    </w:tbl>
    <w:p w:rsidR="006C5E8C" w:rsidRDefault="006C5E8C" w:rsidP="006C5E8C">
      <w:pPr>
        <w:jc w:val="both"/>
      </w:pPr>
    </w:p>
    <w:p w:rsidR="006C5E8C" w:rsidRDefault="006C5E8C" w:rsidP="006C5E8C">
      <w:pPr>
        <w:spacing w:after="0"/>
        <w:jc w:val="both"/>
      </w:pPr>
      <w:r>
        <w:t>The CRS representation of the database:</w:t>
      </w:r>
    </w:p>
    <w:tbl>
      <w:tblPr>
        <w:tblStyle w:val="TableGrid"/>
        <w:tblW w:w="0" w:type="auto"/>
        <w:tblInd w:w="0" w:type="dxa"/>
        <w:tblLook w:val="04A0" w:firstRow="1" w:lastRow="0" w:firstColumn="1" w:lastColumn="0" w:noHBand="0" w:noVBand="1"/>
      </w:tblPr>
      <w:tblGrid>
        <w:gridCol w:w="1435"/>
        <w:gridCol w:w="540"/>
        <w:gridCol w:w="540"/>
        <w:gridCol w:w="540"/>
        <w:gridCol w:w="540"/>
        <w:gridCol w:w="540"/>
        <w:gridCol w:w="540"/>
        <w:gridCol w:w="540"/>
        <w:gridCol w:w="540"/>
        <w:gridCol w:w="540"/>
        <w:gridCol w:w="540"/>
        <w:gridCol w:w="540"/>
      </w:tblGrid>
      <w:tr w:rsidR="006C5E8C" w:rsidTr="006C5E8C">
        <w:tc>
          <w:tcPr>
            <w:tcW w:w="1435"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jc w:val="both"/>
            </w:pPr>
            <w:r>
              <w:t>Row Vector</w:t>
            </w:r>
          </w:p>
        </w:tc>
        <w:tc>
          <w:tcPr>
            <w:tcW w:w="540"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jc w:val="both"/>
            </w:pPr>
            <w:r>
              <w:t>0</w:t>
            </w:r>
          </w:p>
        </w:tc>
        <w:tc>
          <w:tcPr>
            <w:tcW w:w="540"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jc w:val="both"/>
            </w:pPr>
            <w:r>
              <w:t>3</w:t>
            </w:r>
          </w:p>
        </w:tc>
        <w:tc>
          <w:tcPr>
            <w:tcW w:w="540"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jc w:val="both"/>
            </w:pPr>
            <w:r>
              <w:t>6</w:t>
            </w:r>
          </w:p>
        </w:tc>
        <w:tc>
          <w:tcPr>
            <w:tcW w:w="540"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jc w:val="both"/>
            </w:pPr>
            <w:r>
              <w:t>8</w:t>
            </w:r>
          </w:p>
        </w:tc>
        <w:tc>
          <w:tcPr>
            <w:tcW w:w="540"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jc w:val="both"/>
            </w:pPr>
            <w:r>
              <w:t>11</w:t>
            </w:r>
          </w:p>
        </w:tc>
        <w:tc>
          <w:tcPr>
            <w:tcW w:w="540"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jc w:val="both"/>
            </w:pPr>
            <w:r>
              <w:t>15</w:t>
            </w:r>
          </w:p>
        </w:tc>
        <w:tc>
          <w:tcPr>
            <w:tcW w:w="540"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jc w:val="both"/>
            </w:pPr>
            <w:r>
              <w:t>17</w:t>
            </w:r>
          </w:p>
        </w:tc>
        <w:tc>
          <w:tcPr>
            <w:tcW w:w="540"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jc w:val="both"/>
            </w:pPr>
            <w:r>
              <w:t>19</w:t>
            </w:r>
          </w:p>
        </w:tc>
        <w:tc>
          <w:tcPr>
            <w:tcW w:w="540"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jc w:val="both"/>
            </w:pPr>
            <w:r>
              <w:t>22</w:t>
            </w:r>
          </w:p>
        </w:tc>
        <w:tc>
          <w:tcPr>
            <w:tcW w:w="540"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jc w:val="both"/>
            </w:pPr>
            <w:r>
              <w:t>25</w:t>
            </w:r>
          </w:p>
        </w:tc>
        <w:tc>
          <w:tcPr>
            <w:tcW w:w="540" w:type="dxa"/>
            <w:tcBorders>
              <w:top w:val="single" w:sz="4" w:space="0" w:color="auto"/>
              <w:left w:val="single" w:sz="4" w:space="0" w:color="auto"/>
              <w:bottom w:val="single" w:sz="4" w:space="0" w:color="auto"/>
              <w:right w:val="single" w:sz="4" w:space="0" w:color="auto"/>
            </w:tcBorders>
            <w:hideMark/>
          </w:tcPr>
          <w:p w:rsidR="006C5E8C" w:rsidRDefault="006C5E8C">
            <w:pPr>
              <w:spacing w:line="240" w:lineRule="auto"/>
              <w:jc w:val="both"/>
            </w:pPr>
            <w:r>
              <w:t>26</w:t>
            </w:r>
          </w:p>
        </w:tc>
      </w:tr>
    </w:tbl>
    <w:p w:rsidR="006C5E8C" w:rsidRDefault="006C5E8C" w:rsidP="006C5E8C">
      <w:pPr>
        <w:jc w:val="both"/>
      </w:pPr>
    </w:p>
    <w:tbl>
      <w:tblPr>
        <w:tblW w:w="10700" w:type="dxa"/>
        <w:shd w:val="clear" w:color="auto" w:fill="FFFFFF"/>
        <w:tblCellMar>
          <w:left w:w="0" w:type="dxa"/>
          <w:right w:w="0" w:type="dxa"/>
        </w:tblCellMar>
        <w:tblLook w:val="04A0" w:firstRow="1" w:lastRow="0" w:firstColumn="1" w:lastColumn="0" w:noHBand="0" w:noVBand="1"/>
      </w:tblPr>
      <w:tblGrid>
        <w:gridCol w:w="1611"/>
        <w:gridCol w:w="349"/>
        <w:gridCol w:w="350"/>
        <w:gridCol w:w="349"/>
        <w:gridCol w:w="350"/>
        <w:gridCol w:w="349"/>
        <w:gridCol w:w="350"/>
        <w:gridCol w:w="350"/>
        <w:gridCol w:w="349"/>
        <w:gridCol w:w="350"/>
        <w:gridCol w:w="349"/>
        <w:gridCol w:w="350"/>
        <w:gridCol w:w="349"/>
        <w:gridCol w:w="350"/>
        <w:gridCol w:w="350"/>
        <w:gridCol w:w="349"/>
        <w:gridCol w:w="350"/>
        <w:gridCol w:w="349"/>
        <w:gridCol w:w="350"/>
        <w:gridCol w:w="349"/>
        <w:gridCol w:w="350"/>
        <w:gridCol w:w="350"/>
        <w:gridCol w:w="349"/>
        <w:gridCol w:w="350"/>
        <w:gridCol w:w="349"/>
        <w:gridCol w:w="350"/>
        <w:gridCol w:w="350"/>
      </w:tblGrid>
      <w:tr w:rsidR="006C5E8C" w:rsidTr="006C5E8C">
        <w:trPr>
          <w:trHeight w:val="313"/>
        </w:trPr>
        <w:tc>
          <w:tcPr>
            <w:tcW w:w="161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Column Vector</w:t>
            </w:r>
          </w:p>
        </w:tc>
        <w:tc>
          <w:tcPr>
            <w:tcW w:w="34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0</w:t>
            </w:r>
          </w:p>
        </w:tc>
        <w:tc>
          <w:tcPr>
            <w:tcW w:w="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3</w:t>
            </w:r>
          </w:p>
        </w:tc>
        <w:tc>
          <w:tcPr>
            <w:tcW w:w="34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4</w:t>
            </w:r>
          </w:p>
        </w:tc>
        <w:tc>
          <w:tcPr>
            <w:tcW w:w="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5</w:t>
            </w:r>
          </w:p>
        </w:tc>
        <w:tc>
          <w:tcPr>
            <w:tcW w:w="349"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6</w:t>
            </w:r>
          </w:p>
        </w:tc>
        <w:tc>
          <w:tcPr>
            <w:tcW w:w="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7</w:t>
            </w:r>
          </w:p>
        </w:tc>
        <w:tc>
          <w:tcPr>
            <w:tcW w:w="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8</w:t>
            </w:r>
          </w:p>
        </w:tc>
        <w:tc>
          <w:tcPr>
            <w:tcW w:w="34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0</w:t>
            </w:r>
          </w:p>
        </w:tc>
        <w:tc>
          <w:tcPr>
            <w:tcW w:w="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1</w:t>
            </w:r>
          </w:p>
        </w:tc>
        <w:tc>
          <w:tcPr>
            <w:tcW w:w="34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4</w:t>
            </w:r>
          </w:p>
        </w:tc>
        <w:tc>
          <w:tcPr>
            <w:tcW w:w="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6</w:t>
            </w:r>
          </w:p>
        </w:tc>
        <w:tc>
          <w:tcPr>
            <w:tcW w:w="34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7</w:t>
            </w:r>
          </w:p>
        </w:tc>
        <w:tc>
          <w:tcPr>
            <w:tcW w:w="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9</w:t>
            </w:r>
          </w:p>
        </w:tc>
        <w:tc>
          <w:tcPr>
            <w:tcW w:w="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1</w:t>
            </w:r>
          </w:p>
        </w:tc>
        <w:tc>
          <w:tcPr>
            <w:tcW w:w="34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2</w:t>
            </w:r>
          </w:p>
        </w:tc>
        <w:tc>
          <w:tcPr>
            <w:tcW w:w="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3</w:t>
            </w:r>
          </w:p>
        </w:tc>
        <w:tc>
          <w:tcPr>
            <w:tcW w:w="34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4</w:t>
            </w:r>
          </w:p>
        </w:tc>
        <w:tc>
          <w:tcPr>
            <w:tcW w:w="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7</w:t>
            </w:r>
          </w:p>
        </w:tc>
        <w:tc>
          <w:tcPr>
            <w:tcW w:w="34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8</w:t>
            </w:r>
          </w:p>
        </w:tc>
        <w:tc>
          <w:tcPr>
            <w:tcW w:w="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1</w:t>
            </w:r>
          </w:p>
        </w:tc>
        <w:tc>
          <w:tcPr>
            <w:tcW w:w="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3</w:t>
            </w:r>
          </w:p>
        </w:tc>
        <w:tc>
          <w:tcPr>
            <w:tcW w:w="34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4</w:t>
            </w:r>
          </w:p>
        </w:tc>
        <w:tc>
          <w:tcPr>
            <w:tcW w:w="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8</w:t>
            </w:r>
          </w:p>
        </w:tc>
        <w:tc>
          <w:tcPr>
            <w:tcW w:w="34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0</w:t>
            </w:r>
          </w:p>
        </w:tc>
        <w:tc>
          <w:tcPr>
            <w:tcW w:w="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2</w:t>
            </w:r>
          </w:p>
        </w:tc>
        <w:tc>
          <w:tcPr>
            <w:tcW w:w="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5</w:t>
            </w:r>
          </w:p>
        </w:tc>
      </w:tr>
    </w:tbl>
    <w:p w:rsidR="006C5E8C" w:rsidRDefault="006C5E8C" w:rsidP="006C5E8C">
      <w:pPr>
        <w:spacing w:after="0"/>
        <w:jc w:val="both"/>
      </w:pPr>
    </w:p>
    <w:p w:rsidR="006C5E8C" w:rsidRDefault="006C5E8C" w:rsidP="006C5E8C">
      <w:pPr>
        <w:spacing w:after="0"/>
        <w:jc w:val="both"/>
      </w:pPr>
      <w:r>
        <w:t>The CRS representation of the database is created during the initial pass of the database, when C</w:t>
      </w:r>
      <w:r>
        <w:rPr>
          <w:vertAlign w:val="subscript"/>
        </w:rPr>
        <w:t>1</w:t>
      </w:r>
      <w:r>
        <w:t xml:space="preserve"> is created. The support for each subsequent candidate itemsets can be calculated from the above representation by using column vector in the index range provided by row vector.</w:t>
      </w:r>
    </w:p>
    <w:p w:rsidR="006C5E8C" w:rsidRDefault="006C5E8C" w:rsidP="006C5E8C">
      <w:pPr>
        <w:spacing w:after="0"/>
        <w:jc w:val="both"/>
      </w:pPr>
    </w:p>
    <w:p w:rsidR="006C5E8C" w:rsidRDefault="006C5E8C" w:rsidP="006C5E8C">
      <w:pPr>
        <w:spacing w:before="240" w:after="0"/>
        <w:jc w:val="both"/>
        <w:rPr>
          <w:b/>
          <w:sz w:val="28"/>
          <w:szCs w:val="28"/>
        </w:rPr>
      </w:pPr>
    </w:p>
    <w:p w:rsidR="006C5E8C" w:rsidRDefault="006C5E8C" w:rsidP="006C5E8C">
      <w:pPr>
        <w:spacing w:before="240" w:after="0"/>
        <w:jc w:val="both"/>
        <w:rPr>
          <w:b/>
          <w:sz w:val="28"/>
          <w:szCs w:val="28"/>
        </w:rPr>
      </w:pPr>
      <w:r>
        <w:rPr>
          <w:b/>
          <w:sz w:val="28"/>
          <w:szCs w:val="28"/>
        </w:rPr>
        <w:t>Frequent Itemsets pruning:</w:t>
      </w:r>
    </w:p>
    <w:p w:rsidR="006C5E8C" w:rsidRDefault="006C5E8C" w:rsidP="006C5E8C">
      <w:pPr>
        <w:spacing w:before="240" w:after="0"/>
        <w:jc w:val="both"/>
      </w:pPr>
      <w:r>
        <w:lastRenderedPageBreak/>
        <w:t>Before generating the next level candidate itemsets (</w:t>
      </w:r>
      <w:r>
        <w:rPr>
          <w:bCs/>
        </w:rPr>
        <w:t>C</w:t>
      </w:r>
      <w:r>
        <w:rPr>
          <w:bCs/>
          <w:vertAlign w:val="subscript"/>
        </w:rPr>
        <w:t>k+1</w:t>
      </w:r>
      <w:r>
        <w:t>) from current level frequent itemsets (</w:t>
      </w:r>
      <w:r>
        <w:rPr>
          <w:bCs/>
        </w:rPr>
        <w:t>F</w:t>
      </w:r>
      <w:r>
        <w:rPr>
          <w:bCs/>
          <w:vertAlign w:val="subscript"/>
        </w:rPr>
        <w:t>k</w:t>
      </w:r>
      <w:r>
        <w:t>), the current level frequent itemsets can be pruned further based on the following logic, which is based on the downward closure property.</w:t>
      </w:r>
    </w:p>
    <w:p w:rsidR="006C5E8C" w:rsidRDefault="006C5E8C" w:rsidP="006C5E8C">
      <w:pPr>
        <w:spacing w:after="0"/>
        <w:jc w:val="both"/>
      </w:pPr>
      <w:r>
        <w:t> </w:t>
      </w:r>
    </w:p>
    <w:p w:rsidR="006C5E8C" w:rsidRDefault="006C5E8C" w:rsidP="006C5E8C">
      <w:pPr>
        <w:pStyle w:val="ListParagraph"/>
        <w:numPr>
          <w:ilvl w:val="0"/>
          <w:numId w:val="3"/>
        </w:numPr>
        <w:spacing w:after="0"/>
        <w:jc w:val="both"/>
      </w:pPr>
      <w:r>
        <w:rPr>
          <w:bCs/>
        </w:rPr>
        <w:t>C</w:t>
      </w:r>
      <w:r>
        <w:rPr>
          <w:bCs/>
          <w:vertAlign w:val="subscript"/>
        </w:rPr>
        <w:t>k+1</w:t>
      </w:r>
      <w:r>
        <w:t> will contain a k+1-itemsets </w:t>
      </w:r>
      <w:r>
        <w:rPr>
          <w:bCs/>
          <w:i/>
          <w:iCs/>
        </w:rPr>
        <w:t>I</w:t>
      </w:r>
      <w:r>
        <w:t> only if all the subsets of length k of</w:t>
      </w:r>
      <w:r>
        <w:rPr>
          <w:bCs/>
          <w:i/>
          <w:iCs/>
        </w:rPr>
        <w:t> I</w:t>
      </w:r>
      <w:r>
        <w:t> belong to frequent itemsets </w:t>
      </w:r>
      <w:r>
        <w:rPr>
          <w:bCs/>
        </w:rPr>
        <w:t>F</w:t>
      </w:r>
      <w:r>
        <w:rPr>
          <w:bCs/>
          <w:vertAlign w:val="subscript"/>
        </w:rPr>
        <w:t>k</w:t>
      </w:r>
      <w:r>
        <w:t>.</w:t>
      </w:r>
    </w:p>
    <w:p w:rsidR="006C5E8C" w:rsidRDefault="006C5E8C" w:rsidP="006C5E8C">
      <w:pPr>
        <w:pStyle w:val="ListParagraph"/>
        <w:numPr>
          <w:ilvl w:val="0"/>
          <w:numId w:val="3"/>
        </w:numPr>
        <w:spacing w:after="0"/>
        <w:jc w:val="both"/>
        <w:rPr>
          <w:bCs/>
        </w:rPr>
      </w:pPr>
      <w:r>
        <w:t xml:space="preserve">b) There are </w:t>
      </w:r>
      <w:r>
        <w:rPr>
          <w:vertAlign w:val="superscript"/>
        </w:rPr>
        <w:t>k+1</w:t>
      </w:r>
      <w:r>
        <w:t>C</w:t>
      </w:r>
      <w:r>
        <w:rPr>
          <w:vertAlign w:val="subscript"/>
        </w:rPr>
        <w:t>k</w:t>
      </w:r>
      <w:r>
        <w:t xml:space="preserve"> = k+1</w:t>
      </w:r>
      <w:r>
        <w:rPr>
          <w:vertAlign w:val="subscript"/>
        </w:rPr>
        <w:t xml:space="preserve">   </w:t>
      </w:r>
      <w:r>
        <w:t>subsets of length k of a k+1-itemset, but a transaction item </w:t>
      </w:r>
      <w:proofErr w:type="gramStart"/>
      <w:r>
        <w:rPr>
          <w:bCs/>
          <w:i/>
          <w:iCs/>
        </w:rPr>
        <w:t>I</w:t>
      </w:r>
      <w:r>
        <w:rPr>
          <w:bCs/>
          <w:i/>
          <w:iCs/>
          <w:vertAlign w:val="subscript"/>
        </w:rPr>
        <w:t>i</w:t>
      </w:r>
      <w:r>
        <w:t> ,</w:t>
      </w:r>
      <w:proofErr w:type="gramEnd"/>
      <w:r>
        <w:t xml:space="preserve"> contained in the k+1-itemset, will appear only in k of these subsets. Hence, the count of the item </w:t>
      </w:r>
      <w:proofErr w:type="gramStart"/>
      <w:r>
        <w:rPr>
          <w:bCs/>
          <w:i/>
          <w:iCs/>
        </w:rPr>
        <w:t>I</w:t>
      </w:r>
      <w:r>
        <w:rPr>
          <w:bCs/>
          <w:i/>
          <w:iCs/>
          <w:vertAlign w:val="subscript"/>
        </w:rPr>
        <w:t>i</w:t>
      </w:r>
      <w:r>
        <w:t> ,</w:t>
      </w:r>
      <w:proofErr w:type="gramEnd"/>
      <w:r>
        <w:t xml:space="preserve"> calculated by considering all the k subsets, will be </w:t>
      </w:r>
      <w:r>
        <w:rPr>
          <w:bCs/>
        </w:rPr>
        <w:t>k.</w:t>
      </w:r>
    </w:p>
    <w:p w:rsidR="006C5E8C" w:rsidRDefault="006C5E8C" w:rsidP="006C5E8C">
      <w:pPr>
        <w:pStyle w:val="ListParagraph"/>
        <w:numPr>
          <w:ilvl w:val="0"/>
          <w:numId w:val="3"/>
        </w:numPr>
        <w:spacing w:after="0"/>
        <w:jc w:val="both"/>
      </w:pPr>
      <w:r>
        <w:rPr>
          <w:bCs/>
        </w:rPr>
        <w:t>The k+1 subsets of k+1-itemset in F</w:t>
      </w:r>
      <w:r>
        <w:rPr>
          <w:bCs/>
          <w:vertAlign w:val="subscript"/>
        </w:rPr>
        <w:t xml:space="preserve">k+1 </w:t>
      </w:r>
      <w:r>
        <w:rPr>
          <w:bCs/>
        </w:rPr>
        <w:t>will be found F</w:t>
      </w:r>
      <w:r>
        <w:rPr>
          <w:bCs/>
          <w:vertAlign w:val="subscript"/>
        </w:rPr>
        <w:t>k</w:t>
      </w:r>
      <w:r>
        <w:rPr>
          <w:bCs/>
        </w:rPr>
        <w:t>. Hence, an item contained in one of k+1 subsets will appear in at least k itemsets in F</w:t>
      </w:r>
      <w:r>
        <w:rPr>
          <w:bCs/>
          <w:vertAlign w:val="subscript"/>
        </w:rPr>
        <w:t>k</w:t>
      </w:r>
      <w:r>
        <w:rPr>
          <w:bCs/>
        </w:rPr>
        <w:t>. Therefore, we derive a condition that if an item count in F</w:t>
      </w:r>
      <w:r>
        <w:rPr>
          <w:bCs/>
          <w:vertAlign w:val="subscript"/>
        </w:rPr>
        <w:t>k</w:t>
      </w:r>
      <w:r>
        <w:rPr>
          <w:bCs/>
        </w:rPr>
        <w:t xml:space="preserve"> is less than k, then itemsets containing that item cannot generate Fk+1 itemsets and can be pruned.</w:t>
      </w:r>
    </w:p>
    <w:p w:rsidR="006C5E8C" w:rsidRDefault="006C5E8C" w:rsidP="006C5E8C">
      <w:pPr>
        <w:spacing w:after="0"/>
        <w:jc w:val="both"/>
      </w:pPr>
      <w:r>
        <w:t> </w:t>
      </w:r>
    </w:p>
    <w:p w:rsidR="006C5E8C" w:rsidRDefault="006C5E8C" w:rsidP="006C5E8C">
      <w:pPr>
        <w:spacing w:after="0"/>
        <w:jc w:val="both"/>
      </w:pPr>
      <w:r>
        <w:t>Count of the all the items appearing in itemsets in </w:t>
      </w:r>
      <w:r>
        <w:rPr>
          <w:bCs/>
        </w:rPr>
        <w:t>F</w:t>
      </w:r>
      <w:r>
        <w:rPr>
          <w:bCs/>
          <w:vertAlign w:val="subscript"/>
        </w:rPr>
        <w:t>k</w:t>
      </w:r>
      <w:r>
        <w:rPr>
          <w:vertAlign w:val="subscript"/>
        </w:rPr>
        <w:t> </w:t>
      </w:r>
      <w:r>
        <w:t>is calculated and if an item </w:t>
      </w:r>
      <w:r>
        <w:rPr>
          <w:bCs/>
          <w:i/>
          <w:iCs/>
        </w:rPr>
        <w:t>I</w:t>
      </w:r>
      <w:r>
        <w:rPr>
          <w:bCs/>
          <w:i/>
          <w:iCs/>
          <w:vertAlign w:val="subscript"/>
        </w:rPr>
        <w:t>i</w:t>
      </w:r>
      <w:r>
        <w:rPr>
          <w:bCs/>
          <w:i/>
          <w:iCs/>
        </w:rPr>
        <w:t> </w:t>
      </w:r>
      <w:r>
        <w:t>exists for which the count is less than k then all the itemsets in </w:t>
      </w:r>
      <w:r>
        <w:rPr>
          <w:bCs/>
        </w:rPr>
        <w:t>F</w:t>
      </w:r>
      <w:r>
        <w:rPr>
          <w:bCs/>
          <w:vertAlign w:val="subscript"/>
        </w:rPr>
        <w:t>k</w:t>
      </w:r>
      <w:r>
        <w:t> containing </w:t>
      </w:r>
      <w:r>
        <w:rPr>
          <w:bCs/>
          <w:i/>
          <w:iCs/>
        </w:rPr>
        <w:t>I</w:t>
      </w:r>
      <w:r>
        <w:rPr>
          <w:bCs/>
          <w:i/>
          <w:iCs/>
          <w:vertAlign w:val="subscript"/>
        </w:rPr>
        <w:t>i</w:t>
      </w:r>
      <w:r>
        <w:t> can be ignored during generation of </w:t>
      </w:r>
      <w:r>
        <w:rPr>
          <w:bCs/>
        </w:rPr>
        <w:t>C</w:t>
      </w:r>
      <w:r>
        <w:rPr>
          <w:bCs/>
          <w:vertAlign w:val="subscript"/>
        </w:rPr>
        <w:t>k+1</w:t>
      </w:r>
      <w:r>
        <w:t>.</w:t>
      </w:r>
    </w:p>
    <w:p w:rsidR="006C5E8C" w:rsidRDefault="006C5E8C" w:rsidP="006C5E8C">
      <w:pPr>
        <w:spacing w:after="0"/>
        <w:jc w:val="both"/>
      </w:pPr>
      <w:r>
        <w:t> </w:t>
      </w:r>
    </w:p>
    <w:p w:rsidR="006C5E8C" w:rsidRDefault="006C5E8C" w:rsidP="006C5E8C">
      <w:pPr>
        <w:spacing w:after="0"/>
        <w:jc w:val="both"/>
      </w:pPr>
      <w:r>
        <w:t>For e.g. consider the database presented above:</w:t>
      </w:r>
    </w:p>
    <w:p w:rsidR="006C5E8C" w:rsidRDefault="006C5E8C" w:rsidP="006C5E8C">
      <w:pPr>
        <w:spacing w:after="0"/>
        <w:jc w:val="both"/>
      </w:pPr>
      <w:r>
        <w:t> </w:t>
      </w:r>
    </w:p>
    <w:p w:rsidR="006C5E8C" w:rsidRDefault="006C5E8C" w:rsidP="006C5E8C">
      <w:pPr>
        <w:spacing w:after="0"/>
        <w:jc w:val="both"/>
      </w:pPr>
      <w:r>
        <w:t xml:space="preserve">The frequent 2-Itemsets </w:t>
      </w:r>
      <w:proofErr w:type="gramStart"/>
      <w:r>
        <w:t>F</w:t>
      </w:r>
      <w:r>
        <w:rPr>
          <w:vertAlign w:val="subscript"/>
        </w:rPr>
        <w:t>2</w:t>
      </w:r>
      <w:r>
        <w:rPr>
          <w:b/>
          <w:bCs/>
          <w:vertAlign w:val="subscript"/>
        </w:rPr>
        <w:t> </w:t>
      </w:r>
      <w:r>
        <w:t>:</w:t>
      </w:r>
      <w:proofErr w:type="gramEnd"/>
    </w:p>
    <w:tbl>
      <w:tblPr>
        <w:tblW w:w="0" w:type="auto"/>
        <w:jc w:val="center"/>
        <w:shd w:val="clear" w:color="auto" w:fill="FFFFFF"/>
        <w:tblCellMar>
          <w:left w:w="0" w:type="dxa"/>
          <w:right w:w="0" w:type="dxa"/>
        </w:tblCellMar>
        <w:tblLook w:val="04A0" w:firstRow="1" w:lastRow="0" w:firstColumn="1" w:lastColumn="0" w:noHBand="0" w:noVBand="1"/>
      </w:tblPr>
      <w:tblGrid>
        <w:gridCol w:w="1181"/>
        <w:gridCol w:w="1181"/>
      </w:tblGrid>
      <w:tr w:rsidR="006C5E8C" w:rsidTr="006C5E8C">
        <w:trPr>
          <w:trHeight w:val="319"/>
          <w:jc w:val="center"/>
        </w:trPr>
        <w:tc>
          <w:tcPr>
            <w:tcW w:w="118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A,B</w:t>
            </w:r>
          </w:p>
        </w:tc>
        <w:tc>
          <w:tcPr>
            <w:tcW w:w="118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4</w:t>
            </w:r>
          </w:p>
        </w:tc>
      </w:tr>
      <w:tr w:rsidR="006C5E8C" w:rsidTr="006C5E8C">
        <w:trPr>
          <w:trHeight w:val="319"/>
          <w:jc w:val="center"/>
        </w:trPr>
        <w:tc>
          <w:tcPr>
            <w:tcW w:w="118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A,C</w:t>
            </w:r>
          </w:p>
        </w:tc>
        <w:tc>
          <w:tcPr>
            <w:tcW w:w="11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4</w:t>
            </w:r>
          </w:p>
        </w:tc>
      </w:tr>
      <w:tr w:rsidR="006C5E8C" w:rsidTr="006C5E8C">
        <w:trPr>
          <w:trHeight w:val="319"/>
          <w:jc w:val="center"/>
        </w:trPr>
        <w:tc>
          <w:tcPr>
            <w:tcW w:w="118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A,D</w:t>
            </w:r>
          </w:p>
        </w:tc>
        <w:tc>
          <w:tcPr>
            <w:tcW w:w="11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3</w:t>
            </w:r>
          </w:p>
        </w:tc>
      </w:tr>
      <w:tr w:rsidR="006C5E8C" w:rsidTr="006C5E8C">
        <w:trPr>
          <w:trHeight w:val="319"/>
          <w:jc w:val="center"/>
        </w:trPr>
        <w:tc>
          <w:tcPr>
            <w:tcW w:w="118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A,E</w:t>
            </w:r>
          </w:p>
        </w:tc>
        <w:tc>
          <w:tcPr>
            <w:tcW w:w="11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2</w:t>
            </w:r>
          </w:p>
        </w:tc>
      </w:tr>
      <w:tr w:rsidR="006C5E8C" w:rsidTr="006C5E8C">
        <w:trPr>
          <w:trHeight w:val="319"/>
          <w:jc w:val="center"/>
        </w:trPr>
        <w:tc>
          <w:tcPr>
            <w:tcW w:w="118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B,C</w:t>
            </w:r>
          </w:p>
        </w:tc>
        <w:tc>
          <w:tcPr>
            <w:tcW w:w="11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3</w:t>
            </w:r>
          </w:p>
        </w:tc>
      </w:tr>
      <w:tr w:rsidR="006C5E8C" w:rsidTr="006C5E8C">
        <w:trPr>
          <w:trHeight w:val="319"/>
          <w:jc w:val="center"/>
        </w:trPr>
        <w:tc>
          <w:tcPr>
            <w:tcW w:w="118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B,D</w:t>
            </w:r>
          </w:p>
        </w:tc>
        <w:tc>
          <w:tcPr>
            <w:tcW w:w="11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2</w:t>
            </w:r>
          </w:p>
        </w:tc>
      </w:tr>
      <w:tr w:rsidR="006C5E8C" w:rsidTr="006C5E8C">
        <w:trPr>
          <w:trHeight w:val="319"/>
          <w:jc w:val="center"/>
        </w:trPr>
        <w:tc>
          <w:tcPr>
            <w:tcW w:w="118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C,D</w:t>
            </w:r>
          </w:p>
        </w:tc>
        <w:tc>
          <w:tcPr>
            <w:tcW w:w="11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4</w:t>
            </w:r>
          </w:p>
        </w:tc>
      </w:tr>
    </w:tbl>
    <w:p w:rsidR="006C5E8C" w:rsidRDefault="006C5E8C" w:rsidP="006C5E8C">
      <w:pPr>
        <w:spacing w:after="0"/>
        <w:jc w:val="both"/>
      </w:pPr>
      <w:r>
        <w:t> </w:t>
      </w:r>
    </w:p>
    <w:p w:rsidR="006C5E8C" w:rsidRDefault="006C5E8C" w:rsidP="006C5E8C">
      <w:pPr>
        <w:spacing w:after="0"/>
        <w:jc w:val="both"/>
      </w:pPr>
      <w:r>
        <w:t>The count of all the items in </w:t>
      </w:r>
      <w:r>
        <w:rPr>
          <w:bCs/>
        </w:rPr>
        <w:t>F</w:t>
      </w:r>
      <w:r>
        <w:rPr>
          <w:bCs/>
          <w:vertAlign w:val="subscript"/>
        </w:rPr>
        <w:t>2</w:t>
      </w:r>
      <w:r>
        <w:t>:</w:t>
      </w:r>
    </w:p>
    <w:tbl>
      <w:tblPr>
        <w:tblW w:w="0" w:type="auto"/>
        <w:tblInd w:w="4136" w:type="dxa"/>
        <w:shd w:val="clear" w:color="auto" w:fill="FFFFFF"/>
        <w:tblCellMar>
          <w:left w:w="0" w:type="dxa"/>
          <w:right w:w="0" w:type="dxa"/>
        </w:tblCellMar>
        <w:tblLook w:val="04A0" w:firstRow="1" w:lastRow="0" w:firstColumn="1" w:lastColumn="0" w:noHBand="0" w:noVBand="1"/>
      </w:tblPr>
      <w:tblGrid>
        <w:gridCol w:w="534"/>
        <w:gridCol w:w="534"/>
      </w:tblGrid>
      <w:tr w:rsidR="006C5E8C" w:rsidTr="006C5E8C">
        <w:trPr>
          <w:trHeight w:val="318"/>
        </w:trPr>
        <w:tc>
          <w:tcPr>
            <w:tcW w:w="5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A</w:t>
            </w:r>
          </w:p>
        </w:tc>
        <w:tc>
          <w:tcPr>
            <w:tcW w:w="5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4</w:t>
            </w:r>
          </w:p>
        </w:tc>
      </w:tr>
      <w:tr w:rsidR="006C5E8C" w:rsidTr="006C5E8C">
        <w:trPr>
          <w:trHeight w:val="318"/>
        </w:trPr>
        <w:tc>
          <w:tcPr>
            <w:tcW w:w="5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B</w:t>
            </w:r>
          </w:p>
        </w:tc>
        <w:tc>
          <w:tcPr>
            <w:tcW w:w="5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3</w:t>
            </w:r>
          </w:p>
        </w:tc>
      </w:tr>
      <w:tr w:rsidR="006C5E8C" w:rsidTr="006C5E8C">
        <w:trPr>
          <w:trHeight w:val="318"/>
        </w:trPr>
        <w:tc>
          <w:tcPr>
            <w:tcW w:w="5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C</w:t>
            </w:r>
          </w:p>
        </w:tc>
        <w:tc>
          <w:tcPr>
            <w:tcW w:w="5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3</w:t>
            </w:r>
          </w:p>
        </w:tc>
      </w:tr>
      <w:tr w:rsidR="006C5E8C" w:rsidTr="006C5E8C">
        <w:trPr>
          <w:trHeight w:val="318"/>
        </w:trPr>
        <w:tc>
          <w:tcPr>
            <w:tcW w:w="5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D</w:t>
            </w:r>
          </w:p>
        </w:tc>
        <w:tc>
          <w:tcPr>
            <w:tcW w:w="5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3</w:t>
            </w:r>
          </w:p>
        </w:tc>
      </w:tr>
      <w:tr w:rsidR="006C5E8C" w:rsidTr="006C5E8C">
        <w:trPr>
          <w:trHeight w:val="318"/>
        </w:trPr>
        <w:tc>
          <w:tcPr>
            <w:tcW w:w="5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E</w:t>
            </w:r>
          </w:p>
        </w:tc>
        <w:tc>
          <w:tcPr>
            <w:tcW w:w="5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5E8C" w:rsidRDefault="006C5E8C">
            <w:pPr>
              <w:spacing w:after="0"/>
              <w:jc w:val="both"/>
            </w:pPr>
            <w:r>
              <w:t>1</w:t>
            </w:r>
          </w:p>
        </w:tc>
      </w:tr>
    </w:tbl>
    <w:p w:rsidR="006C5E8C" w:rsidRDefault="006C5E8C" w:rsidP="006C5E8C">
      <w:pPr>
        <w:spacing w:after="0"/>
        <w:jc w:val="both"/>
      </w:pPr>
      <w:r>
        <w:t> </w:t>
      </w:r>
    </w:p>
    <w:p w:rsidR="006C5E8C" w:rsidRDefault="006C5E8C" w:rsidP="006C5E8C">
      <w:pPr>
        <w:spacing w:after="0"/>
        <w:jc w:val="both"/>
      </w:pPr>
      <w:r>
        <w:t>Since the count of </w:t>
      </w:r>
      <w:r>
        <w:rPr>
          <w:bCs/>
        </w:rPr>
        <w:t>E</w:t>
      </w:r>
      <w:r>
        <w:t> is less than 2, itemsets containing E in </w:t>
      </w:r>
      <w:proofErr w:type="gramStart"/>
      <w:r>
        <w:rPr>
          <w:bCs/>
        </w:rPr>
        <w:t>F</w:t>
      </w:r>
      <w:r>
        <w:rPr>
          <w:bCs/>
          <w:vertAlign w:val="subscript"/>
        </w:rPr>
        <w:t>2  </w:t>
      </w:r>
      <w:r>
        <w:t>(</w:t>
      </w:r>
      <w:proofErr w:type="gramEnd"/>
      <w:r>
        <w:t>{A, E})</w:t>
      </w:r>
      <w:r>
        <w:rPr>
          <w:vertAlign w:val="subscript"/>
        </w:rPr>
        <w:t> </w:t>
      </w:r>
      <w:r>
        <w:t xml:space="preserve">can be purged. </w:t>
      </w:r>
    </w:p>
    <w:p w:rsidR="006C5E8C" w:rsidRDefault="006C5E8C" w:rsidP="006C5E8C">
      <w:pPr>
        <w:spacing w:after="0"/>
        <w:jc w:val="both"/>
      </w:pPr>
      <w:r>
        <w:t>This technique results in reduced number of candidate itemsets (C</w:t>
      </w:r>
      <w:r>
        <w:rPr>
          <w:vertAlign w:val="subscript"/>
        </w:rPr>
        <w:t>k+1</w:t>
      </w:r>
      <w:r>
        <w:t>) and speeds up the process.</w:t>
      </w:r>
    </w:p>
    <w:p w:rsidR="006C5E8C" w:rsidRDefault="006C5E8C" w:rsidP="006C5E8C">
      <w:pPr>
        <w:spacing w:after="0"/>
        <w:jc w:val="both"/>
      </w:pPr>
    </w:p>
    <w:p w:rsidR="006C5E8C" w:rsidRDefault="006C5E8C" w:rsidP="006C5E8C">
      <w:pPr>
        <w:spacing w:after="0"/>
        <w:jc w:val="both"/>
      </w:pPr>
    </w:p>
    <w:p w:rsidR="006C5E8C" w:rsidRDefault="006C5E8C" w:rsidP="006C5E8C">
      <w:pPr>
        <w:spacing w:after="0"/>
        <w:jc w:val="both"/>
      </w:pPr>
    </w:p>
    <w:p w:rsidR="004E52EA" w:rsidRDefault="004E52EA" w:rsidP="006C5E8C">
      <w:pPr>
        <w:spacing w:after="0"/>
        <w:jc w:val="both"/>
        <w:rPr>
          <w:b/>
          <w:sz w:val="28"/>
          <w:szCs w:val="28"/>
        </w:rPr>
      </w:pPr>
    </w:p>
    <w:p w:rsidR="004E52EA" w:rsidRDefault="004E52EA" w:rsidP="006C5E8C">
      <w:pPr>
        <w:spacing w:after="0"/>
        <w:jc w:val="both"/>
        <w:rPr>
          <w:b/>
          <w:sz w:val="28"/>
          <w:szCs w:val="28"/>
        </w:rPr>
      </w:pPr>
    </w:p>
    <w:p w:rsidR="006C5E8C" w:rsidRDefault="006C5E8C" w:rsidP="006C5E8C">
      <w:pPr>
        <w:spacing w:after="0"/>
        <w:jc w:val="both"/>
        <w:rPr>
          <w:b/>
          <w:sz w:val="28"/>
          <w:szCs w:val="28"/>
        </w:rPr>
      </w:pPr>
      <w:r>
        <w:rPr>
          <w:b/>
          <w:sz w:val="28"/>
          <w:szCs w:val="28"/>
        </w:rPr>
        <w:lastRenderedPageBreak/>
        <w:t>Results:</w:t>
      </w:r>
    </w:p>
    <w:p w:rsidR="006C5E8C" w:rsidRDefault="006C5E8C" w:rsidP="006C5E8C">
      <w:pPr>
        <w:spacing w:after="0"/>
        <w:jc w:val="both"/>
      </w:pPr>
      <w:r>
        <w:t>For comparing the performance of the modified Apriori Algorithm with the original Apriori Algorithm three market basket database were used. The tests were performed on a machine having Intel I7 processor and 8GB of ram.</w:t>
      </w:r>
    </w:p>
    <w:p w:rsidR="006C5E8C" w:rsidRDefault="006C5E8C" w:rsidP="006C5E8C">
      <w:pPr>
        <w:spacing w:after="0"/>
        <w:jc w:val="both"/>
      </w:pPr>
    </w:p>
    <w:p w:rsidR="006C5E8C" w:rsidRDefault="006C5E8C" w:rsidP="004E52EA">
      <w:pPr>
        <w:pStyle w:val="ListParagraph"/>
        <w:numPr>
          <w:ilvl w:val="0"/>
          <w:numId w:val="5"/>
        </w:numPr>
        <w:spacing w:after="0"/>
        <w:jc w:val="both"/>
      </w:pPr>
      <w:r>
        <w:t xml:space="preserve">The </w:t>
      </w:r>
      <w:r w:rsidR="00326936">
        <w:t>“T</w:t>
      </w:r>
      <w:r>
        <w:t>40I10D100K</w:t>
      </w:r>
      <w:r w:rsidR="00326936">
        <w:t>”</w:t>
      </w:r>
      <w:r>
        <w:t xml:space="preserve"> </w:t>
      </w:r>
      <w:r w:rsidR="00326936">
        <w:t xml:space="preserve">dataset </w:t>
      </w:r>
      <w:r>
        <w:t>contains</w:t>
      </w:r>
      <w:r w:rsidR="00901609">
        <w:t xml:space="preserve"> 100,000 transactions on 1000 different items</w:t>
      </w:r>
    </w:p>
    <w:p w:rsidR="006C5E8C" w:rsidRDefault="006C5E8C" w:rsidP="006C5E8C">
      <w:pPr>
        <w:spacing w:after="0"/>
        <w:jc w:val="center"/>
      </w:pPr>
      <w:r>
        <w:rPr>
          <w:noProof/>
        </w:rPr>
        <w:drawing>
          <wp:inline distT="0" distB="0" distL="0" distR="0" wp14:anchorId="44425CA6" wp14:editId="4CAB1CA1">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C5E8C" w:rsidRDefault="006C5E8C" w:rsidP="006C5E8C">
      <w:pPr>
        <w:spacing w:after="0"/>
        <w:jc w:val="both"/>
      </w:pPr>
    </w:p>
    <w:p w:rsidR="006C5E8C" w:rsidRDefault="006C5E8C" w:rsidP="006C5E8C">
      <w:pPr>
        <w:spacing w:after="0"/>
        <w:jc w:val="both"/>
      </w:pPr>
    </w:p>
    <w:p w:rsidR="006C5E8C" w:rsidRDefault="006C5E8C" w:rsidP="006C5E8C">
      <w:pPr>
        <w:spacing w:after="0"/>
        <w:jc w:val="both"/>
      </w:pPr>
    </w:p>
    <w:p w:rsidR="006C5E8C" w:rsidRDefault="006C5E8C" w:rsidP="004E52EA">
      <w:pPr>
        <w:pStyle w:val="ListParagraph"/>
        <w:numPr>
          <w:ilvl w:val="0"/>
          <w:numId w:val="5"/>
        </w:numPr>
        <w:spacing w:after="0"/>
        <w:jc w:val="both"/>
      </w:pPr>
      <w:r>
        <w:t>The “T10I4D100K” data</w:t>
      </w:r>
      <w:r w:rsidR="00326936">
        <w:t>set</w:t>
      </w:r>
      <w:r>
        <w:t xml:space="preserve"> contains 100,000 transactions, containing 1000 different items.</w:t>
      </w:r>
    </w:p>
    <w:p w:rsidR="006C5E8C" w:rsidRDefault="006C5E8C" w:rsidP="006C5E8C">
      <w:pPr>
        <w:spacing w:after="0"/>
        <w:jc w:val="center"/>
      </w:pPr>
      <w:r>
        <w:rPr>
          <w:noProof/>
        </w:rPr>
        <w:drawing>
          <wp:inline distT="0" distB="0" distL="0" distR="0" wp14:anchorId="6F8FC345" wp14:editId="208C87D0">
            <wp:extent cx="4975860" cy="3253740"/>
            <wp:effectExtent l="0" t="0" r="15240"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C5E8C" w:rsidRDefault="006C5E8C" w:rsidP="006C5E8C">
      <w:pPr>
        <w:spacing w:after="0"/>
        <w:jc w:val="both"/>
      </w:pPr>
    </w:p>
    <w:p w:rsidR="006C5E8C" w:rsidRDefault="006C5E8C" w:rsidP="006C5E8C">
      <w:pPr>
        <w:spacing w:after="0"/>
        <w:jc w:val="both"/>
      </w:pPr>
    </w:p>
    <w:p w:rsidR="006C5E8C" w:rsidRDefault="006C5E8C" w:rsidP="004E52EA">
      <w:pPr>
        <w:pStyle w:val="ListParagraph"/>
        <w:numPr>
          <w:ilvl w:val="0"/>
          <w:numId w:val="5"/>
        </w:numPr>
        <w:spacing w:after="0"/>
        <w:jc w:val="both"/>
      </w:pPr>
      <w:bookmarkStart w:id="0" w:name="_GoBack"/>
      <w:bookmarkEnd w:id="0"/>
      <w:r>
        <w:t>The “Retail” database contains 88,162 transactions, containing 16470 different items.</w:t>
      </w:r>
    </w:p>
    <w:p w:rsidR="006C5E8C" w:rsidRDefault="006C5E8C" w:rsidP="006C5E8C">
      <w:pPr>
        <w:spacing w:after="0"/>
        <w:jc w:val="center"/>
      </w:pPr>
      <w:r>
        <w:rPr>
          <w:noProof/>
        </w:rPr>
        <w:drawing>
          <wp:inline distT="0" distB="0" distL="0" distR="0" wp14:anchorId="40EC0684" wp14:editId="03D8175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C5E8C" w:rsidRDefault="006C5E8C" w:rsidP="006C5E8C">
      <w:pPr>
        <w:spacing w:after="0"/>
        <w:jc w:val="both"/>
      </w:pPr>
    </w:p>
    <w:p w:rsidR="006C5E8C" w:rsidRDefault="006C5E8C" w:rsidP="006C5E8C">
      <w:pPr>
        <w:spacing w:after="0"/>
        <w:jc w:val="both"/>
      </w:pPr>
    </w:p>
    <w:p w:rsidR="006C5E8C" w:rsidRDefault="006C5E8C" w:rsidP="006C5E8C">
      <w:pPr>
        <w:spacing w:after="0"/>
        <w:jc w:val="both"/>
      </w:pPr>
    </w:p>
    <w:p w:rsidR="006C5E8C" w:rsidRDefault="006C5E8C" w:rsidP="006C5E8C">
      <w:pPr>
        <w:spacing w:after="0"/>
        <w:jc w:val="both"/>
      </w:pPr>
    </w:p>
    <w:p w:rsidR="006C5E8C" w:rsidRDefault="006C5E8C" w:rsidP="006C5E8C">
      <w:pPr>
        <w:spacing w:after="0"/>
        <w:jc w:val="both"/>
      </w:pPr>
    </w:p>
    <w:p w:rsidR="006C5E8C" w:rsidRDefault="006C5E8C" w:rsidP="006C5E8C">
      <w:pPr>
        <w:spacing w:after="0"/>
        <w:jc w:val="both"/>
      </w:pPr>
    </w:p>
    <w:p w:rsidR="006C5E8C" w:rsidRDefault="006C5E8C" w:rsidP="006C5E8C">
      <w:pPr>
        <w:spacing w:after="0"/>
        <w:jc w:val="both"/>
      </w:pPr>
    </w:p>
    <w:p w:rsidR="006C5E8C" w:rsidRDefault="006C5E8C" w:rsidP="006C5E8C">
      <w:pPr>
        <w:spacing w:after="0"/>
        <w:jc w:val="both"/>
      </w:pPr>
    </w:p>
    <w:p w:rsidR="006C5E8C" w:rsidRDefault="006C5E8C" w:rsidP="006C5E8C">
      <w:pPr>
        <w:spacing w:after="0"/>
        <w:jc w:val="both"/>
      </w:pPr>
    </w:p>
    <w:p w:rsidR="006C5E8C" w:rsidRDefault="006C5E8C" w:rsidP="006C5E8C">
      <w:pPr>
        <w:spacing w:after="0"/>
        <w:jc w:val="both"/>
      </w:pPr>
    </w:p>
    <w:p w:rsidR="006C5E8C" w:rsidRDefault="006C5E8C" w:rsidP="006C5E8C">
      <w:pPr>
        <w:spacing w:after="0"/>
        <w:jc w:val="both"/>
      </w:pPr>
    </w:p>
    <w:p w:rsidR="006C5E8C" w:rsidRDefault="006C5E8C" w:rsidP="006C5E8C">
      <w:pPr>
        <w:spacing w:after="0"/>
        <w:jc w:val="both"/>
      </w:pPr>
    </w:p>
    <w:p w:rsidR="006C5E8C" w:rsidRDefault="006C5E8C" w:rsidP="006C5E8C">
      <w:pPr>
        <w:spacing w:after="0"/>
        <w:jc w:val="both"/>
      </w:pPr>
    </w:p>
    <w:p w:rsidR="006C5E8C" w:rsidRDefault="006C5E8C" w:rsidP="006C5E8C">
      <w:pPr>
        <w:spacing w:after="0"/>
        <w:jc w:val="both"/>
      </w:pPr>
    </w:p>
    <w:p w:rsidR="006C5E8C" w:rsidRDefault="006C5E8C" w:rsidP="006C5E8C">
      <w:pPr>
        <w:spacing w:after="0"/>
        <w:jc w:val="both"/>
      </w:pPr>
    </w:p>
    <w:p w:rsidR="006C5E8C" w:rsidRDefault="006C5E8C" w:rsidP="006C5E8C">
      <w:pPr>
        <w:spacing w:after="0"/>
        <w:jc w:val="both"/>
      </w:pPr>
    </w:p>
    <w:p w:rsidR="006C5E8C" w:rsidRDefault="006C5E8C" w:rsidP="006C5E8C">
      <w:pPr>
        <w:spacing w:after="0"/>
        <w:jc w:val="both"/>
      </w:pPr>
    </w:p>
    <w:p w:rsidR="006C5E8C" w:rsidRDefault="006C5E8C" w:rsidP="006C5E8C">
      <w:pPr>
        <w:spacing w:after="0"/>
        <w:jc w:val="both"/>
      </w:pPr>
    </w:p>
    <w:p w:rsidR="006C5E8C" w:rsidRDefault="006C5E8C" w:rsidP="006C5E8C">
      <w:pPr>
        <w:spacing w:after="0"/>
        <w:jc w:val="both"/>
      </w:pPr>
    </w:p>
    <w:p w:rsidR="006C5E8C" w:rsidRDefault="006C5E8C" w:rsidP="006C5E8C">
      <w:pPr>
        <w:spacing w:after="0"/>
        <w:jc w:val="both"/>
      </w:pPr>
    </w:p>
    <w:p w:rsidR="006C5E8C" w:rsidRDefault="006C5E8C" w:rsidP="006C5E8C">
      <w:pPr>
        <w:spacing w:after="0"/>
        <w:jc w:val="both"/>
      </w:pPr>
    </w:p>
    <w:p w:rsidR="006C5E8C" w:rsidRDefault="006C5E8C" w:rsidP="006C5E8C">
      <w:pPr>
        <w:spacing w:after="0"/>
        <w:jc w:val="both"/>
      </w:pPr>
    </w:p>
    <w:p w:rsidR="006C5E8C" w:rsidRDefault="006C5E8C" w:rsidP="006C5E8C">
      <w:pPr>
        <w:spacing w:after="0"/>
        <w:jc w:val="both"/>
      </w:pPr>
    </w:p>
    <w:p w:rsidR="006C5E8C" w:rsidRDefault="006C5E8C" w:rsidP="006C5E8C">
      <w:pPr>
        <w:spacing w:after="0"/>
        <w:jc w:val="center"/>
      </w:pPr>
    </w:p>
    <w:p w:rsidR="006C5E8C" w:rsidRDefault="006C5E8C" w:rsidP="006C5E8C">
      <w:pPr>
        <w:spacing w:after="0"/>
        <w:jc w:val="both"/>
      </w:pPr>
    </w:p>
    <w:p w:rsidR="00913108" w:rsidRDefault="00913108"/>
    <w:sectPr w:rsidR="00913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B7637"/>
    <w:multiLevelType w:val="hybridMultilevel"/>
    <w:tmpl w:val="4E404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4E180F"/>
    <w:multiLevelType w:val="hybridMultilevel"/>
    <w:tmpl w:val="737AB2C8"/>
    <w:lvl w:ilvl="0" w:tplc="04090005">
      <w:start w:val="1"/>
      <w:numFmt w:val="bullet"/>
      <w:lvlText w:val=""/>
      <w:lvlJc w:val="left"/>
      <w:pPr>
        <w:ind w:left="768" w:hanging="360"/>
      </w:pPr>
      <w:rPr>
        <w:rFonts w:ascii="Wingdings" w:hAnsi="Wingdings"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2">
    <w:nsid w:val="64491211"/>
    <w:multiLevelType w:val="hybridMultilevel"/>
    <w:tmpl w:val="88827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7D79528A"/>
    <w:multiLevelType w:val="hybridMultilevel"/>
    <w:tmpl w:val="FB6E5A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B31"/>
    <w:rsid w:val="00023B79"/>
    <w:rsid w:val="00031D58"/>
    <w:rsid w:val="000835D6"/>
    <w:rsid w:val="000B1385"/>
    <w:rsid w:val="00100927"/>
    <w:rsid w:val="0010682B"/>
    <w:rsid w:val="00111ABB"/>
    <w:rsid w:val="00111E49"/>
    <w:rsid w:val="00143887"/>
    <w:rsid w:val="0019199E"/>
    <w:rsid w:val="001A4DED"/>
    <w:rsid w:val="001F3DA8"/>
    <w:rsid w:val="00214223"/>
    <w:rsid w:val="002252EA"/>
    <w:rsid w:val="002260F5"/>
    <w:rsid w:val="0023749B"/>
    <w:rsid w:val="00237651"/>
    <w:rsid w:val="002521FE"/>
    <w:rsid w:val="002716D7"/>
    <w:rsid w:val="00326936"/>
    <w:rsid w:val="003314D4"/>
    <w:rsid w:val="00331BBF"/>
    <w:rsid w:val="00343509"/>
    <w:rsid w:val="0039142A"/>
    <w:rsid w:val="003D01B1"/>
    <w:rsid w:val="00425032"/>
    <w:rsid w:val="0048636A"/>
    <w:rsid w:val="004A29C8"/>
    <w:rsid w:val="004B109F"/>
    <w:rsid w:val="004C0562"/>
    <w:rsid w:val="004C6264"/>
    <w:rsid w:val="004E52EA"/>
    <w:rsid w:val="00567AB2"/>
    <w:rsid w:val="00597379"/>
    <w:rsid w:val="005A4396"/>
    <w:rsid w:val="005C0F0B"/>
    <w:rsid w:val="00626FFF"/>
    <w:rsid w:val="00650B31"/>
    <w:rsid w:val="00663451"/>
    <w:rsid w:val="00673613"/>
    <w:rsid w:val="0069099A"/>
    <w:rsid w:val="006C5E8C"/>
    <w:rsid w:val="006F1765"/>
    <w:rsid w:val="00720EBE"/>
    <w:rsid w:val="00741DA2"/>
    <w:rsid w:val="00753F90"/>
    <w:rsid w:val="00755064"/>
    <w:rsid w:val="00772AF4"/>
    <w:rsid w:val="007A5330"/>
    <w:rsid w:val="007B28AC"/>
    <w:rsid w:val="007C58D6"/>
    <w:rsid w:val="007D2AD5"/>
    <w:rsid w:val="008336EF"/>
    <w:rsid w:val="008379DB"/>
    <w:rsid w:val="00847F0D"/>
    <w:rsid w:val="008528E1"/>
    <w:rsid w:val="00901609"/>
    <w:rsid w:val="00902998"/>
    <w:rsid w:val="00913108"/>
    <w:rsid w:val="00916F82"/>
    <w:rsid w:val="009822CF"/>
    <w:rsid w:val="009A029B"/>
    <w:rsid w:val="009A7EBF"/>
    <w:rsid w:val="009E6C2A"/>
    <w:rsid w:val="00A637A3"/>
    <w:rsid w:val="00B124F4"/>
    <w:rsid w:val="00B27C62"/>
    <w:rsid w:val="00B4112F"/>
    <w:rsid w:val="00BC139F"/>
    <w:rsid w:val="00C17A5C"/>
    <w:rsid w:val="00C35678"/>
    <w:rsid w:val="00C35CAF"/>
    <w:rsid w:val="00C4773E"/>
    <w:rsid w:val="00C9330B"/>
    <w:rsid w:val="00CA3EAF"/>
    <w:rsid w:val="00CB5051"/>
    <w:rsid w:val="00CF05C3"/>
    <w:rsid w:val="00CF1463"/>
    <w:rsid w:val="00D103E8"/>
    <w:rsid w:val="00D117AF"/>
    <w:rsid w:val="00D17716"/>
    <w:rsid w:val="00D26DC5"/>
    <w:rsid w:val="00D31E84"/>
    <w:rsid w:val="00D63FCE"/>
    <w:rsid w:val="00DE044C"/>
    <w:rsid w:val="00DE3B24"/>
    <w:rsid w:val="00EE725B"/>
    <w:rsid w:val="00EF021F"/>
    <w:rsid w:val="00F268FC"/>
    <w:rsid w:val="00FA4578"/>
    <w:rsid w:val="00FB52EA"/>
    <w:rsid w:val="00FB5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1BB11-E584-4FF4-928A-F3FAD48A8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E8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E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E8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5E8C"/>
    <w:pPr>
      <w:ind w:left="720"/>
      <w:contextualSpacing/>
    </w:pPr>
  </w:style>
  <w:style w:type="table" w:styleId="TableGrid">
    <w:name w:val="Table Grid"/>
    <w:basedOn w:val="TableNormal"/>
    <w:uiPriority w:val="39"/>
    <w:rsid w:val="006C5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49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itya\Desktop\Compare_v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itya\Desktop\Compare_v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itya\Desktop\Compare_v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T40I10D100K</a:t>
            </a:r>
          </a:p>
        </c:rich>
      </c:tx>
      <c:layout>
        <c:manualLayout>
          <c:xMode val="edge"/>
          <c:yMode val="edge"/>
          <c:x val="0.40949300087489071"/>
          <c:y val="5.5555555555555552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Sheet1!$B$17</c:f>
              <c:strCache>
                <c:ptCount val="1"/>
                <c:pt idx="0">
                  <c:v>Apriori Modified</c:v>
                </c:pt>
              </c:strCache>
            </c:strRef>
          </c:tx>
          <c:spPr>
            <a:solidFill>
              <a:schemeClr val="accent1"/>
            </a:solidFill>
            <a:ln>
              <a:noFill/>
            </a:ln>
            <a:effectLst/>
          </c:spPr>
          <c:invertIfNegative val="0"/>
          <c:cat>
            <c:numRef>
              <c:f>Sheet1!$A$18:$A$22</c:f>
              <c:numCache>
                <c:formatCode>0%</c:formatCode>
                <c:ptCount val="5"/>
                <c:pt idx="0">
                  <c:v>0.01</c:v>
                </c:pt>
                <c:pt idx="1">
                  <c:v>0.02</c:v>
                </c:pt>
                <c:pt idx="2">
                  <c:v>0.03</c:v>
                </c:pt>
                <c:pt idx="3">
                  <c:v>0.04</c:v>
                </c:pt>
                <c:pt idx="4">
                  <c:v>0.05</c:v>
                </c:pt>
              </c:numCache>
            </c:numRef>
          </c:cat>
          <c:val>
            <c:numRef>
              <c:f>Sheet1!$B$18:$B$22</c:f>
              <c:numCache>
                <c:formatCode>General</c:formatCode>
                <c:ptCount val="5"/>
                <c:pt idx="0">
                  <c:v>111.66233333333334</c:v>
                </c:pt>
                <c:pt idx="1">
                  <c:v>35.575166666666668</c:v>
                </c:pt>
                <c:pt idx="2">
                  <c:v>21.515333333333334</c:v>
                </c:pt>
                <c:pt idx="3">
                  <c:v>12.902966666666666</c:v>
                </c:pt>
                <c:pt idx="4">
                  <c:v>8.3386333333333322</c:v>
                </c:pt>
              </c:numCache>
            </c:numRef>
          </c:val>
        </c:ser>
        <c:ser>
          <c:idx val="1"/>
          <c:order val="1"/>
          <c:tx>
            <c:strRef>
              <c:f>Sheet1!$C$17</c:f>
              <c:strCache>
                <c:ptCount val="1"/>
                <c:pt idx="0">
                  <c:v>Apriori Original</c:v>
                </c:pt>
              </c:strCache>
            </c:strRef>
          </c:tx>
          <c:spPr>
            <a:solidFill>
              <a:schemeClr val="accent2"/>
            </a:solidFill>
            <a:ln>
              <a:noFill/>
            </a:ln>
            <a:effectLst/>
          </c:spPr>
          <c:invertIfNegative val="0"/>
          <c:cat>
            <c:numRef>
              <c:f>Sheet1!$A$18:$A$22</c:f>
              <c:numCache>
                <c:formatCode>0%</c:formatCode>
                <c:ptCount val="5"/>
                <c:pt idx="0">
                  <c:v>0.01</c:v>
                </c:pt>
                <c:pt idx="1">
                  <c:v>0.02</c:v>
                </c:pt>
                <c:pt idx="2">
                  <c:v>0.03</c:v>
                </c:pt>
                <c:pt idx="3">
                  <c:v>0.04</c:v>
                </c:pt>
                <c:pt idx="4">
                  <c:v>0.05</c:v>
                </c:pt>
              </c:numCache>
            </c:numRef>
          </c:cat>
          <c:val>
            <c:numRef>
              <c:f>Sheet1!$C$18:$C$22</c:f>
              <c:numCache>
                <c:formatCode>General</c:formatCode>
                <c:ptCount val="5"/>
                <c:pt idx="0">
                  <c:v>246.29166666666666</c:v>
                </c:pt>
                <c:pt idx="1">
                  <c:v>77.924666666666653</c:v>
                </c:pt>
                <c:pt idx="2">
                  <c:v>43.945500000000003</c:v>
                </c:pt>
                <c:pt idx="3">
                  <c:v>26.232833333333335</c:v>
                </c:pt>
                <c:pt idx="4">
                  <c:v>17.106166666666663</c:v>
                </c:pt>
              </c:numCache>
            </c:numRef>
          </c:val>
        </c:ser>
        <c:dLbls>
          <c:showLegendKey val="0"/>
          <c:showVal val="0"/>
          <c:showCatName val="0"/>
          <c:showSerName val="0"/>
          <c:showPercent val="0"/>
          <c:showBubbleSize val="0"/>
        </c:dLbls>
        <c:gapWidth val="219"/>
        <c:overlap val="-27"/>
        <c:axId val="346465752"/>
        <c:axId val="348533120"/>
      </c:barChart>
      <c:catAx>
        <c:axId val="346465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 Support</a:t>
                </a:r>
              </a:p>
            </c:rich>
          </c:tx>
          <c:layout>
            <c:manualLayout>
              <c:xMode val="edge"/>
              <c:yMode val="edge"/>
              <c:x val="0.45616929133858264"/>
              <c:y val="0.897198891805190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533120"/>
        <c:crosses val="autoZero"/>
        <c:auto val="1"/>
        <c:lblAlgn val="ctr"/>
        <c:lblOffset val="100"/>
        <c:noMultiLvlLbl val="0"/>
      </c:catAx>
      <c:valAx>
        <c:axId val="34853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4657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tr"/>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T10I4D100K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Sheet1!$B$10</c:f>
              <c:strCache>
                <c:ptCount val="1"/>
                <c:pt idx="0">
                  <c:v>Apriori Modified</c:v>
                </c:pt>
              </c:strCache>
            </c:strRef>
          </c:tx>
          <c:spPr>
            <a:solidFill>
              <a:schemeClr val="accent1"/>
            </a:solidFill>
            <a:ln>
              <a:noFill/>
            </a:ln>
            <a:effectLst/>
          </c:spPr>
          <c:invertIfNegative val="0"/>
          <c:cat>
            <c:numRef>
              <c:f>Sheet1!$A$11:$A$15</c:f>
              <c:numCache>
                <c:formatCode>0%</c:formatCode>
                <c:ptCount val="5"/>
                <c:pt idx="0">
                  <c:v>0.01</c:v>
                </c:pt>
                <c:pt idx="1">
                  <c:v>0.02</c:v>
                </c:pt>
                <c:pt idx="2">
                  <c:v>0.03</c:v>
                </c:pt>
                <c:pt idx="3">
                  <c:v>0.04</c:v>
                </c:pt>
                <c:pt idx="4">
                  <c:v>0.05</c:v>
                </c:pt>
              </c:numCache>
            </c:numRef>
          </c:cat>
          <c:val>
            <c:numRef>
              <c:f>Sheet1!$B$11:$B$15</c:f>
              <c:numCache>
                <c:formatCode>General</c:formatCode>
                <c:ptCount val="5"/>
                <c:pt idx="0">
                  <c:v>665.57600000000002</c:v>
                </c:pt>
                <c:pt idx="1">
                  <c:v>112.738</c:v>
                </c:pt>
                <c:pt idx="2">
                  <c:v>17.844999999999999</c:v>
                </c:pt>
                <c:pt idx="3">
                  <c:v>4.593</c:v>
                </c:pt>
                <c:pt idx="4">
                  <c:v>1.978</c:v>
                </c:pt>
              </c:numCache>
            </c:numRef>
          </c:val>
        </c:ser>
        <c:ser>
          <c:idx val="1"/>
          <c:order val="1"/>
          <c:tx>
            <c:strRef>
              <c:f>Sheet1!$C$10</c:f>
              <c:strCache>
                <c:ptCount val="1"/>
                <c:pt idx="0">
                  <c:v>Apriori Original</c:v>
                </c:pt>
              </c:strCache>
            </c:strRef>
          </c:tx>
          <c:spPr>
            <a:solidFill>
              <a:schemeClr val="accent2"/>
            </a:solidFill>
            <a:ln>
              <a:noFill/>
            </a:ln>
            <a:effectLst/>
          </c:spPr>
          <c:invertIfNegative val="0"/>
          <c:cat>
            <c:numRef>
              <c:f>Sheet1!$A$11:$A$15</c:f>
              <c:numCache>
                <c:formatCode>0%</c:formatCode>
                <c:ptCount val="5"/>
                <c:pt idx="0">
                  <c:v>0.01</c:v>
                </c:pt>
                <c:pt idx="1">
                  <c:v>0.02</c:v>
                </c:pt>
                <c:pt idx="2">
                  <c:v>0.03</c:v>
                </c:pt>
                <c:pt idx="3">
                  <c:v>0.04</c:v>
                </c:pt>
                <c:pt idx="4">
                  <c:v>0.05</c:v>
                </c:pt>
              </c:numCache>
            </c:numRef>
          </c:cat>
          <c:val>
            <c:numRef>
              <c:f>Sheet1!$C$11:$C$15</c:f>
              <c:numCache>
                <c:formatCode>General</c:formatCode>
                <c:ptCount val="5"/>
                <c:pt idx="0">
                  <c:v>1287.3599999999999</c:v>
                </c:pt>
                <c:pt idx="1">
                  <c:v>221.773</c:v>
                </c:pt>
                <c:pt idx="2">
                  <c:v>34.844000000000001</c:v>
                </c:pt>
                <c:pt idx="3">
                  <c:v>8.234</c:v>
                </c:pt>
                <c:pt idx="4">
                  <c:v>2.984</c:v>
                </c:pt>
              </c:numCache>
            </c:numRef>
          </c:val>
        </c:ser>
        <c:dLbls>
          <c:showLegendKey val="0"/>
          <c:showVal val="0"/>
          <c:showCatName val="0"/>
          <c:showSerName val="0"/>
          <c:showPercent val="0"/>
          <c:showBubbleSize val="0"/>
        </c:dLbls>
        <c:gapWidth val="219"/>
        <c:overlap val="-27"/>
        <c:axId val="344364144"/>
        <c:axId val="344364536"/>
      </c:barChart>
      <c:catAx>
        <c:axId val="34436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 Support</a:t>
                </a:r>
              </a:p>
            </c:rich>
          </c:tx>
          <c:layout>
            <c:manualLayout>
              <c:xMode val="edge"/>
              <c:yMode val="edge"/>
              <c:x val="0.45520914977511434"/>
              <c:y val="0.9094260758388806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364536"/>
        <c:crosses val="autoZero"/>
        <c:auto val="1"/>
        <c:lblAlgn val="ctr"/>
        <c:lblOffset val="100"/>
        <c:noMultiLvlLbl val="0"/>
      </c:catAx>
      <c:valAx>
        <c:axId val="344364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r>
                  <a:rPr lang="en-US" baseline="0"/>
                  <a:t>(sec)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3641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tr"/>
      <c:layout>
        <c:manualLayout>
          <c:xMode val="edge"/>
          <c:yMode val="edge"/>
          <c:x val="0.7313121751817776"/>
          <c:y val="0.17330974842767297"/>
          <c:w val="0.19467046902445001"/>
          <c:h val="0.13173394309317896"/>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Retail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c:f>
              <c:strCache>
                <c:ptCount val="1"/>
                <c:pt idx="0">
                  <c:v>Apriori Modified</c:v>
                </c:pt>
              </c:strCache>
            </c:strRef>
          </c:tx>
          <c:spPr>
            <a:solidFill>
              <a:schemeClr val="accent1"/>
            </a:solidFill>
            <a:ln>
              <a:noFill/>
            </a:ln>
            <a:effectLst/>
          </c:spPr>
          <c:invertIfNegative val="0"/>
          <c:cat>
            <c:numRef>
              <c:f>Sheet1!$A$3:$A$7</c:f>
              <c:numCache>
                <c:formatCode>0%</c:formatCode>
                <c:ptCount val="5"/>
                <c:pt idx="0">
                  <c:v>0.01</c:v>
                </c:pt>
                <c:pt idx="1">
                  <c:v>0.02</c:v>
                </c:pt>
                <c:pt idx="2">
                  <c:v>0.03</c:v>
                </c:pt>
                <c:pt idx="3">
                  <c:v>0.04</c:v>
                </c:pt>
                <c:pt idx="4">
                  <c:v>0.05</c:v>
                </c:pt>
              </c:numCache>
            </c:numRef>
          </c:cat>
          <c:val>
            <c:numRef>
              <c:f>Sheet1!$B$3:$B$7</c:f>
              <c:numCache>
                <c:formatCode>General</c:formatCode>
                <c:ptCount val="5"/>
                <c:pt idx="0">
                  <c:v>22.763000000000002</c:v>
                </c:pt>
                <c:pt idx="1">
                  <c:v>3.8290000000000002</c:v>
                </c:pt>
                <c:pt idx="2">
                  <c:v>2.6379999999999999</c:v>
                </c:pt>
                <c:pt idx="3">
                  <c:v>2.1019999999999999</c:v>
                </c:pt>
                <c:pt idx="4">
                  <c:v>2.036</c:v>
                </c:pt>
              </c:numCache>
            </c:numRef>
          </c:val>
        </c:ser>
        <c:ser>
          <c:idx val="1"/>
          <c:order val="1"/>
          <c:tx>
            <c:strRef>
              <c:f>Sheet1!$C$2</c:f>
              <c:strCache>
                <c:ptCount val="1"/>
                <c:pt idx="0">
                  <c:v>Apriori Original</c:v>
                </c:pt>
              </c:strCache>
            </c:strRef>
          </c:tx>
          <c:spPr>
            <a:solidFill>
              <a:schemeClr val="accent2"/>
            </a:solidFill>
            <a:ln>
              <a:noFill/>
            </a:ln>
            <a:effectLst/>
          </c:spPr>
          <c:invertIfNegative val="0"/>
          <c:cat>
            <c:numRef>
              <c:f>Sheet1!$A$3:$A$7</c:f>
              <c:numCache>
                <c:formatCode>0%</c:formatCode>
                <c:ptCount val="5"/>
                <c:pt idx="0">
                  <c:v>0.01</c:v>
                </c:pt>
                <c:pt idx="1">
                  <c:v>0.02</c:v>
                </c:pt>
                <c:pt idx="2">
                  <c:v>0.03</c:v>
                </c:pt>
                <c:pt idx="3">
                  <c:v>0.04</c:v>
                </c:pt>
                <c:pt idx="4">
                  <c:v>0.05</c:v>
                </c:pt>
              </c:numCache>
            </c:numRef>
          </c:cat>
          <c:val>
            <c:numRef>
              <c:f>Sheet1!$C$3:$C$7</c:f>
              <c:numCache>
                <c:formatCode>General</c:formatCode>
                <c:ptCount val="5"/>
                <c:pt idx="0">
                  <c:v>49.795999999999999</c:v>
                </c:pt>
                <c:pt idx="1">
                  <c:v>8.8759999999999994</c:v>
                </c:pt>
                <c:pt idx="2">
                  <c:v>5.9459999999999997</c:v>
                </c:pt>
                <c:pt idx="3">
                  <c:v>4.569</c:v>
                </c:pt>
                <c:pt idx="4">
                  <c:v>4.4219999999999997</c:v>
                </c:pt>
              </c:numCache>
            </c:numRef>
          </c:val>
        </c:ser>
        <c:dLbls>
          <c:showLegendKey val="0"/>
          <c:showVal val="0"/>
          <c:showCatName val="0"/>
          <c:showSerName val="0"/>
          <c:showPercent val="0"/>
          <c:showBubbleSize val="0"/>
        </c:dLbls>
        <c:gapWidth val="219"/>
        <c:overlap val="-27"/>
        <c:axId val="345887952"/>
        <c:axId val="345886776"/>
      </c:barChart>
      <c:catAx>
        <c:axId val="345887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 support</a:t>
                </a:r>
                <a:r>
                  <a:rPr lang="en-US" baseline="0"/>
                  <a:t> </a:t>
                </a:r>
                <a:endParaRPr lang="en-US"/>
              </a:p>
            </c:rich>
          </c:tx>
          <c:layout>
            <c:manualLayout>
              <c:xMode val="edge"/>
              <c:yMode val="edge"/>
              <c:x val="0.46545406824146984"/>
              <c:y val="0.897198891805190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5886776"/>
        <c:crosses val="autoZero"/>
        <c:auto val="1"/>
        <c:lblAlgn val="ctr"/>
        <c:lblOffset val="100"/>
        <c:noMultiLvlLbl val="0"/>
      </c:catAx>
      <c:valAx>
        <c:axId val="345886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58879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tr"/>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Nain</dc:creator>
  <cp:keywords/>
  <dc:description/>
  <cp:lastModifiedBy>Aditya Nain</cp:lastModifiedBy>
  <cp:revision>4</cp:revision>
  <dcterms:created xsi:type="dcterms:W3CDTF">2014-01-24T09:29:00Z</dcterms:created>
  <dcterms:modified xsi:type="dcterms:W3CDTF">2014-01-24T09:55:00Z</dcterms:modified>
</cp:coreProperties>
</file>