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Founder Memo: Adult Mental Math App</w:t>
      </w:r>
    </w:p>
    <w:p>
      <w:pPr>
        <w:pStyle w:val="Subtitle"/>
        <w:jc w:val="left"/>
      </w:pPr>
      <w:r>
        <w:t>Business assessment, market position, monetization logic, and strategic wedge</w:t>
      </w:r>
    </w:p>
    <w:p>
      <w:pPr>
        <w:pStyle w:val="Small"/>
      </w:pPr>
      <w:r>
        <w:t>Prepared for: Aditya Nair</w:t>
        <w:br/>
      </w:r>
      <w:r>
        <w:t>Document purpose: decide whether this is a viable solopreneur wedge and where to position it.</w:t>
      </w:r>
    </w:p>
    <w:tbl>
      <w:tblPr>
        <w:tblW w:type="auto" w:w="0"/>
        <w:jc w:val="left"/>
        <w:tblLayout w:type="fixed"/>
        <w:tblLook w:firstColumn="1" w:firstRow="1" w:lastColumn="0" w:lastRow="0" w:noHBand="0" w:noVBand="1" w:val="04A0"/>
      </w:tblPr>
      <w:tblGrid>
        <w:gridCol w:w="8928"/>
      </w:tblGrid>
      <w:tr>
        <w:tc>
          <w:tcPr>
            <w:tcW w:type="dxa" w:w="9936"/>
            <w:shd w:fill="E8F1FB"/>
            <w:tcMar>
              <w:top w:w="110" w:type="dxa"/>
              <w:start w:w="130" w:type="dxa"/>
              <w:bottom w:w="110" w:type="dxa"/>
              <w:end w:w="130" w:type="dxa"/>
            </w:tcMar>
            <w:vAlign w:val="center"/>
          </w:tcPr>
          <w:p>
            <w:pPr>
              <w:pStyle w:val="Callout"/>
            </w:pPr>
            <w:r>
              <w:t>Bottom line: this is viable only as a narrow, adult-branded subscription app. The opening is not ‘learn math’ or ‘train your brain’. The opening is daily practical mental math and quantitative reflex training for adults.</w:t>
            </w:r>
          </w:p>
        </w:tc>
      </w:tr>
    </w:tbl>
    <w:p>
      <w:pPr>
        <w:pStyle w:val="Heading1"/>
      </w:pPr>
      <w:r>
        <w:t>1. Executive view</w:t>
      </w:r>
    </w:p>
    <w:p>
      <w:pPr/>
      <w:r>
        <w:t>The opportunity is real, but the direct niche is much smaller than broad EdTech headlines imply. This is a niche execution play inside a proven subscription market, not a category-creation play.</w:t>
      </w:r>
    </w:p>
    <w:p>
      <w:pPr/>
      <w:r>
        <w:t>The strongest wedge is adult mental math for real life, work, and money decisions. That positioning is sharper than ‘brain sharpness’ and lighter than full conceptual math learning.</w:t>
      </w:r>
    </w:p>
    <w:p>
      <w:pPr/>
      <w:r>
        <w:t>The category is attractive because it supports daily habit loops, measurable improvement, and annual subscriptions. It is dangerous because adjacent incumbents already own major user mindshare.</w:t>
      </w:r>
    </w:p>
    <w:p>
      <w:pPr>
        <w:pStyle w:val="Heading1"/>
      </w:pPr>
      <w:r>
        <w:t>2. Market reality</w:t>
      </w:r>
    </w:p>
    <w:p>
      <w:pPr/>
      <w:r>
        <w:t>The broad education app market is large, but most of that TAM is strategically irrelevant. Your app lives at the overlap of education apps, brain training, adult numeracy, and consumer subscriptions.</w:t>
      </w:r>
    </w:p>
    <w:p>
      <w:pPr/>
      <w:r>
        <w:t>What matters is not whether there is a market. There is. What matters is whether there is an open position that a solo founder can own. The answer appears to be yes, but only with narrow positioning.</w:t>
      </w:r>
    </w:p>
    <w:p>
      <w:pPr/>
      <w:r>
        <w:t>Adult numeracy is a real pain point. Many adults are weak or insecure in practical calculation, percentages, estimation, and interpreting basic numerical information. That creates a real confidence and performance problem.</w:t>
      </w:r>
    </w:p>
    <w:p>
      <w:pPr>
        <w:pStyle w:val="Heading1"/>
      </w:pPr>
      <w:r>
        <w:t>3. Why this concept can work</w:t>
      </w:r>
    </w:p>
    <w:p>
      <w:pPr/>
      <w:r>
        <w:rPr>
          <w:b/>
        </w:rPr>
        <w:t>Clear habit loop</w:t>
      </w:r>
    </w:p>
    <w:p>
      <w:pPr/>
      <w:r>
        <w:t>Daily training sessions naturally fit into 2–5 minute usage windows and support streak mechanics.</w:t>
      </w:r>
    </w:p>
    <w:p>
      <w:pPr/>
      <w:r>
        <w:rPr>
          <w:b/>
        </w:rPr>
        <w:t>Measurable progress</w:t>
      </w:r>
    </w:p>
    <w:p>
      <w:pPr/>
      <w:r>
        <w:t>Speed, accuracy, category strength, and percentile benchmarks make improvement tangible.</w:t>
      </w:r>
    </w:p>
    <w:p>
      <w:pPr/>
      <w:r>
        <w:rPr>
          <w:b/>
        </w:rPr>
        <w:t>Simple content engine</w:t>
      </w:r>
    </w:p>
    <w:p>
      <w:pPr/>
      <w:r>
        <w:t>Compared with broad educational products, arithmetic and practical-money math are easier to structure, generate, and adapt.</w:t>
      </w:r>
    </w:p>
    <w:p>
      <w:pPr/>
      <w:r>
        <w:rPr>
          <w:b/>
        </w:rPr>
        <w:t>Adult pain is concrete</w:t>
      </w:r>
    </w:p>
    <w:p>
      <w:pPr/>
      <w:r>
        <w:t>Users do not need to love math. They only need to dislike feeling slow, unsure, or embarrassed around numbers.</w:t>
      </w:r>
    </w:p>
    <w:p>
      <w:pPr>
        <w:pStyle w:val="Heading1"/>
      </w:pPr>
      <w:r>
        <w:t>4. Why this can fail</w:t>
      </w:r>
    </w:p>
    <w:p>
      <w:pPr/>
      <w:r>
        <w:t>Generic positioning. If the app sounds like broad microlearning or generic brain training, it will disappear into a crowded market.</w:t>
      </w:r>
    </w:p>
    <w:p>
      <w:pPr/>
      <w:r>
        <w:t>Weak adult branding. If the experience feels like school math or a children’s learning app, monetization will be weak.</w:t>
      </w:r>
    </w:p>
    <w:p>
      <w:pPr/>
      <w:r>
        <w:t>Shallow drills. If the app becomes a basic arithmetic utility with no progression intelligence, it will be easy to copy and hard to retain.</w:t>
      </w:r>
    </w:p>
    <w:p>
      <w:pPr/>
      <w:r>
        <w:t>No distribution edge. This category is subscription-friendly, but user attention is expensive. A good product without a distribution loop is not enough.</w:t>
      </w:r>
    </w:p>
    <w:p>
      <w:pPr>
        <w:pStyle w:val="Heading1"/>
      </w:pPr>
      <w:r>
        <w:t>5. Competitive map</w:t>
      </w:r>
    </w:p>
    <w:tbl>
      <w:tblPr>
        <w:tblStyle w:val="TableGrid"/>
        <w:tblW w:type="auto" w:w="0"/>
        <w:jc w:val="left"/>
        <w:tblLook w:firstColumn="1" w:firstRow="1" w:lastColumn="0" w:lastRow="0" w:noHBand="0" w:noVBand="1" w:val="04A0"/>
      </w:tblPr>
      <w:tblGrid>
        <w:gridCol w:w="2484"/>
        <w:gridCol w:w="2484"/>
        <w:gridCol w:w="2484"/>
        <w:gridCol w:w="2484"/>
      </w:tblGrid>
      <w:tr>
        <w:trPr>
          <w:tblHeader w:val="true"/>
        </w:trPr>
        <w:tc>
          <w:tcPr>
            <w:tcW w:type="dxa" w:w="1872"/>
            <w:shd w:fill="D9E5F6"/>
            <w:tcMar>
              <w:top w:w="80" w:type="dxa"/>
              <w:start w:w="120" w:type="dxa"/>
              <w:bottom w:w="80" w:type="dxa"/>
              <w:end w:w="120" w:type="dxa"/>
            </w:tcMar>
            <w:vAlign w:val="center"/>
          </w:tcPr>
          <w:p>
            <w:pPr>
              <w:jc w:val="center"/>
            </w:pPr>
            <w:r>
              <w:rPr>
                <w:rFonts w:ascii="Aptos" w:hAnsi="Aptos"/>
                <w:b/>
                <w:sz w:val="20"/>
              </w:rPr>
              <w:t>Competitor</w:t>
            </w:r>
          </w:p>
        </w:tc>
        <w:tc>
          <w:tcPr>
            <w:tcW w:type="dxa" w:w="2304"/>
            <w:shd w:fill="D9E5F6"/>
            <w:tcMar>
              <w:top w:w="80" w:type="dxa"/>
              <w:start w:w="120" w:type="dxa"/>
              <w:bottom w:w="80" w:type="dxa"/>
              <w:end w:w="120" w:type="dxa"/>
            </w:tcMar>
            <w:vAlign w:val="center"/>
          </w:tcPr>
          <w:p>
            <w:pPr>
              <w:jc w:val="center"/>
            </w:pPr>
            <w:r>
              <w:rPr>
                <w:rFonts w:ascii="Aptos" w:hAnsi="Aptos"/>
                <w:b/>
                <w:sz w:val="20"/>
              </w:rPr>
              <w:t>What it owns</w:t>
            </w:r>
          </w:p>
        </w:tc>
        <w:tc>
          <w:tcPr>
            <w:tcW w:type="dxa" w:w="2592"/>
            <w:shd w:fill="D9E5F6"/>
            <w:tcMar>
              <w:top w:w="80" w:type="dxa"/>
              <w:start w:w="120" w:type="dxa"/>
              <w:bottom w:w="80" w:type="dxa"/>
              <w:end w:w="120" w:type="dxa"/>
            </w:tcMar>
            <w:vAlign w:val="center"/>
          </w:tcPr>
          <w:p>
            <w:pPr>
              <w:jc w:val="center"/>
            </w:pPr>
            <w:r>
              <w:rPr>
                <w:rFonts w:ascii="Aptos" w:hAnsi="Aptos"/>
                <w:b/>
                <w:sz w:val="20"/>
              </w:rPr>
              <w:t>What to learn</w:t>
            </w:r>
          </w:p>
        </w:tc>
        <w:tc>
          <w:tcPr>
            <w:tcW w:type="dxa" w:w="2448"/>
            <w:shd w:fill="D9E5F6"/>
            <w:tcMar>
              <w:top w:w="80" w:type="dxa"/>
              <w:start w:w="120" w:type="dxa"/>
              <w:bottom w:w="80" w:type="dxa"/>
              <w:end w:w="120" w:type="dxa"/>
            </w:tcMar>
            <w:vAlign w:val="center"/>
          </w:tcPr>
          <w:p>
            <w:pPr>
              <w:jc w:val="center"/>
            </w:pPr>
            <w:r>
              <w:rPr>
                <w:rFonts w:ascii="Aptos" w:hAnsi="Aptos"/>
                <w:b/>
                <w:sz w:val="20"/>
              </w:rPr>
              <w:t>What to avoid</w:t>
            </w:r>
          </w:p>
        </w:tc>
      </w:tr>
      <w:tr>
        <w:tc>
          <w:tcPr>
            <w:tcW w:type="dxa" w:w="1872"/>
            <w:tcMar>
              <w:top w:w="70" w:type="dxa"/>
              <w:start w:w="110" w:type="dxa"/>
              <w:bottom w:w="70" w:type="dxa"/>
              <w:end w:w="110" w:type="dxa"/>
            </w:tcMar>
            <w:vAlign w:val="center"/>
          </w:tcPr>
          <w:p>
            <w:pPr>
              <w:jc w:val="center"/>
            </w:pPr>
            <w:r>
              <w:rPr>
                <w:rFonts w:ascii="Aptos" w:hAnsi="Aptos"/>
                <w:sz w:val="20"/>
              </w:rPr>
              <w:t>Brilliant</w:t>
            </w:r>
          </w:p>
        </w:tc>
        <w:tc>
          <w:tcPr>
            <w:tcW w:type="dxa" w:w="2304"/>
            <w:tcMar>
              <w:top w:w="70" w:type="dxa"/>
              <w:start w:w="110" w:type="dxa"/>
              <w:bottom w:w="70" w:type="dxa"/>
              <w:end w:w="110" w:type="dxa"/>
            </w:tcMar>
            <w:vAlign w:val="center"/>
          </w:tcPr>
          <w:p>
            <w:pPr>
              <w:jc w:val="left"/>
            </w:pPr>
            <w:r>
              <w:rPr>
                <w:rFonts w:ascii="Aptos" w:hAnsi="Aptos"/>
                <w:sz w:val="20"/>
              </w:rPr>
              <w:t>Premium adult STEM learning</w:t>
            </w:r>
          </w:p>
        </w:tc>
        <w:tc>
          <w:tcPr>
            <w:tcW w:type="dxa" w:w="2592"/>
            <w:tcMar>
              <w:top w:w="70" w:type="dxa"/>
              <w:start w:w="110" w:type="dxa"/>
              <w:bottom w:w="70" w:type="dxa"/>
              <w:end w:w="110" w:type="dxa"/>
            </w:tcMar>
            <w:vAlign w:val="center"/>
          </w:tcPr>
          <w:p>
            <w:pPr>
              <w:jc w:val="left"/>
            </w:pPr>
            <w:r>
              <w:rPr>
                <w:rFonts w:ascii="Aptos" w:hAnsi="Aptos"/>
                <w:sz w:val="20"/>
              </w:rPr>
              <w:t>Elegant UI, interactive feedback, premium feel</w:t>
            </w:r>
          </w:p>
        </w:tc>
        <w:tc>
          <w:tcPr>
            <w:tcW w:type="dxa" w:w="2448"/>
            <w:tcMar>
              <w:top w:w="70" w:type="dxa"/>
              <w:start w:w="110" w:type="dxa"/>
              <w:bottom w:w="70" w:type="dxa"/>
              <w:end w:w="110" w:type="dxa"/>
            </w:tcMar>
            <w:vAlign w:val="center"/>
          </w:tcPr>
          <w:p>
            <w:pPr>
              <w:jc w:val="left"/>
            </w:pPr>
            <w:r>
              <w:rPr>
                <w:rFonts w:ascii="Aptos" w:hAnsi="Aptos"/>
                <w:sz w:val="20"/>
              </w:rPr>
              <w:t>Competing on breadth or conceptual depth</w:t>
            </w:r>
          </w:p>
        </w:tc>
      </w:tr>
      <w:tr>
        <w:tc>
          <w:tcPr>
            <w:tcW w:type="dxa" w:w="1872"/>
            <w:tcMar>
              <w:top w:w="70" w:type="dxa"/>
              <w:start w:w="110" w:type="dxa"/>
              <w:bottom w:w="70" w:type="dxa"/>
              <w:end w:w="110" w:type="dxa"/>
            </w:tcMar>
            <w:vAlign w:val="center"/>
          </w:tcPr>
          <w:p>
            <w:pPr>
              <w:jc w:val="center"/>
            </w:pPr>
            <w:r>
              <w:rPr>
                <w:rFonts w:ascii="Aptos" w:hAnsi="Aptos"/>
                <w:sz w:val="20"/>
              </w:rPr>
              <w:t>Elevate</w:t>
            </w:r>
          </w:p>
        </w:tc>
        <w:tc>
          <w:tcPr>
            <w:tcW w:type="dxa" w:w="2304"/>
            <w:tcMar>
              <w:top w:w="70" w:type="dxa"/>
              <w:start w:w="110" w:type="dxa"/>
              <w:bottom w:w="70" w:type="dxa"/>
              <w:end w:w="110" w:type="dxa"/>
            </w:tcMar>
            <w:vAlign w:val="center"/>
          </w:tcPr>
          <w:p>
            <w:pPr>
              <w:jc w:val="left"/>
            </w:pPr>
            <w:r>
              <w:rPr>
                <w:rFonts w:ascii="Aptos" w:hAnsi="Aptos"/>
                <w:sz w:val="20"/>
              </w:rPr>
              <w:t>Daily cognitive workouts</w:t>
            </w:r>
          </w:p>
        </w:tc>
        <w:tc>
          <w:tcPr>
            <w:tcW w:type="dxa" w:w="2592"/>
            <w:tcMar>
              <w:top w:w="70" w:type="dxa"/>
              <w:start w:w="110" w:type="dxa"/>
              <w:bottom w:w="70" w:type="dxa"/>
              <w:end w:w="110" w:type="dxa"/>
            </w:tcMar>
            <w:vAlign w:val="center"/>
          </w:tcPr>
          <w:p>
            <w:pPr>
              <w:jc w:val="left"/>
            </w:pPr>
            <w:r>
              <w:rPr>
                <w:rFonts w:ascii="Aptos" w:hAnsi="Aptos"/>
                <w:sz w:val="20"/>
              </w:rPr>
              <w:t>Bounded sessions, adaptive daily plans, weekly reports</w:t>
            </w:r>
          </w:p>
        </w:tc>
        <w:tc>
          <w:tcPr>
            <w:tcW w:type="dxa" w:w="2448"/>
            <w:tcMar>
              <w:top w:w="70" w:type="dxa"/>
              <w:start w:w="110" w:type="dxa"/>
              <w:bottom w:w="70" w:type="dxa"/>
              <w:end w:w="110" w:type="dxa"/>
            </w:tcMar>
            <w:vAlign w:val="center"/>
          </w:tcPr>
          <w:p>
            <w:pPr>
              <w:jc w:val="left"/>
            </w:pPr>
            <w:r>
              <w:rPr>
                <w:rFonts w:ascii="Aptos" w:hAnsi="Aptos"/>
                <w:sz w:val="20"/>
              </w:rPr>
              <w:t>Generic cognitive buffet positioning</w:t>
            </w:r>
          </w:p>
        </w:tc>
      </w:tr>
      <w:tr>
        <w:tc>
          <w:tcPr>
            <w:tcW w:type="dxa" w:w="1872"/>
            <w:tcMar>
              <w:top w:w="70" w:type="dxa"/>
              <w:start w:w="110" w:type="dxa"/>
              <w:bottom w:w="70" w:type="dxa"/>
              <w:end w:w="110" w:type="dxa"/>
            </w:tcMar>
            <w:vAlign w:val="center"/>
          </w:tcPr>
          <w:p>
            <w:pPr>
              <w:jc w:val="center"/>
            </w:pPr>
            <w:r>
              <w:rPr>
                <w:rFonts w:ascii="Aptos" w:hAnsi="Aptos"/>
                <w:sz w:val="20"/>
              </w:rPr>
              <w:t>Lumosity</w:t>
            </w:r>
          </w:p>
        </w:tc>
        <w:tc>
          <w:tcPr>
            <w:tcW w:type="dxa" w:w="2304"/>
            <w:tcMar>
              <w:top w:w="70" w:type="dxa"/>
              <w:start w:w="110" w:type="dxa"/>
              <w:bottom w:w="70" w:type="dxa"/>
              <w:end w:w="110" w:type="dxa"/>
            </w:tcMar>
            <w:vAlign w:val="center"/>
          </w:tcPr>
          <w:p>
            <w:pPr>
              <w:jc w:val="left"/>
            </w:pPr>
            <w:r>
              <w:rPr>
                <w:rFonts w:ascii="Aptos" w:hAnsi="Aptos"/>
                <w:sz w:val="20"/>
              </w:rPr>
              <w:t>Legacy brain-training awareness</w:t>
            </w:r>
          </w:p>
        </w:tc>
        <w:tc>
          <w:tcPr>
            <w:tcW w:type="dxa" w:w="2592"/>
            <w:tcMar>
              <w:top w:w="70" w:type="dxa"/>
              <w:start w:w="110" w:type="dxa"/>
              <w:bottom w:w="70" w:type="dxa"/>
              <w:end w:w="110" w:type="dxa"/>
            </w:tcMar>
            <w:vAlign w:val="center"/>
          </w:tcPr>
          <w:p>
            <w:pPr>
              <w:jc w:val="left"/>
            </w:pPr>
            <w:r>
              <w:rPr>
                <w:rFonts w:ascii="Aptos" w:hAnsi="Aptos"/>
                <w:sz w:val="20"/>
              </w:rPr>
              <w:t>Progress dashboards and training identity</w:t>
            </w:r>
          </w:p>
        </w:tc>
        <w:tc>
          <w:tcPr>
            <w:tcW w:type="dxa" w:w="2448"/>
            <w:tcMar>
              <w:top w:w="70" w:type="dxa"/>
              <w:start w:w="110" w:type="dxa"/>
              <w:bottom w:w="70" w:type="dxa"/>
              <w:end w:w="110" w:type="dxa"/>
            </w:tcMar>
            <w:vAlign w:val="center"/>
          </w:tcPr>
          <w:p>
            <w:pPr>
              <w:jc w:val="left"/>
            </w:pPr>
            <w:r>
              <w:rPr>
                <w:rFonts w:ascii="Aptos" w:hAnsi="Aptos"/>
                <w:sz w:val="20"/>
              </w:rPr>
              <w:t>Vague or overstated brain-health claims</w:t>
            </w:r>
          </w:p>
        </w:tc>
      </w:tr>
      <w:tr>
        <w:tc>
          <w:tcPr>
            <w:tcW w:type="dxa" w:w="1872"/>
            <w:tcMar>
              <w:top w:w="70" w:type="dxa"/>
              <w:start w:w="110" w:type="dxa"/>
              <w:bottom w:w="70" w:type="dxa"/>
              <w:end w:w="110" w:type="dxa"/>
            </w:tcMar>
            <w:vAlign w:val="center"/>
          </w:tcPr>
          <w:p>
            <w:pPr>
              <w:jc w:val="left"/>
            </w:pPr>
            <w:r>
              <w:rPr>
                <w:rFonts w:ascii="Aptos" w:hAnsi="Aptos"/>
                <w:sz w:val="20"/>
              </w:rPr>
              <w:t>FastMath / similar</w:t>
            </w:r>
          </w:p>
        </w:tc>
        <w:tc>
          <w:tcPr>
            <w:tcW w:type="dxa" w:w="2304"/>
            <w:tcMar>
              <w:top w:w="70" w:type="dxa"/>
              <w:start w:w="110" w:type="dxa"/>
              <w:bottom w:w="70" w:type="dxa"/>
              <w:end w:w="110" w:type="dxa"/>
            </w:tcMar>
            <w:vAlign w:val="center"/>
          </w:tcPr>
          <w:p>
            <w:pPr>
              <w:jc w:val="left"/>
            </w:pPr>
            <w:r>
              <w:rPr>
                <w:rFonts w:ascii="Aptos" w:hAnsi="Aptos"/>
                <w:sz w:val="20"/>
              </w:rPr>
              <w:t>Direct arithmetic practice</w:t>
            </w:r>
          </w:p>
        </w:tc>
        <w:tc>
          <w:tcPr>
            <w:tcW w:type="dxa" w:w="2592"/>
            <w:tcMar>
              <w:top w:w="70" w:type="dxa"/>
              <w:start w:w="110" w:type="dxa"/>
              <w:bottom w:w="70" w:type="dxa"/>
              <w:end w:w="110" w:type="dxa"/>
            </w:tcMar>
            <w:vAlign w:val="center"/>
          </w:tcPr>
          <w:p>
            <w:pPr>
              <w:jc w:val="left"/>
            </w:pPr>
            <w:r>
              <w:rPr>
                <w:rFonts w:ascii="Aptos" w:hAnsi="Aptos"/>
                <w:sz w:val="20"/>
              </w:rPr>
              <w:t>Timed drills and challenge loops</w:t>
            </w:r>
          </w:p>
        </w:tc>
        <w:tc>
          <w:tcPr>
            <w:tcW w:type="dxa" w:w="2448"/>
            <w:tcMar>
              <w:top w:w="70" w:type="dxa"/>
              <w:start w:w="110" w:type="dxa"/>
              <w:bottom w:w="70" w:type="dxa"/>
              <w:end w:w="110" w:type="dxa"/>
            </w:tcMar>
            <w:vAlign w:val="center"/>
          </w:tcPr>
          <w:p>
            <w:pPr>
              <w:jc w:val="left"/>
            </w:pPr>
            <w:r>
              <w:rPr>
                <w:rFonts w:ascii="Aptos" w:hAnsi="Aptos"/>
                <w:sz w:val="20"/>
              </w:rPr>
              <w:t>Weak identity, mixed audience positioning</w:t>
            </w:r>
          </w:p>
        </w:tc>
      </w:tr>
      <w:tr>
        <w:tc>
          <w:tcPr>
            <w:tcW w:type="dxa" w:w="1872"/>
            <w:tcMar>
              <w:top w:w="70" w:type="dxa"/>
              <w:start w:w="110" w:type="dxa"/>
              <w:bottom w:w="70" w:type="dxa"/>
              <w:end w:w="110" w:type="dxa"/>
            </w:tcMar>
            <w:vAlign w:val="center"/>
          </w:tcPr>
          <w:p>
            <w:pPr>
              <w:jc w:val="center"/>
            </w:pPr>
            <w:r>
              <w:rPr>
                <w:rFonts w:ascii="Aptos" w:hAnsi="Aptos"/>
                <w:sz w:val="20"/>
              </w:rPr>
              <w:t>Mental Math Gym</w:t>
            </w:r>
          </w:p>
        </w:tc>
        <w:tc>
          <w:tcPr>
            <w:tcW w:type="dxa" w:w="2304"/>
            <w:tcMar>
              <w:top w:w="70" w:type="dxa"/>
              <w:start w:w="110" w:type="dxa"/>
              <w:bottom w:w="70" w:type="dxa"/>
              <w:end w:w="110" w:type="dxa"/>
            </w:tcMar>
            <w:vAlign w:val="center"/>
          </w:tcPr>
          <w:p>
            <w:pPr>
              <w:jc w:val="left"/>
            </w:pPr>
            <w:r>
              <w:rPr>
                <w:rFonts w:ascii="Aptos" w:hAnsi="Aptos"/>
                <w:sz w:val="20"/>
              </w:rPr>
              <w:t>Adult practical mental math</w:t>
            </w:r>
          </w:p>
        </w:tc>
        <w:tc>
          <w:tcPr>
            <w:tcW w:type="dxa" w:w="2592"/>
            <w:tcMar>
              <w:top w:w="70" w:type="dxa"/>
              <w:start w:w="110" w:type="dxa"/>
              <w:bottom w:w="70" w:type="dxa"/>
              <w:end w:w="110" w:type="dxa"/>
            </w:tcMar>
            <w:vAlign w:val="center"/>
          </w:tcPr>
          <w:p>
            <w:pPr>
              <w:jc w:val="left"/>
            </w:pPr>
            <w:r>
              <w:rPr>
                <w:rFonts w:ascii="Aptos" w:hAnsi="Aptos"/>
                <w:sz w:val="20"/>
              </w:rPr>
              <w:t>Real-life scenarios and adult framing</w:t>
            </w:r>
          </w:p>
        </w:tc>
        <w:tc>
          <w:tcPr>
            <w:tcW w:type="dxa" w:w="2448"/>
            <w:tcMar>
              <w:top w:w="70" w:type="dxa"/>
              <w:start w:w="110" w:type="dxa"/>
              <w:bottom w:w="70" w:type="dxa"/>
              <w:end w:w="110" w:type="dxa"/>
            </w:tcMar>
            <w:vAlign w:val="center"/>
          </w:tcPr>
          <w:p>
            <w:pPr>
              <w:jc w:val="left"/>
            </w:pPr>
            <w:r>
              <w:rPr>
                <w:rFonts w:ascii="Aptos" w:hAnsi="Aptos"/>
                <w:sz w:val="20"/>
              </w:rPr>
              <w:t>Utility feel and weak subscription compounding</w:t>
            </w:r>
          </w:p>
        </w:tc>
      </w:tr>
    </w:tbl>
    <w:p/>
    <w:p>
      <w:pPr>
        <w:pStyle w:val="Heading1"/>
      </w:pPr>
      <w:r>
        <w:t>6. Strategic position</w:t>
      </w:r>
    </w:p>
    <w:tbl>
      <w:tblPr>
        <w:tblW w:type="auto" w:w="0"/>
        <w:jc w:val="left"/>
        <w:tblLayout w:type="fixed"/>
        <w:tblLook w:firstColumn="1" w:firstRow="1" w:lastColumn="0" w:lastRow="0" w:noHBand="0" w:noVBand="1" w:val="04A0"/>
      </w:tblPr>
      <w:tblGrid>
        <w:gridCol w:w="8928"/>
      </w:tblGrid>
      <w:tr>
        <w:tc>
          <w:tcPr>
            <w:tcW w:type="dxa" w:w="9936"/>
            <w:shd w:fill="F3F7FC"/>
            <w:tcMar>
              <w:top w:w="110" w:type="dxa"/>
              <w:start w:w="130" w:type="dxa"/>
              <w:bottom w:w="110" w:type="dxa"/>
              <w:end w:w="130" w:type="dxa"/>
            </w:tcMar>
            <w:vAlign w:val="center"/>
          </w:tcPr>
          <w:p>
            <w:pPr>
              <w:pStyle w:val="Callout"/>
            </w:pPr>
            <w:r>
              <w:t>Best position: a premium adult app for practical number sense. Core promise: train your number sense in 5 minutes a day.</w:t>
            </w:r>
          </w:p>
        </w:tc>
      </w:tr>
    </w:tbl>
    <w:p>
      <w:pPr>
        <w:pStyle w:val="ListBullet"/>
        <w:ind w:left="0"/>
      </w:pPr>
      <w:r>
        <w:t>Do not position this as general education.</w:t>
      </w:r>
    </w:p>
    <w:p>
      <w:pPr>
        <w:pStyle w:val="ListBullet"/>
        <w:ind w:left="0"/>
      </w:pPr>
      <w:r>
        <w:t>Do not position this as medical or scientific brain health.</w:t>
      </w:r>
    </w:p>
    <w:p>
      <w:pPr>
        <w:pStyle w:val="ListBullet"/>
        <w:ind w:left="0"/>
      </w:pPr>
      <w:r>
        <w:t>Do position it as performance, confidence, speed, and everyday utility.</w:t>
      </w:r>
    </w:p>
    <w:p>
      <w:pPr>
        <w:pStyle w:val="ListBullet"/>
        <w:ind w:left="0"/>
      </w:pPr>
      <w:r>
        <w:t>Use adult language such as workouts, reflexes, speed, money math, and number sense.</w:t>
      </w:r>
    </w:p>
    <w:p>
      <w:pPr>
        <w:pStyle w:val="Heading1"/>
      </w:pPr>
      <w:r>
        <w:t>7. Best target user</w:t>
      </w:r>
    </w:p>
    <w:tbl>
      <w:tblPr>
        <w:tblStyle w:val="TableGrid"/>
        <w:tblW w:type="auto" w:w="0"/>
        <w:jc w:val="left"/>
        <w:tblLook w:firstColumn="1" w:firstRow="1" w:lastColumn="0" w:lastRow="0" w:noHBand="0" w:noVBand="1" w:val="04A0"/>
      </w:tblPr>
      <w:tblGrid>
        <w:gridCol w:w="2484"/>
        <w:gridCol w:w="2484"/>
        <w:gridCol w:w="2484"/>
        <w:gridCol w:w="2484"/>
      </w:tblGrid>
      <w:tr>
        <w:trPr>
          <w:tblHeader w:val="true"/>
        </w:trPr>
        <w:tc>
          <w:tcPr>
            <w:tcW w:type="dxa" w:w="2160"/>
            <w:shd w:fill="D9E5F6"/>
            <w:tcMar>
              <w:top w:w="80" w:type="dxa"/>
              <w:start w:w="120" w:type="dxa"/>
              <w:bottom w:w="80" w:type="dxa"/>
              <w:end w:w="120" w:type="dxa"/>
            </w:tcMar>
            <w:vAlign w:val="center"/>
          </w:tcPr>
          <w:p>
            <w:pPr>
              <w:jc w:val="center"/>
            </w:pPr>
            <w:r>
              <w:rPr>
                <w:rFonts w:ascii="Aptos" w:hAnsi="Aptos"/>
                <w:b/>
                <w:sz w:val="20"/>
              </w:rPr>
              <w:t>Segment</w:t>
            </w:r>
          </w:p>
        </w:tc>
        <w:tc>
          <w:tcPr>
            <w:tcW w:type="dxa" w:w="3456"/>
            <w:shd w:fill="D9E5F6"/>
            <w:tcMar>
              <w:top w:w="80" w:type="dxa"/>
              <w:start w:w="120" w:type="dxa"/>
              <w:bottom w:w="80" w:type="dxa"/>
              <w:end w:w="120" w:type="dxa"/>
            </w:tcMar>
            <w:vAlign w:val="center"/>
          </w:tcPr>
          <w:p>
            <w:pPr>
              <w:jc w:val="center"/>
            </w:pPr>
            <w:r>
              <w:rPr>
                <w:rFonts w:ascii="Aptos" w:hAnsi="Aptos"/>
                <w:b/>
                <w:sz w:val="20"/>
              </w:rPr>
              <w:t>Pain</w:t>
            </w:r>
          </w:p>
        </w:tc>
        <w:tc>
          <w:tcPr>
            <w:tcW w:type="dxa" w:w="2160"/>
            <w:shd w:fill="D9E5F6"/>
            <w:tcMar>
              <w:top w:w="80" w:type="dxa"/>
              <w:start w:w="120" w:type="dxa"/>
              <w:bottom w:w="80" w:type="dxa"/>
              <w:end w:w="120" w:type="dxa"/>
            </w:tcMar>
            <w:vAlign w:val="center"/>
          </w:tcPr>
          <w:p>
            <w:pPr>
              <w:jc w:val="left"/>
            </w:pPr>
            <w:r>
              <w:rPr>
                <w:rFonts w:ascii="Aptos" w:hAnsi="Aptos"/>
                <w:b/>
                <w:sz w:val="20"/>
              </w:rPr>
              <w:t>Why they may pay</w:t>
            </w:r>
          </w:p>
        </w:tc>
        <w:tc>
          <w:tcPr>
            <w:tcW w:type="dxa" w:w="1296"/>
            <w:shd w:fill="D9E5F6"/>
            <w:tcMar>
              <w:top w:w="80" w:type="dxa"/>
              <w:start w:w="120" w:type="dxa"/>
              <w:bottom w:w="80" w:type="dxa"/>
              <w:end w:w="120" w:type="dxa"/>
            </w:tcMar>
            <w:vAlign w:val="center"/>
          </w:tcPr>
          <w:p>
            <w:pPr>
              <w:jc w:val="center"/>
            </w:pPr>
            <w:r>
              <w:rPr>
                <w:rFonts w:ascii="Aptos" w:hAnsi="Aptos"/>
                <w:b/>
                <w:sz w:val="20"/>
              </w:rPr>
              <w:t>Priority</w:t>
            </w:r>
          </w:p>
        </w:tc>
      </w:tr>
      <w:tr>
        <w:tc>
          <w:tcPr>
            <w:tcW w:type="dxa" w:w="2160"/>
            <w:tcMar>
              <w:top w:w="70" w:type="dxa"/>
              <w:start w:w="110" w:type="dxa"/>
              <w:bottom w:w="70" w:type="dxa"/>
              <w:end w:w="110" w:type="dxa"/>
            </w:tcMar>
            <w:vAlign w:val="center"/>
          </w:tcPr>
          <w:p>
            <w:pPr>
              <w:jc w:val="left"/>
            </w:pPr>
            <w:r>
              <w:rPr>
                <w:rFonts w:ascii="Aptos" w:hAnsi="Aptos"/>
                <w:sz w:val="20"/>
              </w:rPr>
              <w:t>Ambitious professionals</w:t>
            </w:r>
          </w:p>
        </w:tc>
        <w:tc>
          <w:tcPr>
            <w:tcW w:type="dxa" w:w="3456"/>
            <w:tcMar>
              <w:top w:w="70" w:type="dxa"/>
              <w:start w:w="110" w:type="dxa"/>
              <w:bottom w:w="70" w:type="dxa"/>
              <w:end w:w="110" w:type="dxa"/>
            </w:tcMar>
            <w:vAlign w:val="center"/>
          </w:tcPr>
          <w:p>
            <w:pPr>
              <w:jc w:val="left"/>
            </w:pPr>
            <w:r>
              <w:rPr>
                <w:rFonts w:ascii="Aptos" w:hAnsi="Aptos"/>
                <w:sz w:val="20"/>
              </w:rPr>
              <w:t>Slow with quick calculations in meetings, money decisions, and daily life</w:t>
            </w:r>
          </w:p>
        </w:tc>
        <w:tc>
          <w:tcPr>
            <w:tcW w:type="dxa" w:w="2160"/>
            <w:tcMar>
              <w:top w:w="70" w:type="dxa"/>
              <w:start w:w="110" w:type="dxa"/>
              <w:bottom w:w="70" w:type="dxa"/>
              <w:end w:w="110" w:type="dxa"/>
            </w:tcMar>
            <w:vAlign w:val="center"/>
          </w:tcPr>
          <w:p>
            <w:pPr>
              <w:jc w:val="left"/>
            </w:pPr>
            <w:r>
              <w:rPr>
                <w:rFonts w:ascii="Aptos" w:hAnsi="Aptos"/>
                <w:sz w:val="20"/>
              </w:rPr>
              <w:t>Performance and confidence</w:t>
            </w:r>
          </w:p>
        </w:tc>
        <w:tc>
          <w:tcPr>
            <w:tcW w:type="dxa" w:w="1296"/>
            <w:tcMar>
              <w:top w:w="70" w:type="dxa"/>
              <w:start w:w="110" w:type="dxa"/>
              <w:bottom w:w="70" w:type="dxa"/>
              <w:end w:w="110" w:type="dxa"/>
            </w:tcMar>
            <w:vAlign w:val="center"/>
          </w:tcPr>
          <w:p>
            <w:pPr>
              <w:jc w:val="center"/>
            </w:pPr>
            <w:r>
              <w:rPr>
                <w:rFonts w:ascii="Aptos" w:hAnsi="Aptos"/>
                <w:sz w:val="20"/>
              </w:rPr>
              <w:t>Highest</w:t>
            </w:r>
          </w:p>
        </w:tc>
      </w:tr>
      <w:tr>
        <w:tc>
          <w:tcPr>
            <w:tcW w:type="dxa" w:w="2160"/>
            <w:tcMar>
              <w:top w:w="70" w:type="dxa"/>
              <w:start w:w="110" w:type="dxa"/>
              <w:bottom w:w="70" w:type="dxa"/>
              <w:end w:w="110" w:type="dxa"/>
            </w:tcMar>
            <w:vAlign w:val="center"/>
          </w:tcPr>
          <w:p>
            <w:pPr>
              <w:jc w:val="left"/>
            </w:pPr>
            <w:r>
              <w:rPr>
                <w:rFonts w:ascii="Aptos" w:hAnsi="Aptos"/>
                <w:sz w:val="20"/>
              </w:rPr>
              <w:t>Finance-curious adults</w:t>
            </w:r>
          </w:p>
        </w:tc>
        <w:tc>
          <w:tcPr>
            <w:tcW w:type="dxa" w:w="3456"/>
            <w:tcMar>
              <w:top w:w="70" w:type="dxa"/>
              <w:start w:w="110" w:type="dxa"/>
              <w:bottom w:w="70" w:type="dxa"/>
              <w:end w:w="110" w:type="dxa"/>
            </w:tcMar>
            <w:vAlign w:val="center"/>
          </w:tcPr>
          <w:p>
            <w:pPr>
              <w:jc w:val="left"/>
            </w:pPr>
            <w:r>
              <w:rPr>
                <w:rFonts w:ascii="Aptos" w:hAnsi="Aptos"/>
                <w:sz w:val="20"/>
              </w:rPr>
              <w:t>Interested in markets but weak in numeracy</w:t>
            </w:r>
          </w:p>
        </w:tc>
        <w:tc>
          <w:tcPr>
            <w:tcW w:type="dxa" w:w="2160"/>
            <w:tcMar>
              <w:top w:w="70" w:type="dxa"/>
              <w:start w:w="110" w:type="dxa"/>
              <w:bottom w:w="70" w:type="dxa"/>
              <w:end w:w="110" w:type="dxa"/>
            </w:tcMar>
            <w:vAlign w:val="center"/>
          </w:tcPr>
          <w:p>
            <w:pPr>
              <w:jc w:val="left"/>
            </w:pPr>
            <w:r>
              <w:rPr>
                <w:rFonts w:ascii="Aptos" w:hAnsi="Aptos"/>
                <w:sz w:val="20"/>
              </w:rPr>
              <w:t>Money and self-image</w:t>
            </w:r>
          </w:p>
        </w:tc>
        <w:tc>
          <w:tcPr>
            <w:tcW w:type="dxa" w:w="1296"/>
            <w:tcMar>
              <w:top w:w="70" w:type="dxa"/>
              <w:start w:w="110" w:type="dxa"/>
              <w:bottom w:w="70" w:type="dxa"/>
              <w:end w:w="110" w:type="dxa"/>
            </w:tcMar>
            <w:vAlign w:val="center"/>
          </w:tcPr>
          <w:p>
            <w:pPr>
              <w:jc w:val="center"/>
            </w:pPr>
            <w:r>
              <w:rPr>
                <w:rFonts w:ascii="Aptos" w:hAnsi="Aptos"/>
                <w:sz w:val="20"/>
              </w:rPr>
              <w:t>High</w:t>
            </w:r>
          </w:p>
        </w:tc>
      </w:tr>
      <w:tr>
        <w:tc>
          <w:tcPr>
            <w:tcW w:type="dxa" w:w="2160"/>
            <w:tcMar>
              <w:top w:w="70" w:type="dxa"/>
              <w:start w:w="110" w:type="dxa"/>
              <w:bottom w:w="70" w:type="dxa"/>
              <w:end w:w="110" w:type="dxa"/>
            </w:tcMar>
            <w:vAlign w:val="center"/>
          </w:tcPr>
          <w:p>
            <w:pPr>
              <w:jc w:val="left"/>
            </w:pPr>
            <w:r>
              <w:rPr>
                <w:rFonts w:ascii="Aptos" w:hAnsi="Aptos"/>
                <w:sz w:val="20"/>
              </w:rPr>
              <w:t>Interview / consulting users</w:t>
            </w:r>
          </w:p>
        </w:tc>
        <w:tc>
          <w:tcPr>
            <w:tcW w:type="dxa" w:w="3456"/>
            <w:tcMar>
              <w:top w:w="70" w:type="dxa"/>
              <w:start w:w="110" w:type="dxa"/>
              <w:bottom w:w="70" w:type="dxa"/>
              <w:end w:w="110" w:type="dxa"/>
            </w:tcMar>
            <w:vAlign w:val="center"/>
          </w:tcPr>
          <w:p>
            <w:pPr>
              <w:jc w:val="left"/>
            </w:pPr>
            <w:r>
              <w:rPr>
                <w:rFonts w:ascii="Aptos" w:hAnsi="Aptos"/>
                <w:sz w:val="20"/>
              </w:rPr>
              <w:t>Needs speed under pressure</w:t>
            </w:r>
          </w:p>
        </w:tc>
        <w:tc>
          <w:tcPr>
            <w:tcW w:type="dxa" w:w="2160"/>
            <w:tcMar>
              <w:top w:w="70" w:type="dxa"/>
              <w:start w:w="110" w:type="dxa"/>
              <w:bottom w:w="70" w:type="dxa"/>
              <w:end w:w="110" w:type="dxa"/>
            </w:tcMar>
            <w:vAlign w:val="center"/>
          </w:tcPr>
          <w:p>
            <w:pPr>
              <w:jc w:val="center"/>
            </w:pPr>
            <w:r>
              <w:rPr>
                <w:rFonts w:ascii="Aptos" w:hAnsi="Aptos"/>
                <w:sz w:val="20"/>
              </w:rPr>
              <w:t>Career ROI</w:t>
            </w:r>
          </w:p>
        </w:tc>
        <w:tc>
          <w:tcPr>
            <w:tcW w:type="dxa" w:w="1296"/>
            <w:tcMar>
              <w:top w:w="70" w:type="dxa"/>
              <w:start w:w="110" w:type="dxa"/>
              <w:bottom w:w="70" w:type="dxa"/>
              <w:end w:w="110" w:type="dxa"/>
            </w:tcMar>
            <w:vAlign w:val="center"/>
          </w:tcPr>
          <w:p>
            <w:pPr>
              <w:jc w:val="center"/>
            </w:pPr>
            <w:r>
              <w:rPr>
                <w:rFonts w:ascii="Aptos" w:hAnsi="Aptos"/>
                <w:sz w:val="20"/>
              </w:rPr>
              <w:t>Medium</w:t>
            </w:r>
          </w:p>
        </w:tc>
      </w:tr>
    </w:tbl>
    <w:p/>
    <w:p>
      <w:pPr>
        <w:pStyle w:val="Heading1"/>
      </w:pPr>
      <w:r>
        <w:t>8. Monetization view</w:t>
      </w:r>
    </w:p>
    <w:p>
      <w:pPr>
        <w:pStyle w:val="ListBullet"/>
        <w:ind w:left="0"/>
      </w:pPr>
      <w:r>
        <w:t>Annual subscriptions make sense, but only after the app proves a sticky daily loop.</w:t>
      </w:r>
    </w:p>
    <w:p>
      <w:pPr>
        <w:pStyle w:val="ListBullet"/>
        <w:ind w:left="0"/>
      </w:pPr>
      <w:r>
        <w:t>A practical starting range is a premium annual plan with a visible monthly anchor.</w:t>
      </w:r>
    </w:p>
    <w:p>
      <w:pPr>
        <w:pStyle w:val="ListBullet"/>
        <w:ind w:left="0"/>
      </w:pPr>
      <w:r>
        <w:t>The paywall should come after a short diagnostic and a personalized scorecard, not before value is established.</w:t>
      </w:r>
    </w:p>
    <w:p>
      <w:pPr>
        <w:pStyle w:val="ListBullet"/>
        <w:ind w:left="0"/>
      </w:pPr>
      <w:r>
        <w:t>Do not rely on a hard paywall alone as strategy. Monetization amplifies retention; it does not create it.</w:t>
      </w:r>
    </w:p>
    <w:p>
      <w:pPr/>
      <w:r>
        <w:t>Suggested pricing frame: annual plan centered around a premium but plausible consumer education range, with monthly priced high enough to steer annual conversion.</w:t>
      </w:r>
    </w:p>
    <w:p>
      <w:pPr>
        <w:pStyle w:val="Heading1"/>
      </w:pPr>
      <w:r>
        <w:t>9. What to build first</w:t>
      </w:r>
    </w:p>
    <w:p>
      <w:pPr>
        <w:pStyle w:val="ListBullet"/>
        <w:ind w:left="0"/>
      </w:pPr>
      <w:r>
        <w:t>Start with four categories only: percentages, tips and discounts, estimation, and money math.</w:t>
      </w:r>
    </w:p>
    <w:p>
      <w:pPr>
        <w:pStyle w:val="ListBullet"/>
        <w:ind w:left="0"/>
      </w:pPr>
      <w:r>
        <w:t>Use 2–5 minute daily workouts, not long lessons or course catalogs.</w:t>
      </w:r>
    </w:p>
    <w:p>
      <w:pPr>
        <w:pStyle w:val="ListBullet"/>
        <w:ind w:left="0"/>
      </w:pPr>
      <w:r>
        <w:t>Build strong scoring around speed, accuracy, and category-level weaknesses.</w:t>
      </w:r>
    </w:p>
    <w:p>
      <w:pPr>
        <w:pStyle w:val="ListBullet"/>
        <w:ind w:left="0"/>
      </w:pPr>
      <w:r>
        <w:t>Treat the first version as a repeatable habit product, not as a content library.</w:t>
      </w:r>
    </w:p>
    <w:p>
      <w:pPr>
        <w:pStyle w:val="Heading1"/>
      </w:pPr>
      <w:r>
        <w:t>10. Final recommendation</w:t>
      </w:r>
    </w:p>
    <w:tbl>
      <w:tblPr>
        <w:tblW w:type="auto" w:w="0"/>
        <w:jc w:val="left"/>
        <w:tblLayout w:type="fixed"/>
        <w:tblLook w:firstColumn="1" w:firstRow="1" w:lastColumn="0" w:lastRow="0" w:noHBand="0" w:noVBand="1" w:val="04A0"/>
      </w:tblPr>
      <w:tblGrid>
        <w:gridCol w:w="8928"/>
      </w:tblGrid>
      <w:tr>
        <w:tc>
          <w:tcPr>
            <w:tcW w:type="dxa" w:w="9936"/>
            <w:shd w:fill="EAF5EA"/>
            <w:tcMar>
              <w:top w:w="110" w:type="dxa"/>
              <w:start w:w="130" w:type="dxa"/>
              <w:bottom w:w="110" w:type="dxa"/>
              <w:end w:w="130" w:type="dxa"/>
            </w:tcMar>
            <w:vAlign w:val="center"/>
          </w:tcPr>
          <w:p>
            <w:pPr>
              <w:pStyle w:val="Callout"/>
            </w:pPr>
            <w:r>
              <w:t>Proceed, but only if you stay disciplined. The right business is a narrow premium habit app for adults. The wrong business is a broad math platform, a brain-training clone, or a generic microlearning app.</w:t>
            </w:r>
          </w:p>
        </w:tc>
      </w:tr>
    </w:tbl>
    <w:p>
      <w:pPr>
        <w:pStyle w:val="Heading2"/>
      </w:pPr>
      <w:r>
        <w:t>Appendix: build principles</w:t>
      </w:r>
    </w:p>
    <w:p>
      <w:pPr>
        <w:pStyle w:val="ListNumber"/>
      </w:pPr>
      <w:r>
        <w:t>One audience first.</w:t>
      </w:r>
    </w:p>
    <w:p>
      <w:pPr>
        <w:pStyle w:val="ListNumber"/>
      </w:pPr>
      <w:r>
        <w:t>One core outcome first.</w:t>
      </w:r>
    </w:p>
    <w:p>
      <w:pPr>
        <w:pStyle w:val="ListNumber"/>
      </w:pPr>
      <w:r>
        <w:t>One repeatable daily mechanic first.</w:t>
      </w:r>
    </w:p>
    <w:p>
      <w:pPr>
        <w:pStyle w:val="ListNumber"/>
      </w:pPr>
      <w:r>
        <w:t>One premium adult visual language.</w:t>
      </w:r>
    </w:p>
    <w:p>
      <w:pPr>
        <w:pStyle w:val="ListNumber"/>
      </w:pPr>
      <w:r>
        <w:t>Expand only after retention proves the wedge.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b/>
      <w:bCs/>
      <w:color w:val="18335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74A7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449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w:hAnsi="Aptos"/>
      <w:b/>
      <w:color w:val="18335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60" w:after="60"/>
    </w:pPr>
    <w:rPr>
      <w:rFonts w:ascii="Aptos" w:hAnsi="Aptos"/>
      <w:b/>
      <w:color w:val="183359"/>
      <w:sz w:val="21"/>
    </w:rPr>
  </w:style>
  <w:style w:type="paragraph" w:customStyle="1" w:styleId="Small">
    <w:name w:val="Small"/>
    <w:pPr>
      <w:spacing w:after="80"/>
    </w:pPr>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