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4" w:lineRule="auto"/>
        <w:jc w:val="center"/>
      </w:pPr>
      <w:r>
        <w:rPr>
          <w:rFonts w:ascii="Aptos" w:hAnsi="Aptos"/>
          <w:b/>
          <w:color w:val="303129"/>
          <w:sz w:val="64"/>
        </w:rPr>
        <w:t>BANK MARKETING</w:t>
      </w:r>
    </w:p>
    <w:p>
      <w:pPr>
        <w:spacing w:after="60" w:line="254" w:lineRule="auto"/>
        <w:jc w:val="center"/>
      </w:pPr>
      <w:r>
        <w:rPr>
          <w:rFonts w:ascii="Aptos" w:hAnsi="Aptos"/>
          <w:b/>
          <w:color w:val="F2C300"/>
          <w:sz w:val="64"/>
        </w:rPr>
        <w:t>CAMPAIGN ANALYTICS</w:t>
      </w:r>
    </w:p>
    <w:p>
      <w:pPr>
        <w:spacing w:after="240" w:line="254" w:lineRule="auto"/>
        <w:jc w:val="center"/>
      </w:pPr>
      <w:r>
        <w:rPr>
          <w:rFonts w:ascii="Aptos" w:hAnsi="Aptos"/>
          <w:b/>
          <w:color w:val="666666"/>
          <w:sz w:val="30"/>
        </w:rPr>
        <w:t>Customer Subscription Analysis for Term Deposit Campaign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DATASET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41,176</w:t>
            </w:r>
          </w:p>
        </w:tc>
        <w:tc>
          <w:tcPr>
            <w:tcW w:type="dxa" w:w="2592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SUBSCRIPTIONS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4,639</w:t>
            </w:r>
          </w:p>
        </w:tc>
        <w:tc>
          <w:tcPr>
            <w:tcW w:type="dxa" w:w="2592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CONVERSION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11.27%</w:t>
            </w:r>
          </w:p>
        </w:tc>
        <w:tc>
          <w:tcPr>
            <w:tcW w:type="dxa" w:w="2592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TOOLS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SQL • Python • Power BI</w:t>
            </w:r>
          </w:p>
        </w:tc>
      </w:tr>
    </w:tbl>
    <w:p>
      <w:pPr>
        <w:spacing w:after="20"/>
      </w:pPr>
    </w:p>
    <w:p>
      <w:pPr>
        <w:spacing w:after="200" w:line="254" w:lineRule="auto"/>
        <w:jc w:val="center"/>
      </w:pPr>
      <w:r>
        <w:rPr>
          <w:rFonts w:ascii="Aptos" w:hAnsi="Aptos"/>
          <w:b/>
          <w:color w:val="303129"/>
          <w:sz w:val="24"/>
        </w:rPr>
        <w:t>END-TO-END DATA ANALYTICS PROJECT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3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d1a5b6-971f-431d-92c6-a10579ca7cb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3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4" w:lineRule="auto"/>
        <w:jc w:val="center"/>
      </w:pPr>
      <w:r>
        <w:rPr>
          <w:rFonts w:ascii="Aptos" w:hAnsi="Aptos"/>
          <w:b w:val="0"/>
          <w:color w:val="666666"/>
          <w:sz w:val="20"/>
        </w:rPr>
        <w:t>Business-focused analytics portfolio report</w:t>
      </w:r>
    </w:p>
    <w:p>
      <w:r>
        <w:br w:type="page"/>
      </w:r>
    </w:p>
    <w:p>
      <w:pPr>
        <w:spacing w:after="40" w:line="254" w:lineRule="auto"/>
      </w:pPr>
      <w:r>
        <w:rPr>
          <w:rFonts w:ascii="Aptos" w:hAnsi="Aptos"/>
          <w:b/>
          <w:color w:val="303129"/>
          <w:sz w:val="40"/>
        </w:rPr>
        <w:t>1. Executive Summary</w:t>
      </w:r>
    </w:p>
    <w:p>
      <w:pPr>
        <w:spacing w:after="160" w:line="254" w:lineRule="auto"/>
      </w:pPr>
      <w:r>
        <w:rPr>
          <w:rFonts w:ascii="Aptos" w:hAnsi="Aptos"/>
          <w:b w:val="0"/>
          <w:color w:val="666666"/>
          <w:sz w:val="20"/>
        </w:rPr>
        <w:t>A concise business view of campaign performance, customer response, and economic context.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This project analyzes a cleaned bank marketing campaign dataset to understand which customer characteristics, campaign approaches, previous interactions, and economic conditions are associated with term-deposit subscription. The workflow combines data preparation, SQL business analysis, feature engineering, and an interactive four-page Power BI dashboard. The objective is to identify observed patterns that can support better campaign targeting rather than claim causation.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TOTAL RECORDS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41,176</w:t>
            </w:r>
          </w:p>
        </w:tc>
        <w:tc>
          <w:tcPr>
            <w:tcW w:type="dxa" w:w="2074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SUCCESSFUL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4,639</w:t>
            </w:r>
          </w:p>
        </w:tc>
        <w:tc>
          <w:tcPr>
            <w:tcW w:type="dxa" w:w="2074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CONVERSION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11.27%</w:t>
            </w:r>
          </w:p>
        </w:tc>
        <w:tc>
          <w:tcPr>
            <w:tcW w:type="dxa" w:w="2074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PREVIOUS CONTACTS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7,124</w:t>
            </w:r>
          </w:p>
        </w:tc>
        <w:tc>
          <w:tcPr>
            <w:tcW w:type="dxa" w:w="2074"/>
            <w:shd w:fill="34352E"/>
          </w:tcPr>
          <w:p>
            <w:pPr>
              <w:spacing w:after="20"/>
              <w:jc w:val="center"/>
            </w:pPr>
            <w:r/>
            <w:r>
              <w:rPr>
                <w:b/>
                <w:color w:val="F2C300"/>
                <w:sz w:val="16"/>
              </w:rPr>
              <w:t>AVG CALL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258 sec</w:t>
            </w:r>
          </w:p>
        </w:tc>
      </w:tr>
    </w:tbl>
    <w:p>
      <w:pPr>
        <w:spacing w:after="20"/>
      </w:pP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Key Business Findings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Overall campaign conversion is 11.27%, with 4,639 successful subscriptions from 41,176 campaign records.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Previous campaign success is the strongest observed segment, with conversion of approximately 65.11%.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Customers aged 65+ show the highest observed age-group conversion, at approximately 47.28%.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Conversion declines as campaign contact frequency increases, from about 13% after one contact to about 3% after 11+ contacts.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Cellular contact performs substantially better than telephone contact in the observed dataset.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Conversion varies materially across months and economic-condition groups, making timing and macro context useful supporting signals.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Management Takeaway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CC"/>
          </w:tcPr>
          <w:p>
            <w:pPr>
              <w:spacing w:after="40"/>
            </w:pPr>
            <w:r/>
            <w:r>
              <w:rPr>
                <w:b/>
                <w:color w:val="F2C300"/>
                <w:sz w:val="19"/>
              </w:rPr>
              <w:t>Core opportunity</w:t>
            </w:r>
          </w:p>
          <w:p>
            <w:pPr>
              <w:spacing w:after="0"/>
            </w:pPr>
            <w:r>
              <w:rPr>
                <w:color w:val="303129"/>
                <w:sz w:val="18"/>
              </w:rPr>
              <w:t>Prioritize customers with positive previous campaign outcomes, use effective contact channels, avoid excessive repeated contacts, and use timing/economic context as supporting signals when planning future campaigns.</w:t>
            </w:r>
          </w:p>
        </w:tc>
      </w:tr>
    </w:tbl>
    <w:p>
      <w:pPr>
        <w:spacing w:after="20"/>
      </w:pPr>
    </w:p>
    <w:p>
      <w:pPr>
        <w:spacing w:after="60" w:line="254" w:lineRule="auto"/>
      </w:pPr>
      <w:r>
        <w:rPr>
          <w:rFonts w:ascii="Aptos" w:hAnsi="Aptos"/>
          <w:b/>
          <w:color w:val="303129"/>
          <w:sz w:val="21"/>
        </w:rPr>
        <w:t>Important Analytical Caveat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The dataset contains campaign-contact records rather than a unique customer identifier. Results therefore describe observed campaign records and associations and should not be interpreted as proof that a customer attribute or economic variable causes conversion.</w:t>
      </w:r>
    </w:p>
    <w:p>
      <w:r>
        <w:br w:type="page"/>
      </w:r>
    </w:p>
    <w:p>
      <w:pPr>
        <w:spacing w:after="40" w:line="254" w:lineRule="auto"/>
      </w:pPr>
      <w:r>
        <w:rPr>
          <w:rFonts w:ascii="Aptos" w:hAnsi="Aptos"/>
          <w:b/>
          <w:color w:val="303129"/>
          <w:sz w:val="40"/>
        </w:rPr>
        <w:t>2. Data Preparation &amp; Analytical Methodology</w:t>
      </w:r>
    </w:p>
    <w:p>
      <w:pPr>
        <w:spacing w:after="160" w:line="254" w:lineRule="auto"/>
      </w:pPr>
      <w:r>
        <w:rPr>
          <w:rFonts w:ascii="Aptos" w:hAnsi="Aptos"/>
          <w:b w:val="0"/>
          <w:color w:val="666666"/>
          <w:sz w:val="20"/>
        </w:rPr>
        <w:t>From raw campaign records to validated analytical data.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Dataset &amp; Structure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The selected Bank Marketing full additional dataset contained 41,188 records and 21 columns. After exact-duplicate removal, the final analytical dataset contains 41,176 records and 26 columns after feature engineering.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Raw records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41,188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Final records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41,176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Columns after engineering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26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Target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subscribed (yes / no)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Campaign fields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contact, month, day_of_week, duration, campaign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History fields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pdays, previous, previous_campaign_outcome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Economic fields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emp_var_rate, cons_price_idx, cons_conf_idx, euribor3m, nr_employed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Customer profile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age, job, marital, education, default, housing, loan</w:t>
            </w:r>
          </w:p>
        </w:tc>
      </w:tr>
    </w:tbl>
    <w:p>
      <w:pPr>
        <w:spacing w:after="20"/>
      </w:pP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Data Cleaning &amp; Validation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Removed 12 exact duplicate records from the raw dataset.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Validated numeric ranges and retained valid negative economic values such as employment variation rate and consumer confidence index.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Retained unknown categorical values instead of treating them as missing customer information.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Preserved pdays = 999 as the special indicator for no previous campaign contact.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Added previously_contacted, age_group, campaign_contact_group, previous_contact_recency_group, and loan_status.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Loaded the cleaned 41,176-row dataset into MySQL and validated the imported row count.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Final SQL validation returned zero NULLs and zero exact duplicate rows.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Analytical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1. Cleaning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Remove duplicates, validate types, engineer fields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Excel / Power Query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2. SQL analysis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KPIs, conversion, campaign patterns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MySQL / SQL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3. Deeper analysis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Business interpretation and exploration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Python / Pandas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4. Visualization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Interactive filtering and storytelling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Power BI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5. Reporting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Translate evidence into actions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Business report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CC"/>
          </w:tcPr>
          <w:p>
            <w:pPr>
              <w:spacing w:after="40"/>
            </w:pPr>
            <w:r/>
            <w:r>
              <w:rPr>
                <w:b/>
                <w:color w:val="F2C300"/>
                <w:sz w:val="19"/>
              </w:rPr>
              <w:t>Modeling caution</w:t>
            </w:r>
          </w:p>
          <w:p>
            <w:pPr>
              <w:spacing w:after="0"/>
            </w:pPr>
            <w:r>
              <w:rPr>
                <w:color w:val="303129"/>
                <w:sz w:val="18"/>
              </w:rPr>
              <w:t>Call duration is a post-contact variable. It is useful for campaign analysis, but it should not automatically be treated as a pre-call targeting feature because its value is only known after the interaction.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 w:line="254" w:lineRule="auto"/>
      </w:pPr>
      <w:r>
        <w:rPr>
          <w:rFonts w:ascii="Aptos" w:hAnsi="Aptos"/>
          <w:b/>
          <w:color w:val="303129"/>
          <w:sz w:val="40"/>
        </w:rPr>
        <w:t>3. Business Analysis &amp; Dashboard Story</w:t>
      </w:r>
    </w:p>
    <w:p>
      <w:pPr>
        <w:spacing w:after="160" w:line="254" w:lineRule="auto"/>
      </w:pPr>
      <w:r>
        <w:rPr>
          <w:rFonts w:ascii="Aptos" w:hAnsi="Aptos"/>
          <w:b w:val="0"/>
          <w:color w:val="666666"/>
          <w:sz w:val="20"/>
        </w:rPr>
        <w:t>Four dashboard pages organized around management questions.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Page 1 — Executive Overview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Answers: What happened in the campaign?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Tracks total contacts, successful subscriptions, conversion rate, previous contacts, and average call duration.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Shows monthly conversion, subscription distribution, age-group performance, previous campaign outcome, and contact-type performance.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Page 2 — Customer Analysis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Answers: Who are the customers and which profiles show stronger response?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Examines job distribution, marital status, housing-loan performance, education-level conversion, and average call duration by campaign contacts.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Uses Job, Age Group, Education, and Marital Status slicers to support customer-segment exploration.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Page 3 — Campaign Performance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Answers: Which campaign approaches are associated with stronger conversion?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Analyzes campaign-contact frequency, day of week, contact method, previous contacts, and default status.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Shows declining conversion at higher contact frequency and stronger observed cellular performance.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Page 4 — Economic Insights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Answers: What economic conditions surround campaign response?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Tracks average employment variation, Euribor 3M, consumer confidence, consumer price index, and number employed.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Compares conversion across Euribor, employment, and consumer-confidence groups and uses the Euribor trend for economic context.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Core KPI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Result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Business Meaning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Total contacts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41,176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Scale of analyzed campaign records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Successful subscriptions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4,639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Observed campaign successes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Conversion rate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11.27%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Overall subscription response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Previous contacts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7,124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Records involving prior campaign contact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Average call duration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258 sec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Average recorded call duration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 w:line="254" w:lineRule="auto"/>
      </w:pPr>
      <w:r>
        <w:rPr>
          <w:rFonts w:ascii="Aptos" w:hAnsi="Aptos"/>
          <w:b/>
          <w:color w:val="303129"/>
          <w:sz w:val="40"/>
        </w:rPr>
        <w:t>4. Key Insights, Problems &amp; Recommendations</w:t>
      </w:r>
    </w:p>
    <w:p>
      <w:pPr>
        <w:spacing w:after="160" w:line="254" w:lineRule="auto"/>
      </w:pPr>
      <w:r>
        <w:rPr>
          <w:rFonts w:ascii="Aptos" w:hAnsi="Aptos"/>
          <w:b w:val="0"/>
          <w:color w:val="666666"/>
          <w:sz w:val="20"/>
        </w:rPr>
        <w:t>Turning analytical evidence into practical campaign decisions.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Five Priority Insights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Previous Campaign Success — Previous success converts at approximately 65.11%, making positive historical response a strong prioritization signal.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Age Profile — The 65+ group has the highest observed conversion at approximately 47.28%.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Contact Frequency — Conversion decreases from roughly 13% after one contact to roughly 3% after 11+ contacts, indicating diminishing returns from repeated outreach.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Contact Method — Cellular contact has a substantially higher observed conversion rate than telephone contact.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Economic Context — Conversion changes across Euribor, consumer-confidence, employment, and monthly groups, so macro conditions can provide useful campaign context.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Business Problems Identified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Repeated contacts can consume campaign capacity while showing lower observed conversion at higher contact frequencies.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The overall 11.27% conversion rate leaves room for improved targeting and campaign efficiency.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Contact-channel performance is uneven, suggesting channel allocation should be evidence-led.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Economic and seasonal variation can make a single static campaign strategy less effective across the entire campaign period.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Some categories contain very small samples; for example, default = yes has only three records, so conclusions for that group should not be generalized.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Recommended 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Benefit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1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Prioritize customers with successful previous campaign outcomes.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Focus effort on higher observed response segments.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2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Reduce excessive repeated outreach and introduce contact-frequency rules.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Improve efficiency and reduce wasted contacts.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3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Prefer cellular contact where operationally appropriate.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Align channel allocation with observed conversion.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Use high-response age groups as one targeting signal.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Improve prioritization while avoiding over-targeting.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5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Use monthly and economic indicators as contextual signals.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Improve campaign timing and planning.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6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Track performance continuously by segment and channel.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Create a feedback loop for future campaigns.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CC"/>
          </w:tcPr>
          <w:p>
            <w:pPr>
              <w:spacing w:after="40"/>
            </w:pPr>
            <w:r/>
            <w:r>
              <w:rPr>
                <w:b/>
                <w:color w:val="F2C300"/>
                <w:sz w:val="19"/>
              </w:rPr>
              <w:t>Interpretation principle</w:t>
            </w:r>
          </w:p>
          <w:p>
            <w:pPr>
              <w:spacing w:after="0"/>
            </w:pPr>
            <w:r>
              <w:rPr>
                <w:color w:val="303129"/>
                <w:sz w:val="18"/>
              </w:rPr>
              <w:t>Recommendations are based on observed associations. They should be validated with controlled campaign tests before being treated as causal rules.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 w:line="254" w:lineRule="auto"/>
      </w:pPr>
      <w:r>
        <w:rPr>
          <w:rFonts w:ascii="Aptos" w:hAnsi="Aptos"/>
          <w:b/>
          <w:color w:val="303129"/>
          <w:sz w:val="40"/>
        </w:rPr>
        <w:t>5. Next Actions &amp; Project Conclusion</w:t>
      </w:r>
    </w:p>
    <w:p>
      <w:pPr>
        <w:spacing w:after="160" w:line="254" w:lineRule="auto"/>
      </w:pPr>
      <w:r>
        <w:rPr>
          <w:rFonts w:ascii="Aptos" w:hAnsi="Aptos"/>
          <w:b w:val="0"/>
          <w:color w:val="666666"/>
          <w:sz w:val="20"/>
        </w:rPr>
        <w:t>A practical 90-day roadmap for turning analysis into repeatable campaign intelligence.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90-Day Action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3456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Phase 1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Days 1–30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Prioritize previous-success segments; review channel allocation; introduce contact-frequency monitoring.</w:t>
            </w:r>
          </w:p>
        </w:tc>
      </w:tr>
      <w:tr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Phase 2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Days 31–60</w:t>
            </w:r>
          </w:p>
        </w:tc>
        <w:tc>
          <w:tcPr>
            <w:tcW w:type="dxa" w:w="3456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Test segment-specific messaging and timing; compare cellular vs telephone; monitor conversion by month.</w:t>
            </w:r>
          </w:p>
        </w:tc>
      </w:tr>
      <w:tr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Phase 3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Days 61–90</w:t>
            </w:r>
          </w:p>
        </w:tc>
        <w:tc>
          <w:tcPr>
            <w:tcW w:type="dxa" w:w="3456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Evaluate tests, refine targeting rules, and establish recurring dashboard reviews.</w:t>
            </w:r>
          </w:p>
        </w:tc>
      </w:tr>
    </w:tbl>
    <w:p>
      <w:pPr>
        <w:spacing w:after="20"/>
      </w:pP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Recommended Performance Monitoring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Conversion rate by campaign contact frequency.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Conversion rate by contact method and day of week.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Conversion by previous campaign outcome.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Conversion by key customer segments such as age, job, education, and loan status.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Monthly conversion alongside Euribor, consumer confidence, employment variation, and consumer price index.</w:t>
      </w:r>
    </w:p>
    <w:p>
      <w:pPr>
        <w:pStyle w:val="ListBullet"/>
        <w:spacing w:after="40" w:line="245" w:lineRule="auto"/>
        <w:ind w:left="259"/>
      </w:pPr>
      <w:r>
        <w:rPr>
          <w:rFonts w:ascii="Aptos" w:hAnsi="Aptos"/>
          <w:color w:val="303129"/>
          <w:sz w:val="18"/>
        </w:rPr>
        <w:t>Sample-size checks before acting on small or rare categories.</w:t>
      </w: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Technical Deliverables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5184"/>
            <w:shd w:fill="3031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Cleaned dataset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41,176-row analytical table with engineered features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MySQL database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bank_marketing_analytics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SQL analysis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Business KPIs, conversion analysis and campaign patterns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Power BI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Four-page interactive dashboard</w:t>
            </w:r>
          </w:p>
        </w:tc>
      </w:tr>
      <w:tr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Business insights</w:t>
            </w:r>
          </w:p>
        </w:tc>
        <w:tc>
          <w:tcPr>
            <w:tcW w:type="dxa" w:w="5184"/>
            <w:shd w:fill="F7F7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Page-level insight panels and recommendations</w:t>
            </w:r>
          </w:p>
        </w:tc>
      </w:tr>
      <w:tr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Project report</w:t>
            </w:r>
          </w:p>
        </w:tc>
        <w:tc>
          <w:tcPr>
            <w:tcW w:type="dxa" w:w="5184"/>
            <w:shd w:fill="ECEC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129"/>
                <w:sz w:val="16"/>
              </w:rPr>
              <w:t>Professional business report</w:t>
            </w:r>
          </w:p>
        </w:tc>
      </w:tr>
    </w:tbl>
    <w:p>
      <w:pPr>
        <w:spacing w:after="20"/>
      </w:pPr>
    </w:p>
    <w:p>
      <w:pPr>
        <w:spacing w:after="80" w:line="254" w:lineRule="auto"/>
      </w:pPr>
      <w:r>
        <w:rPr>
          <w:rFonts w:ascii="Aptos" w:hAnsi="Aptos"/>
          <w:b/>
          <w:color w:val="F2C300"/>
          <w:sz w:val="26"/>
        </w:rPr>
        <w:t>Conclusion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This project demonstrates an end-to-end data analytics workflow: data cleaning and validation, SQL-based business analysis, feature engineering, interactive Power BI reporting, and business recommendation. The central finding is that campaign response is not uniform: previous campaign success, customer profile, contact channel, contact frequency, timing, and economic context are all associated with meaningful differences in observed subscription rates.</w:t>
      </w:r>
    </w:p>
    <w:p>
      <w:pPr>
        <w:spacing w:after="80" w:line="254" w:lineRule="auto"/>
      </w:pPr>
      <w:r>
        <w:rPr>
          <w:rFonts w:ascii="Aptos" w:hAnsi="Aptos"/>
          <w:b w:val="0"/>
          <w:color w:val="303129"/>
          <w:sz w:val="19"/>
        </w:rPr>
        <w:t>The strongest next step is to convert dashboard findings into measurable campaign tests, track the results, and continuously update targeting rules based on evidence. This turns the project from a static analysis into a repeatable decision-support process.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CC"/>
          </w:tcPr>
          <w:p>
            <w:pPr>
              <w:spacing w:after="40"/>
            </w:pPr>
            <w:r/>
            <w:r>
              <w:rPr>
                <w:b/>
                <w:color w:val="F2C300"/>
                <w:sz w:val="19"/>
              </w:rPr>
              <w:t>Final takeaway</w:t>
            </w:r>
          </w:p>
          <w:p>
            <w:pPr>
              <w:spacing w:after="0"/>
            </w:pPr>
            <w:r>
              <w:rPr>
                <w:color w:val="303129"/>
                <w:sz w:val="18"/>
              </w:rPr>
              <w:t>Use the dashboard to decide where to focus campaign effort, use SQL and Python to investigate patterns, and use controlled testing to determine which interventions actually improve conversion.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Confidential Project Portfolio • Bank Marketing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4"/>
      </w:rPr>
      <w:t>BANK MARKETING CAMPAIGN ANALYTICS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