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pBdr>
          <w:top w:val="none" w:color="auto" w:sz="0" w:space="0"/>
          <w:left w:val="none" w:color="auto" w:sz="0" w:space="0"/>
          <w:bottom w:val="none" w:color="auto" w:sz="0" w:space="0"/>
          <w:right w:val="none" w:color="auto" w:sz="0" w:space="0"/>
          <w:between w:val="none" w:color="auto" w:sz="0" w:space="0"/>
        </w:pBdr>
        <w:shd w:val="clear" w:fill="auto"/>
      </w:pPr>
      <w:r>
        <w:rPr>
          <w:rtl w:val="0"/>
        </w:rPr>
        <w:t>Architectural and Full-Stack En</w:t>
      </w:r>
      <w:bookmarkStart w:id="0" w:name="_GoBack"/>
      <w:bookmarkEnd w:id="0"/>
      <w:r>
        <w:rPr>
          <w:rtl w:val="0"/>
        </w:rPr>
        <w:t>gineering Blueprint for Next-Generation Indian Government Healthcare Portals</w:t>
      </w:r>
    </w:p>
    <w:p w14:paraId="00000002">
      <w:pPr>
        <w:pStyle w:val="3"/>
        <w:pBdr>
          <w:top w:val="none" w:color="auto" w:sz="0" w:space="0"/>
          <w:left w:val="none" w:color="auto" w:sz="0" w:space="0"/>
          <w:bottom w:val="none" w:color="auto" w:sz="0" w:space="0"/>
          <w:right w:val="none" w:color="auto" w:sz="0" w:space="0"/>
          <w:between w:val="none" w:color="auto" w:sz="0" w:space="0"/>
        </w:pBdr>
        <w:shd w:val="clear" w:fill="auto"/>
        <w:spacing w:before="0"/>
      </w:pPr>
      <w:r>
        <w:rPr>
          <w:rtl w:val="0"/>
        </w:rPr>
        <w:t>1. Architectural Vision and Engineering Paradigm</w:t>
      </w:r>
    </w:p>
    <w:p w14:paraId="00000003">
      <w:pPr>
        <w:pBdr>
          <w:top w:val="none" w:color="auto" w:sz="0" w:space="0"/>
          <w:left w:val="none" w:color="auto" w:sz="0" w:space="0"/>
          <w:bottom w:val="none" w:color="auto" w:sz="0" w:space="0"/>
          <w:right w:val="none" w:color="auto" w:sz="0" w:space="0"/>
          <w:between w:val="none" w:color="auto" w:sz="0" w:space="0"/>
        </w:pBdr>
        <w:shd w:val="clear" w:fill="auto"/>
      </w:pPr>
      <w:r>
        <w:rPr>
          <w:rtl w:val="0"/>
        </w:rPr>
        <w:t>The evolution of e-governance in India has decisively shifted from the deployment of static, informational brochure-ware to the engineering of highly integrated, secure, and interoperable digital ecosystems. Constructing a state-of-the-art hospital website for an Indian Government facility requires transcending baseline statutory requirements to embrace international best practices in software architecture, universal accessibility, and enterprise-grade cybersecurity. This comprehensive blueprint details a full-stack architectural paradigm designed to serve as a deeply integrated node within India's broader Digital Public Infrastructure (DPI).</w:t>
      </w:r>
    </w:p>
    <w:p w14:paraId="00000004">
      <w:pPr>
        <w:pBdr>
          <w:top w:val="none" w:color="auto" w:sz="0" w:space="0"/>
          <w:left w:val="none" w:color="auto" w:sz="0" w:space="0"/>
          <w:bottom w:val="none" w:color="auto" w:sz="0" w:space="0"/>
          <w:right w:val="none" w:color="auto" w:sz="0" w:space="0"/>
          <w:between w:val="none" w:color="auto" w:sz="0" w:space="0"/>
        </w:pBdr>
        <w:shd w:val="clear" w:fill="auto"/>
      </w:pPr>
      <w:r>
        <w:rPr>
          <w:rtl w:val="0"/>
        </w:rPr>
        <w:t>The proposed system architecture is engineered to strictly adhere to the Guidelines for Indian Government Websites (GIGW 3.0), the Ministry of Electronics and Information Technology (MeitY) Policy on Adoption of Open Source Software, the Ayushman Bharat Digital Mission (ABDM) framework, and the Indian Computer Emergency Response Team (CERT-In) cybersecurity mandates. By unifying core functional modules—Homepage, Services, Doctors, Appointment Booking, and Contact—with sovereign national APIs such as e-Pramaan for Single Sign-On, Bhashini for AI-driven multilingual translation, e-RaktKosh for blood bank logistics, and CPGRAMS for grievance redressal, the resulting platform will deliver an unparalleled, citizen-centric healthcare experience.</w:t>
      </w:r>
    </w:p>
    <w:p w14:paraId="00000005">
      <w:pPr>
        <w:pBdr>
          <w:top w:val="none" w:color="auto" w:sz="0" w:space="0"/>
          <w:left w:val="none" w:color="auto" w:sz="0" w:space="0"/>
          <w:bottom w:val="none" w:color="auto" w:sz="0" w:space="0"/>
          <w:right w:val="none" w:color="auto" w:sz="0" w:space="0"/>
          <w:between w:val="none" w:color="auto" w:sz="0" w:space="0"/>
        </w:pBdr>
        <w:shd w:val="clear" w:fill="auto"/>
        <w:spacing w:after="225"/>
      </w:pPr>
      <w:r>
        <w:rPr>
          <w:rtl w:val="0"/>
        </w:rPr>
        <w:t>Furthermore, this document delineates the technical implementation of mandatory audit processes, including the CERT-In Web Application Security Assessment (WASA) for the Safe-To-Host credential and the Standardisation Testing and Quality Certification (STQC) Certified Quality Website (CQW) evaluation. It concludes with a rigorous, policy-compliant protocol for transferring the digital asset to government stakeholders, ensuring long-term strategic control and maintainability.</w:t>
      </w:r>
    </w:p>
    <w:p w14:paraId="00000006">
      <w:pPr>
        <w:pStyle w:val="3"/>
        <w:pBdr>
          <w:top w:val="none" w:color="auto" w:sz="0" w:space="0"/>
          <w:left w:val="none" w:color="auto" w:sz="0" w:space="0"/>
          <w:bottom w:val="none" w:color="auto" w:sz="0" w:space="0"/>
          <w:right w:val="none" w:color="auto" w:sz="0" w:space="0"/>
          <w:between w:val="none" w:color="auto" w:sz="0" w:space="0"/>
        </w:pBdr>
        <w:shd w:val="clear" w:fill="auto"/>
        <w:spacing w:before="0"/>
      </w:pPr>
      <w:r>
        <w:rPr>
          <w:rtl w:val="0"/>
        </w:rPr>
        <w:t>2. Microservices Architecture and Technology Stack Selection</w:t>
      </w:r>
    </w:p>
    <w:p w14:paraId="00000007">
      <w:pPr>
        <w:pBdr>
          <w:top w:val="none" w:color="auto" w:sz="0" w:space="0"/>
          <w:left w:val="none" w:color="auto" w:sz="0" w:space="0"/>
          <w:bottom w:val="none" w:color="auto" w:sz="0" w:space="0"/>
          <w:right w:val="none" w:color="auto" w:sz="0" w:space="0"/>
          <w:between w:val="none" w:color="auto" w:sz="0" w:space="0"/>
        </w:pBdr>
        <w:shd w:val="clear" w:fill="auto"/>
      </w:pPr>
      <w:r>
        <w:rPr>
          <w:rtl w:val="0"/>
        </w:rPr>
        <w:t>The Government of India’s Policy on Adoption of Open Source Software explicitly mandates that open-source software (OSS) must be considered the primary option for all e-governance applications to ensure strategic control, prevent vendor lock-in, and drastically reduce the Total Cost of Ownership (TCO) over the application's lifecycle. Consequently, the recommended technology stack relies entirely on enterprise-grade open-source frameworks.</w:t>
      </w:r>
    </w:p>
    <w:p w14:paraId="00000008">
      <w:pPr>
        <w:pBdr>
          <w:top w:val="none" w:color="auto" w:sz="0" w:space="0"/>
          <w:left w:val="none" w:color="auto" w:sz="0" w:space="0"/>
          <w:bottom w:val="none" w:color="auto" w:sz="0" w:space="0"/>
          <w:right w:val="none" w:color="auto" w:sz="0" w:space="0"/>
          <w:between w:val="none" w:color="auto" w:sz="0" w:space="0"/>
        </w:pBdr>
        <w:shd w:val="clear" w:fill="auto"/>
        <w:spacing w:after="240"/>
      </w:pPr>
      <w:r>
        <w:rPr>
          <w:rtl w:val="0"/>
        </w:rPr>
        <w:t>To handle the immense concurrent traffic typical of government portals and the highly asynchronous nature of national healthcare APIs, a traditional monolithic architecture is insufficient. The system must be engineered using a domain-driven microservices architecture, segregating the application into highly cohesive, loosely coupled domains. This allows the clinical data service, which handles heavy cryptographic payloads, to scale independently of the content management service driving the homepage.</w:t>
      </w:r>
    </w:p>
    <w:p w14:paraId="00000009">
      <w:pPr>
        <w:pStyle w:val="4"/>
        <w:pBdr>
          <w:top w:val="none" w:color="auto" w:sz="0" w:space="0"/>
          <w:left w:val="none" w:color="auto" w:sz="0" w:space="0"/>
          <w:bottom w:val="none" w:color="auto" w:sz="0" w:space="0"/>
          <w:right w:val="none" w:color="auto" w:sz="0" w:space="0"/>
          <w:between w:val="none" w:color="auto" w:sz="0" w:space="0"/>
        </w:pBdr>
        <w:shd w:val="clear" w:fill="auto"/>
        <w:spacing w:before="0"/>
      </w:pPr>
      <w:r>
        <w:rPr>
          <w:rtl w:val="0"/>
        </w:rPr>
        <w:t>2.1 Microservices Domain Boundaries</w:t>
      </w:r>
    </w:p>
    <w:p w14:paraId="0000000A">
      <w:pPr>
        <w:pBdr>
          <w:top w:val="none" w:color="auto" w:sz="0" w:space="0"/>
          <w:left w:val="none" w:color="auto" w:sz="0" w:space="0"/>
          <w:bottom w:val="none" w:color="auto" w:sz="0" w:space="0"/>
          <w:right w:val="none" w:color="auto" w:sz="0" w:space="0"/>
          <w:between w:val="none" w:color="auto" w:sz="0" w:space="0"/>
        </w:pBdr>
        <w:shd w:val="clear" w:fill="auto"/>
      </w:pPr>
      <w:r>
        <w:rPr>
          <w:rtl w:val="0"/>
        </w:rPr>
        <w:t>The architectural topology is divided into several specialized backend services communicating over a secure API gateway. The Identity and Access Management (IAM) Service is dedicated exclusively to interfacing with the e-Pramaan National Single Sign-On platform, handling OAuth 2.0 flows and token lifecycle management. The Clinical Interoperability Service functions as the core engine for the Ayushman Bharat Digital Mission (ABDM), processing Fast Healthcare Interoperability Resources (FHIR) bundles and managing the heavy elliptic-curve cryptography required for health data exchange.</w:t>
      </w:r>
    </w:p>
    <w:p w14:paraId="0000000B">
      <w:pPr>
        <w:pBdr>
          <w:top w:val="none" w:color="auto" w:sz="0" w:space="0"/>
          <w:left w:val="none" w:color="auto" w:sz="0" w:space="0"/>
          <w:bottom w:val="none" w:color="auto" w:sz="0" w:space="0"/>
          <w:right w:val="none" w:color="auto" w:sz="0" w:space="0"/>
          <w:between w:val="none" w:color="auto" w:sz="0" w:space="0"/>
        </w:pBdr>
        <w:shd w:val="clear" w:fill="auto"/>
        <w:spacing w:after="240"/>
      </w:pPr>
      <w:r>
        <w:rPr>
          <w:rtl w:val="0"/>
        </w:rPr>
        <w:t>Simultaneously, the Citizen Services Service manages localized workflows, including appointment scheduling, automated grievance routing to the CPGRAMS backend, and real-time polling of the e-RaktKosh APIs. Finally, the Content Management Service operates as a headless backend, driving the GIGW 3.0 compliant frontend while ensuring strict separation of presentation and business logic.</w:t>
      </w:r>
    </w:p>
    <w:p w14:paraId="0000000C">
      <w:pPr>
        <w:pStyle w:val="4"/>
        <w:pBdr>
          <w:top w:val="none" w:color="auto" w:sz="0" w:space="0"/>
          <w:left w:val="none" w:color="auto" w:sz="0" w:space="0"/>
          <w:bottom w:val="none" w:color="auto" w:sz="0" w:space="0"/>
          <w:right w:val="none" w:color="auto" w:sz="0" w:space="0"/>
          <w:between w:val="none" w:color="auto" w:sz="0" w:space="0"/>
        </w:pBdr>
        <w:shd w:val="clear" w:fill="auto"/>
        <w:spacing w:before="0"/>
      </w:pPr>
      <w:r>
        <w:rPr>
          <w:rtl w:val="0"/>
        </w:rPr>
        <w:t>2.2 Full-Stack Technology Recommendations</w:t>
      </w:r>
    </w:p>
    <w:p w14:paraId="0000000D">
      <w:pPr>
        <w:pBdr>
          <w:top w:val="none" w:color="auto" w:sz="0" w:space="0"/>
          <w:left w:val="none" w:color="auto" w:sz="0" w:space="0"/>
          <w:bottom w:val="none" w:color="auto" w:sz="0" w:space="0"/>
          <w:right w:val="none" w:color="auto" w:sz="0" w:space="0"/>
          <w:between w:val="none" w:color="auto" w:sz="0" w:space="0"/>
        </w:pBdr>
        <w:shd w:val="clear" w:fill="auto"/>
      </w:pPr>
      <w:r>
        <w:rPr>
          <w:rtl w:val="0"/>
        </w:rPr>
        <w:t>The selection of specific technologies within this microservices architecture requires balancing developer velocity, enterprise security, and the specific asynchronous operational demands of the Indian digital health ecosystem. The following table provides a comprehensive comparative analysis of the recommended OSS technology stack.</w:t>
      </w:r>
    </w:p>
    <w:tbl>
      <w:tblPr>
        <w:tblStyle w:val="13"/>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14:paraId="577CB42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blHeader/>
        </w:trPr>
        <w:tc>
          <w:tcPr>
            <w:shd w:val="clear" w:color="auto" w:fill="auto"/>
            <w:tcMar>
              <w:top w:w="0" w:type="dxa"/>
              <w:left w:w="0" w:type="dxa"/>
              <w:bottom w:w="0" w:type="dxa"/>
              <w:right w:w="0" w:type="dxa"/>
            </w:tcMar>
            <w:vAlign w:val="top"/>
          </w:tcPr>
          <w:p w14:paraId="0000000E">
            <w:pPr>
              <w:pBdr>
                <w:top w:val="none" w:color="auto" w:sz="0" w:space="0"/>
                <w:left w:val="none" w:color="auto" w:sz="0" w:space="0"/>
                <w:bottom w:val="none" w:color="auto" w:sz="0" w:space="0"/>
                <w:right w:val="none" w:color="auto" w:sz="0" w:space="0"/>
                <w:between w:val="none" w:color="auto" w:sz="0" w:space="0"/>
              </w:pBdr>
              <w:shd w:val="clear" w:fill="auto"/>
            </w:pPr>
            <w:r>
              <w:rPr>
                <w:rtl w:val="0"/>
              </w:rPr>
              <w:t>Architectural Layer</w:t>
            </w:r>
          </w:p>
        </w:tc>
        <w:tc>
          <w:tcPr>
            <w:shd w:val="clear" w:color="auto" w:fill="auto"/>
            <w:tcMar>
              <w:top w:w="0" w:type="dxa"/>
              <w:left w:w="0" w:type="dxa"/>
              <w:bottom w:w="0" w:type="dxa"/>
              <w:right w:w="0" w:type="dxa"/>
            </w:tcMar>
            <w:vAlign w:val="top"/>
          </w:tcPr>
          <w:p w14:paraId="0000000F">
            <w:pPr>
              <w:pBdr>
                <w:top w:val="none" w:color="auto" w:sz="0" w:space="0"/>
                <w:left w:val="none" w:color="auto" w:sz="0" w:space="0"/>
                <w:bottom w:val="none" w:color="auto" w:sz="0" w:space="0"/>
                <w:right w:val="none" w:color="auto" w:sz="0" w:space="0"/>
                <w:between w:val="none" w:color="auto" w:sz="0" w:space="0"/>
              </w:pBdr>
              <w:shd w:val="clear" w:fill="auto"/>
            </w:pPr>
            <w:r>
              <w:rPr>
                <w:rtl w:val="0"/>
              </w:rPr>
              <w:t>Recommended Technology</w:t>
            </w:r>
          </w:p>
        </w:tc>
        <w:tc>
          <w:tcPr>
            <w:shd w:val="clear" w:color="auto" w:fill="auto"/>
            <w:tcMar>
              <w:top w:w="0" w:type="dxa"/>
              <w:left w:w="0" w:type="dxa"/>
              <w:bottom w:w="0" w:type="dxa"/>
              <w:right w:w="0" w:type="dxa"/>
            </w:tcMar>
            <w:vAlign w:val="top"/>
          </w:tcPr>
          <w:p w14:paraId="00000010">
            <w:pPr>
              <w:pBdr>
                <w:top w:val="none" w:color="auto" w:sz="0" w:space="0"/>
                <w:left w:val="none" w:color="auto" w:sz="0" w:space="0"/>
                <w:bottom w:val="none" w:color="auto" w:sz="0" w:space="0"/>
                <w:right w:val="none" w:color="auto" w:sz="0" w:space="0"/>
                <w:between w:val="none" w:color="auto" w:sz="0" w:space="0"/>
              </w:pBdr>
              <w:shd w:val="clear" w:fill="auto"/>
            </w:pPr>
            <w:r>
              <w:rPr>
                <w:rtl w:val="0"/>
              </w:rPr>
              <w:t>Technical Advantages</w:t>
            </w:r>
          </w:p>
        </w:tc>
        <w:tc>
          <w:tcPr>
            <w:shd w:val="clear" w:color="auto" w:fill="auto"/>
            <w:tcMar>
              <w:top w:w="0" w:type="dxa"/>
              <w:left w:w="0" w:type="dxa"/>
              <w:bottom w:w="0" w:type="dxa"/>
              <w:right w:w="0" w:type="dxa"/>
            </w:tcMar>
            <w:vAlign w:val="top"/>
          </w:tcPr>
          <w:p w14:paraId="00000011">
            <w:pPr>
              <w:pBdr>
                <w:top w:val="none" w:color="auto" w:sz="0" w:space="0"/>
                <w:left w:val="none" w:color="auto" w:sz="0" w:space="0"/>
                <w:bottom w:val="none" w:color="auto" w:sz="0" w:space="0"/>
                <w:right w:val="none" w:color="auto" w:sz="0" w:space="0"/>
                <w:between w:val="none" w:color="auto" w:sz="0" w:space="0"/>
              </w:pBdr>
              <w:shd w:val="clear" w:fill="auto"/>
            </w:pPr>
            <w:r>
              <w:rPr>
                <w:rtl w:val="0"/>
              </w:rPr>
              <w:t>Trade-offs and Considerations</w:t>
            </w:r>
          </w:p>
        </w:tc>
      </w:tr>
      <w:tr w14:paraId="4FF3B6E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0" w:type="dxa"/>
              <w:left w:w="0" w:type="dxa"/>
              <w:bottom w:w="0" w:type="dxa"/>
              <w:right w:w="0" w:type="dxa"/>
            </w:tcMar>
            <w:vAlign w:val="top"/>
          </w:tcPr>
          <w:p w14:paraId="00000012">
            <w:pPr>
              <w:pBdr>
                <w:top w:val="none" w:color="auto" w:sz="0" w:space="0"/>
                <w:left w:val="none" w:color="auto" w:sz="0" w:space="0"/>
                <w:bottom w:val="none" w:color="auto" w:sz="0" w:space="0"/>
                <w:right w:val="none" w:color="auto" w:sz="0" w:space="0"/>
                <w:between w:val="none" w:color="auto" w:sz="0" w:space="0"/>
              </w:pBdr>
              <w:shd w:val="clear" w:fill="auto"/>
              <w:rPr>
                <w:b/>
                <w:bCs/>
              </w:rPr>
            </w:pPr>
            <w:r>
              <w:rPr>
                <w:b/>
                <w:bCs/>
                <w:rtl w:val="0"/>
              </w:rPr>
              <w:t>Frontend Framework</w:t>
            </w:r>
          </w:p>
        </w:tc>
        <w:tc>
          <w:tcPr>
            <w:shd w:val="clear" w:color="auto" w:fill="auto"/>
            <w:tcMar>
              <w:top w:w="0" w:type="dxa"/>
              <w:left w:w="0" w:type="dxa"/>
              <w:bottom w:w="0" w:type="dxa"/>
              <w:right w:w="0" w:type="dxa"/>
            </w:tcMar>
            <w:vAlign w:val="top"/>
          </w:tcPr>
          <w:p w14:paraId="00000013">
            <w:pPr>
              <w:pBdr>
                <w:top w:val="none" w:color="auto" w:sz="0" w:space="0"/>
                <w:left w:val="none" w:color="auto" w:sz="0" w:space="0"/>
                <w:bottom w:val="none" w:color="auto" w:sz="0" w:space="0"/>
                <w:right w:val="none" w:color="auto" w:sz="0" w:space="0"/>
                <w:between w:val="none" w:color="auto" w:sz="0" w:space="0"/>
              </w:pBdr>
              <w:shd w:val="clear" w:fill="auto"/>
              <w:rPr>
                <w:b/>
                <w:bCs/>
              </w:rPr>
            </w:pPr>
            <w:r>
              <w:rPr>
                <w:b/>
                <w:bCs/>
                <w:rtl w:val="0"/>
              </w:rPr>
              <w:t>Next.js (React.js)</w:t>
            </w:r>
          </w:p>
        </w:tc>
        <w:tc>
          <w:tcPr>
            <w:shd w:val="clear" w:color="auto" w:fill="auto"/>
            <w:tcMar>
              <w:top w:w="0" w:type="dxa"/>
              <w:left w:w="0" w:type="dxa"/>
              <w:bottom w:w="0" w:type="dxa"/>
              <w:right w:w="0" w:type="dxa"/>
            </w:tcMar>
            <w:vAlign w:val="top"/>
          </w:tcPr>
          <w:p w14:paraId="00000014">
            <w:pPr>
              <w:pBdr>
                <w:top w:val="none" w:color="auto" w:sz="0" w:space="0"/>
                <w:left w:val="none" w:color="auto" w:sz="0" w:space="0"/>
                <w:bottom w:val="none" w:color="auto" w:sz="0" w:space="0"/>
                <w:right w:val="none" w:color="auto" w:sz="0" w:space="0"/>
                <w:between w:val="none" w:color="auto" w:sz="0" w:space="0"/>
              </w:pBdr>
              <w:shd w:val="clear" w:fill="auto"/>
            </w:pPr>
            <w:r>
              <w:rPr>
                <w:rtl w:val="0"/>
              </w:rPr>
              <w:t>Delivers superior Server-Side Rendering (SSR) essential for SEO and fast perceived load times on low-bandwidth mobile networks. Facilitates strict GIGW 3.0 accessibility compliance through integrated ARIA linting in the CI pipeline.</w:t>
            </w:r>
          </w:p>
        </w:tc>
        <w:tc>
          <w:tcPr>
            <w:shd w:val="clear" w:color="auto" w:fill="auto"/>
            <w:tcMar>
              <w:top w:w="0" w:type="dxa"/>
              <w:left w:w="0" w:type="dxa"/>
              <w:bottom w:w="0" w:type="dxa"/>
              <w:right w:w="0" w:type="dxa"/>
            </w:tcMar>
            <w:vAlign w:val="top"/>
          </w:tcPr>
          <w:p w14:paraId="00000015">
            <w:pPr>
              <w:pBdr>
                <w:top w:val="none" w:color="auto" w:sz="0" w:space="0"/>
                <w:left w:val="none" w:color="auto" w:sz="0" w:space="0"/>
                <w:bottom w:val="none" w:color="auto" w:sz="0" w:space="0"/>
                <w:right w:val="none" w:color="auto" w:sz="0" w:space="0"/>
                <w:between w:val="none" w:color="auto" w:sz="0" w:space="0"/>
              </w:pBdr>
              <w:shd w:val="clear" w:fill="auto"/>
            </w:pPr>
            <w:r>
              <w:rPr>
                <w:rtl w:val="0"/>
              </w:rPr>
              <w:t>Imposes a steeper learning curve for legacy government IT maintenance teams transitioning from traditional monolithic PHP or Java frontends.</w:t>
            </w:r>
          </w:p>
        </w:tc>
      </w:tr>
      <w:tr w14:paraId="427102F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0" w:type="dxa"/>
              <w:left w:w="0" w:type="dxa"/>
              <w:bottom w:w="0" w:type="dxa"/>
              <w:right w:w="0" w:type="dxa"/>
            </w:tcMar>
            <w:vAlign w:val="top"/>
          </w:tcPr>
          <w:p w14:paraId="00000016">
            <w:pPr>
              <w:pBdr>
                <w:top w:val="none" w:color="auto" w:sz="0" w:space="0"/>
                <w:left w:val="none" w:color="auto" w:sz="0" w:space="0"/>
                <w:bottom w:val="none" w:color="auto" w:sz="0" w:space="0"/>
                <w:right w:val="none" w:color="auto" w:sz="0" w:space="0"/>
                <w:between w:val="none" w:color="auto" w:sz="0" w:space="0"/>
              </w:pBdr>
              <w:shd w:val="clear" w:fill="auto"/>
              <w:rPr>
                <w:b/>
                <w:bCs/>
              </w:rPr>
            </w:pPr>
            <w:r>
              <w:rPr>
                <w:b/>
                <w:bCs/>
                <w:rtl w:val="0"/>
              </w:rPr>
              <w:t>Backend (I/O Intensive)</w:t>
            </w:r>
          </w:p>
        </w:tc>
        <w:tc>
          <w:tcPr>
            <w:shd w:val="clear" w:color="auto" w:fill="auto"/>
            <w:tcMar>
              <w:top w:w="0" w:type="dxa"/>
              <w:left w:w="0" w:type="dxa"/>
              <w:bottom w:w="0" w:type="dxa"/>
              <w:right w:w="0" w:type="dxa"/>
            </w:tcMar>
            <w:vAlign w:val="top"/>
          </w:tcPr>
          <w:p w14:paraId="00000017">
            <w:pPr>
              <w:pBdr>
                <w:top w:val="none" w:color="auto" w:sz="0" w:space="0"/>
                <w:left w:val="none" w:color="auto" w:sz="0" w:space="0"/>
                <w:bottom w:val="none" w:color="auto" w:sz="0" w:space="0"/>
                <w:right w:val="none" w:color="auto" w:sz="0" w:space="0"/>
                <w:between w:val="none" w:color="auto" w:sz="0" w:space="0"/>
              </w:pBdr>
              <w:shd w:val="clear" w:fill="auto"/>
              <w:rPr>
                <w:b/>
                <w:bCs/>
              </w:rPr>
            </w:pPr>
            <w:r>
              <w:rPr>
                <w:b/>
                <w:bCs/>
                <w:rtl w:val="0"/>
              </w:rPr>
              <w:t>NestJS (Node.js)</w:t>
            </w:r>
          </w:p>
        </w:tc>
        <w:tc>
          <w:tcPr>
            <w:shd w:val="clear" w:color="auto" w:fill="auto"/>
            <w:tcMar>
              <w:top w:w="0" w:type="dxa"/>
              <w:left w:w="0" w:type="dxa"/>
              <w:bottom w:w="0" w:type="dxa"/>
              <w:right w:w="0" w:type="dxa"/>
            </w:tcMar>
            <w:vAlign w:val="top"/>
          </w:tcPr>
          <w:p w14:paraId="00000018">
            <w:pPr>
              <w:pBdr>
                <w:top w:val="none" w:color="auto" w:sz="0" w:space="0"/>
                <w:left w:val="none" w:color="auto" w:sz="0" w:space="0"/>
                <w:bottom w:val="none" w:color="auto" w:sz="0" w:space="0"/>
                <w:right w:val="none" w:color="auto" w:sz="0" w:space="0"/>
                <w:between w:val="none" w:color="auto" w:sz="0" w:space="0"/>
              </w:pBdr>
              <w:shd w:val="clear" w:fill="auto"/>
            </w:pPr>
            <w:r>
              <w:rPr>
                <w:rtl w:val="0"/>
              </w:rPr>
              <w:t>Utilizes TypeScript for robust type safety. Its event-driven, non-blocking asynchronous I/O model is perfectly suited for handling the high-volume concurrent webhook callbacks mandated by the ABDM architecture.</w:t>
            </w:r>
          </w:p>
        </w:tc>
        <w:tc>
          <w:tcPr>
            <w:shd w:val="clear" w:color="auto" w:fill="auto"/>
            <w:tcMar>
              <w:top w:w="0" w:type="dxa"/>
              <w:left w:w="0" w:type="dxa"/>
              <w:bottom w:w="0" w:type="dxa"/>
              <w:right w:w="0" w:type="dxa"/>
            </w:tcMar>
            <w:vAlign w:val="top"/>
          </w:tcPr>
          <w:p w14:paraId="00000019">
            <w:pPr>
              <w:pBdr>
                <w:top w:val="none" w:color="auto" w:sz="0" w:space="0"/>
                <w:left w:val="none" w:color="auto" w:sz="0" w:space="0"/>
                <w:bottom w:val="none" w:color="auto" w:sz="0" w:space="0"/>
                <w:right w:val="none" w:color="auto" w:sz="0" w:space="0"/>
                <w:between w:val="none" w:color="auto" w:sz="0" w:space="0"/>
              </w:pBdr>
              <w:shd w:val="clear" w:fill="auto"/>
            </w:pPr>
            <w:r>
              <w:rPr>
                <w:rtl w:val="0"/>
              </w:rPr>
              <w:t>Single-threaded nature means CPU-intensive tasks, such as massive FHIR payload encryption, must be offloaded to worker threads or separate services.</w:t>
            </w:r>
          </w:p>
        </w:tc>
      </w:tr>
      <w:tr w14:paraId="531C547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0" w:type="dxa"/>
              <w:left w:w="0" w:type="dxa"/>
              <w:bottom w:w="0" w:type="dxa"/>
              <w:right w:w="0" w:type="dxa"/>
            </w:tcMar>
            <w:vAlign w:val="top"/>
          </w:tcPr>
          <w:p w14:paraId="0000001A">
            <w:pPr>
              <w:pBdr>
                <w:top w:val="none" w:color="auto" w:sz="0" w:space="0"/>
                <w:left w:val="none" w:color="auto" w:sz="0" w:space="0"/>
                <w:bottom w:val="none" w:color="auto" w:sz="0" w:space="0"/>
                <w:right w:val="none" w:color="auto" w:sz="0" w:space="0"/>
                <w:between w:val="none" w:color="auto" w:sz="0" w:space="0"/>
              </w:pBdr>
              <w:shd w:val="clear" w:fill="auto"/>
              <w:rPr>
                <w:b/>
                <w:bCs/>
              </w:rPr>
            </w:pPr>
            <w:r>
              <w:rPr>
                <w:b/>
                <w:bCs/>
                <w:rtl w:val="0"/>
              </w:rPr>
              <w:t>Backend (Compute Intensive)</w:t>
            </w:r>
          </w:p>
        </w:tc>
        <w:tc>
          <w:tcPr>
            <w:shd w:val="clear" w:color="auto" w:fill="auto"/>
            <w:tcMar>
              <w:top w:w="0" w:type="dxa"/>
              <w:left w:w="0" w:type="dxa"/>
              <w:bottom w:w="0" w:type="dxa"/>
              <w:right w:w="0" w:type="dxa"/>
            </w:tcMar>
            <w:vAlign w:val="top"/>
          </w:tcPr>
          <w:p w14:paraId="0000001B">
            <w:pPr>
              <w:pBdr>
                <w:top w:val="none" w:color="auto" w:sz="0" w:space="0"/>
                <w:left w:val="none" w:color="auto" w:sz="0" w:space="0"/>
                <w:bottom w:val="none" w:color="auto" w:sz="0" w:space="0"/>
                <w:right w:val="none" w:color="auto" w:sz="0" w:space="0"/>
                <w:between w:val="none" w:color="auto" w:sz="0" w:space="0"/>
              </w:pBdr>
              <w:shd w:val="clear" w:fill="auto"/>
              <w:rPr>
                <w:b/>
                <w:bCs/>
              </w:rPr>
            </w:pPr>
            <w:r>
              <w:rPr>
                <w:b/>
                <w:bCs/>
                <w:rtl w:val="0"/>
              </w:rPr>
              <w:t>Spring Boot (Java)</w:t>
            </w:r>
          </w:p>
        </w:tc>
        <w:tc>
          <w:tcPr>
            <w:shd w:val="clear" w:color="auto" w:fill="auto"/>
            <w:tcMar>
              <w:top w:w="0" w:type="dxa"/>
              <w:left w:w="0" w:type="dxa"/>
              <w:bottom w:w="0" w:type="dxa"/>
              <w:right w:w="0" w:type="dxa"/>
            </w:tcMar>
            <w:vAlign w:val="top"/>
          </w:tcPr>
          <w:p w14:paraId="0000001C">
            <w:pPr>
              <w:pBdr>
                <w:top w:val="none" w:color="auto" w:sz="0" w:space="0"/>
                <w:left w:val="none" w:color="auto" w:sz="0" w:space="0"/>
                <w:bottom w:val="none" w:color="auto" w:sz="0" w:space="0"/>
                <w:right w:val="none" w:color="auto" w:sz="0" w:space="0"/>
                <w:between w:val="none" w:color="auto" w:sz="0" w:space="0"/>
              </w:pBdr>
              <w:shd w:val="clear" w:fill="auto"/>
            </w:pPr>
            <w:r>
              <w:rPr>
                <w:rtl w:val="0"/>
              </w:rPr>
              <w:t>Provides unparalleled enterprise security paradigms, robust multithreading, and extensive cryptographic libraries critical for implementing Fidelius (ECDH key agreement) encryption seamlessly.</w:t>
            </w:r>
          </w:p>
        </w:tc>
        <w:tc>
          <w:tcPr>
            <w:shd w:val="clear" w:color="auto" w:fill="auto"/>
            <w:tcMar>
              <w:top w:w="0" w:type="dxa"/>
              <w:left w:w="0" w:type="dxa"/>
              <w:bottom w:w="0" w:type="dxa"/>
              <w:right w:w="0" w:type="dxa"/>
            </w:tcMar>
            <w:vAlign w:val="top"/>
          </w:tcPr>
          <w:p w14:paraId="0000001D">
            <w:pPr>
              <w:pBdr>
                <w:top w:val="none" w:color="auto" w:sz="0" w:space="0"/>
                <w:left w:val="none" w:color="auto" w:sz="0" w:space="0"/>
                <w:bottom w:val="none" w:color="auto" w:sz="0" w:space="0"/>
                <w:right w:val="none" w:color="auto" w:sz="0" w:space="0"/>
                <w:between w:val="none" w:color="auto" w:sz="0" w:space="0"/>
              </w:pBdr>
              <w:shd w:val="clear" w:fill="auto"/>
            </w:pPr>
            <w:r>
              <w:rPr>
                <w:rtl w:val="0"/>
              </w:rPr>
              <w:t>Exhibits a higher memory footprint compared to Node.js and slower cold start times, necessitating careful container orchestration.</w:t>
            </w:r>
          </w:p>
        </w:tc>
      </w:tr>
      <w:tr w14:paraId="13A1D8A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0" w:type="dxa"/>
              <w:left w:w="0" w:type="dxa"/>
              <w:bottom w:w="0" w:type="dxa"/>
              <w:right w:w="0" w:type="dxa"/>
            </w:tcMar>
            <w:vAlign w:val="top"/>
          </w:tcPr>
          <w:p w14:paraId="0000001E">
            <w:pPr>
              <w:pBdr>
                <w:top w:val="none" w:color="auto" w:sz="0" w:space="0"/>
                <w:left w:val="none" w:color="auto" w:sz="0" w:space="0"/>
                <w:bottom w:val="none" w:color="auto" w:sz="0" w:space="0"/>
                <w:right w:val="none" w:color="auto" w:sz="0" w:space="0"/>
                <w:between w:val="none" w:color="auto" w:sz="0" w:space="0"/>
              </w:pBdr>
              <w:shd w:val="clear" w:fill="auto"/>
              <w:rPr>
                <w:b/>
                <w:bCs/>
              </w:rPr>
            </w:pPr>
            <w:r>
              <w:rPr>
                <w:b/>
                <w:bCs/>
                <w:rtl w:val="0"/>
              </w:rPr>
              <w:t>Primary Database</w:t>
            </w:r>
          </w:p>
        </w:tc>
        <w:tc>
          <w:tcPr>
            <w:shd w:val="clear" w:color="auto" w:fill="auto"/>
            <w:tcMar>
              <w:top w:w="0" w:type="dxa"/>
              <w:left w:w="0" w:type="dxa"/>
              <w:bottom w:w="0" w:type="dxa"/>
              <w:right w:w="0" w:type="dxa"/>
            </w:tcMar>
            <w:vAlign w:val="top"/>
          </w:tcPr>
          <w:p w14:paraId="0000001F">
            <w:pPr>
              <w:pBdr>
                <w:top w:val="none" w:color="auto" w:sz="0" w:space="0"/>
                <w:left w:val="none" w:color="auto" w:sz="0" w:space="0"/>
                <w:bottom w:val="none" w:color="auto" w:sz="0" w:space="0"/>
                <w:right w:val="none" w:color="auto" w:sz="0" w:space="0"/>
                <w:between w:val="none" w:color="auto" w:sz="0" w:space="0"/>
              </w:pBdr>
              <w:shd w:val="clear" w:fill="auto"/>
              <w:rPr>
                <w:b/>
                <w:bCs/>
              </w:rPr>
            </w:pPr>
            <w:r>
              <w:rPr>
                <w:b/>
                <w:bCs/>
                <w:rtl w:val="0"/>
              </w:rPr>
              <w:t>PostgreSQL</w:t>
            </w:r>
          </w:p>
        </w:tc>
        <w:tc>
          <w:tcPr>
            <w:shd w:val="clear" w:color="auto" w:fill="auto"/>
            <w:tcMar>
              <w:top w:w="0" w:type="dxa"/>
              <w:left w:w="0" w:type="dxa"/>
              <w:bottom w:w="0" w:type="dxa"/>
              <w:right w:w="0" w:type="dxa"/>
            </w:tcMar>
            <w:vAlign w:val="top"/>
          </w:tcPr>
          <w:p w14:paraId="00000020">
            <w:pPr>
              <w:pBdr>
                <w:top w:val="none" w:color="auto" w:sz="0" w:space="0"/>
                <w:left w:val="none" w:color="auto" w:sz="0" w:space="0"/>
                <w:bottom w:val="none" w:color="auto" w:sz="0" w:space="0"/>
                <w:right w:val="none" w:color="auto" w:sz="0" w:space="0"/>
                <w:between w:val="none" w:color="auto" w:sz="0" w:space="0"/>
              </w:pBdr>
              <w:shd w:val="clear" w:fill="auto"/>
            </w:pPr>
            <w:r>
              <w:rPr>
                <w:rtl w:val="0"/>
              </w:rPr>
              <w:t>Strictly ACID compliant, exceptionally secure, and fully open-source. Ideal for storing structured hospital data, doctor registries, and complex Role-Based Access Control (RBAC) models.</w:t>
            </w:r>
          </w:p>
        </w:tc>
        <w:tc>
          <w:tcPr>
            <w:shd w:val="clear" w:color="auto" w:fill="auto"/>
            <w:tcMar>
              <w:top w:w="0" w:type="dxa"/>
              <w:left w:w="0" w:type="dxa"/>
              <w:bottom w:w="0" w:type="dxa"/>
              <w:right w:w="0" w:type="dxa"/>
            </w:tcMar>
            <w:vAlign w:val="top"/>
          </w:tcPr>
          <w:p w14:paraId="00000021">
            <w:pPr>
              <w:pBdr>
                <w:top w:val="none" w:color="auto" w:sz="0" w:space="0"/>
                <w:left w:val="none" w:color="auto" w:sz="0" w:space="0"/>
                <w:bottom w:val="none" w:color="auto" w:sz="0" w:space="0"/>
                <w:right w:val="none" w:color="auto" w:sz="0" w:space="0"/>
                <w:between w:val="none" w:color="auto" w:sz="0" w:space="0"/>
              </w:pBdr>
              <w:shd w:val="clear" w:fill="auto"/>
            </w:pPr>
            <w:r>
              <w:rPr>
                <w:rtl w:val="0"/>
              </w:rPr>
              <w:t>Requires specialized database administration for establishing and maintaining High Availability (HA) clustering and replication.</w:t>
            </w:r>
          </w:p>
        </w:tc>
      </w:tr>
      <w:tr w14:paraId="4DF50A7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0" w:type="dxa"/>
              <w:left w:w="0" w:type="dxa"/>
              <w:bottom w:w="0" w:type="dxa"/>
              <w:right w:w="0" w:type="dxa"/>
            </w:tcMar>
            <w:vAlign w:val="top"/>
          </w:tcPr>
          <w:p w14:paraId="00000022">
            <w:pPr>
              <w:pBdr>
                <w:top w:val="none" w:color="auto" w:sz="0" w:space="0"/>
                <w:left w:val="none" w:color="auto" w:sz="0" w:space="0"/>
                <w:bottom w:val="none" w:color="auto" w:sz="0" w:space="0"/>
                <w:right w:val="none" w:color="auto" w:sz="0" w:space="0"/>
                <w:between w:val="none" w:color="auto" w:sz="0" w:space="0"/>
              </w:pBdr>
              <w:shd w:val="clear" w:fill="auto"/>
              <w:rPr>
                <w:b/>
                <w:bCs/>
              </w:rPr>
            </w:pPr>
            <w:r>
              <w:rPr>
                <w:b/>
                <w:bCs/>
                <w:rtl w:val="0"/>
              </w:rPr>
              <w:t>Document Database</w:t>
            </w:r>
          </w:p>
        </w:tc>
        <w:tc>
          <w:tcPr>
            <w:shd w:val="clear" w:color="auto" w:fill="auto"/>
            <w:tcMar>
              <w:top w:w="0" w:type="dxa"/>
              <w:left w:w="0" w:type="dxa"/>
              <w:bottom w:w="0" w:type="dxa"/>
              <w:right w:w="0" w:type="dxa"/>
            </w:tcMar>
            <w:vAlign w:val="top"/>
          </w:tcPr>
          <w:p w14:paraId="00000023">
            <w:pPr>
              <w:pBdr>
                <w:top w:val="none" w:color="auto" w:sz="0" w:space="0"/>
                <w:left w:val="none" w:color="auto" w:sz="0" w:space="0"/>
                <w:bottom w:val="none" w:color="auto" w:sz="0" w:space="0"/>
                <w:right w:val="none" w:color="auto" w:sz="0" w:space="0"/>
                <w:between w:val="none" w:color="auto" w:sz="0" w:space="0"/>
              </w:pBdr>
              <w:shd w:val="clear" w:fill="auto"/>
              <w:rPr>
                <w:b/>
                <w:bCs/>
              </w:rPr>
            </w:pPr>
            <w:r>
              <w:rPr>
                <w:b/>
                <w:bCs/>
                <w:rtl w:val="0"/>
              </w:rPr>
              <w:t>MongoDB (Community)</w:t>
            </w:r>
          </w:p>
        </w:tc>
        <w:tc>
          <w:tcPr>
            <w:shd w:val="clear" w:color="auto" w:fill="auto"/>
            <w:tcMar>
              <w:top w:w="0" w:type="dxa"/>
              <w:left w:w="0" w:type="dxa"/>
              <w:bottom w:w="0" w:type="dxa"/>
              <w:right w:w="0" w:type="dxa"/>
            </w:tcMar>
            <w:vAlign w:val="top"/>
          </w:tcPr>
          <w:p w14:paraId="00000024">
            <w:pPr>
              <w:pBdr>
                <w:top w:val="none" w:color="auto" w:sz="0" w:space="0"/>
                <w:left w:val="none" w:color="auto" w:sz="0" w:space="0"/>
                <w:bottom w:val="none" w:color="auto" w:sz="0" w:space="0"/>
                <w:right w:val="none" w:color="auto" w:sz="0" w:space="0"/>
                <w:between w:val="none" w:color="auto" w:sz="0" w:space="0"/>
              </w:pBdr>
              <w:shd w:val="clear" w:fill="auto"/>
            </w:pPr>
            <w:r>
              <w:rPr>
                <w:rtl w:val="0"/>
              </w:rPr>
              <w:t>Highly optimized for storing unstructured or deeply nested semi-structured JSON payloads, such as the complex FHIR R4 document bundles generated during clinical encounters.</w:t>
            </w:r>
          </w:p>
        </w:tc>
        <w:tc>
          <w:tcPr>
            <w:shd w:val="clear" w:color="auto" w:fill="auto"/>
            <w:tcMar>
              <w:top w:w="0" w:type="dxa"/>
              <w:left w:w="0" w:type="dxa"/>
              <w:bottom w:w="0" w:type="dxa"/>
              <w:right w:w="0" w:type="dxa"/>
            </w:tcMar>
            <w:vAlign w:val="top"/>
          </w:tcPr>
          <w:p w14:paraId="00000025">
            <w:pPr>
              <w:pBdr>
                <w:top w:val="none" w:color="auto" w:sz="0" w:space="0"/>
                <w:left w:val="none" w:color="auto" w:sz="0" w:space="0"/>
                <w:bottom w:val="none" w:color="auto" w:sz="0" w:space="0"/>
                <w:right w:val="none" w:color="auto" w:sz="0" w:space="0"/>
                <w:between w:val="none" w:color="auto" w:sz="0" w:space="0"/>
              </w:pBdr>
              <w:shd w:val="clear" w:fill="auto"/>
            </w:pPr>
            <w:r>
              <w:rPr>
                <w:rtl w:val="0"/>
              </w:rPr>
              <w:t>Native relational joins are less efficient; necessitates highly careful schema design to avoid data duplication across the clinical domain.</w:t>
            </w:r>
          </w:p>
        </w:tc>
      </w:tr>
      <w:tr w14:paraId="3CF9201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0" w:type="dxa"/>
              <w:left w:w="0" w:type="dxa"/>
              <w:bottom w:w="0" w:type="dxa"/>
              <w:right w:w="0" w:type="dxa"/>
            </w:tcMar>
            <w:vAlign w:val="top"/>
          </w:tcPr>
          <w:p w14:paraId="00000026">
            <w:pPr>
              <w:pBdr>
                <w:top w:val="none" w:color="auto" w:sz="0" w:space="0"/>
                <w:left w:val="none" w:color="auto" w:sz="0" w:space="0"/>
                <w:bottom w:val="none" w:color="auto" w:sz="0" w:space="0"/>
                <w:right w:val="none" w:color="auto" w:sz="0" w:space="0"/>
                <w:between w:val="none" w:color="auto" w:sz="0" w:space="0"/>
              </w:pBdr>
              <w:shd w:val="clear" w:fill="auto"/>
              <w:rPr>
                <w:b/>
                <w:bCs/>
              </w:rPr>
            </w:pPr>
            <w:r>
              <w:rPr>
                <w:b/>
                <w:bCs/>
                <w:rtl w:val="0"/>
              </w:rPr>
              <w:t>Caching &amp; Messaging</w:t>
            </w:r>
          </w:p>
        </w:tc>
        <w:tc>
          <w:tcPr>
            <w:shd w:val="clear" w:color="auto" w:fill="auto"/>
            <w:tcMar>
              <w:top w:w="0" w:type="dxa"/>
              <w:left w:w="0" w:type="dxa"/>
              <w:bottom w:w="0" w:type="dxa"/>
              <w:right w:w="0" w:type="dxa"/>
            </w:tcMar>
            <w:vAlign w:val="top"/>
          </w:tcPr>
          <w:p w14:paraId="00000027">
            <w:pPr>
              <w:pBdr>
                <w:top w:val="none" w:color="auto" w:sz="0" w:space="0"/>
                <w:left w:val="none" w:color="auto" w:sz="0" w:space="0"/>
                <w:bottom w:val="none" w:color="auto" w:sz="0" w:space="0"/>
                <w:right w:val="none" w:color="auto" w:sz="0" w:space="0"/>
                <w:between w:val="none" w:color="auto" w:sz="0" w:space="0"/>
              </w:pBdr>
              <w:shd w:val="clear" w:fill="auto"/>
              <w:rPr>
                <w:b/>
                <w:bCs/>
              </w:rPr>
            </w:pPr>
            <w:r>
              <w:rPr>
                <w:b/>
                <w:bCs/>
                <w:rtl w:val="0"/>
              </w:rPr>
              <w:t>Redis / RabbitMQ</w:t>
            </w:r>
          </w:p>
        </w:tc>
        <w:tc>
          <w:tcPr>
            <w:shd w:val="clear" w:color="auto" w:fill="auto"/>
            <w:tcMar>
              <w:top w:w="0" w:type="dxa"/>
              <w:left w:w="0" w:type="dxa"/>
              <w:bottom w:w="0" w:type="dxa"/>
              <w:right w:w="0" w:type="dxa"/>
            </w:tcMar>
            <w:vAlign w:val="top"/>
          </w:tcPr>
          <w:p w14:paraId="00000028">
            <w:pPr>
              <w:pBdr>
                <w:top w:val="none" w:color="auto" w:sz="0" w:space="0"/>
                <w:left w:val="none" w:color="auto" w:sz="0" w:space="0"/>
                <w:bottom w:val="none" w:color="auto" w:sz="0" w:space="0"/>
                <w:right w:val="none" w:color="auto" w:sz="0" w:space="0"/>
                <w:between w:val="none" w:color="auto" w:sz="0" w:space="0"/>
              </w:pBdr>
              <w:shd w:val="clear" w:fill="auto"/>
            </w:pPr>
            <w:r>
              <w:rPr>
                <w:rtl w:val="0"/>
              </w:rPr>
              <w:t>Redis provides ultra-fast, distributed session management (crucial for caching ABDM gateway tokens). RabbitMQ guarantees reliable message delivery for asynchronous API callbacks, preventing data loss.</w:t>
            </w:r>
          </w:p>
        </w:tc>
        <w:tc>
          <w:tcPr>
            <w:shd w:val="clear" w:color="auto" w:fill="auto"/>
            <w:tcMar>
              <w:top w:w="0" w:type="dxa"/>
              <w:left w:w="0" w:type="dxa"/>
              <w:bottom w:w="0" w:type="dxa"/>
              <w:right w:w="0" w:type="dxa"/>
            </w:tcMar>
            <w:vAlign w:val="top"/>
          </w:tcPr>
          <w:p w14:paraId="00000029">
            <w:pPr>
              <w:pBdr>
                <w:top w:val="none" w:color="auto" w:sz="0" w:space="0"/>
                <w:left w:val="none" w:color="auto" w:sz="0" w:space="0"/>
                <w:bottom w:val="none" w:color="auto" w:sz="0" w:space="0"/>
                <w:right w:val="none" w:color="auto" w:sz="0" w:space="0"/>
                <w:between w:val="none" w:color="auto" w:sz="0" w:space="0"/>
              </w:pBdr>
              <w:shd w:val="clear" w:fill="auto"/>
            </w:pPr>
            <w:r>
              <w:rPr>
                <w:rtl w:val="0"/>
              </w:rPr>
              <w:t>Introduces additional infrastructural complexity and requires persistent state management strategies across the deployment zones.</w:t>
            </w:r>
          </w:p>
        </w:tc>
      </w:tr>
    </w:tbl>
    <w:p w14:paraId="0000002A">
      <w:pPr>
        <w:pStyle w:val="3"/>
        <w:pBdr>
          <w:top w:val="none" w:color="auto" w:sz="0" w:space="0"/>
          <w:left w:val="none" w:color="auto" w:sz="0" w:space="0"/>
          <w:bottom w:val="none" w:color="auto" w:sz="0" w:space="0"/>
          <w:right w:val="none" w:color="auto" w:sz="0" w:space="0"/>
          <w:between w:val="none" w:color="auto" w:sz="0" w:space="0"/>
        </w:pBdr>
        <w:shd w:val="clear" w:fill="auto"/>
      </w:pPr>
      <w:r>
        <w:rPr>
          <w:rtl w:val="0"/>
        </w:rPr>
        <w:t>3. Core Functional Modules and DPI Integrations</w:t>
      </w:r>
    </w:p>
    <w:p w14:paraId="0000002B">
      <w:pPr>
        <w:pBdr>
          <w:top w:val="none" w:color="auto" w:sz="0" w:space="0"/>
          <w:left w:val="none" w:color="auto" w:sz="0" w:space="0"/>
          <w:bottom w:val="none" w:color="auto" w:sz="0" w:space="0"/>
          <w:right w:val="none" w:color="auto" w:sz="0" w:space="0"/>
          <w:between w:val="none" w:color="auto" w:sz="0" w:space="0"/>
        </w:pBdr>
        <w:shd w:val="clear" w:fill="auto"/>
        <w:spacing w:after="240"/>
      </w:pPr>
      <w:r>
        <w:rPr>
          <w:rtl w:val="0"/>
        </w:rPr>
        <w:t>To exceed standard government requirements, the portal's user-facing modules must move beyond traditional static information delivery. The application must actively embed specialized national digital platforms, transforming the hospital website into an interactive, real-time service delivery node.</w:t>
      </w:r>
    </w:p>
    <w:p w14:paraId="0000002C">
      <w:pPr>
        <w:pStyle w:val="4"/>
        <w:pBdr>
          <w:top w:val="none" w:color="auto" w:sz="0" w:space="0"/>
          <w:left w:val="none" w:color="auto" w:sz="0" w:space="0"/>
          <w:bottom w:val="none" w:color="auto" w:sz="0" w:space="0"/>
          <w:right w:val="none" w:color="auto" w:sz="0" w:space="0"/>
          <w:between w:val="none" w:color="auto" w:sz="0" w:space="0"/>
        </w:pBdr>
        <w:shd w:val="clear" w:fill="auto"/>
        <w:spacing w:before="0"/>
      </w:pPr>
      <w:r>
        <w:rPr>
          <w:rtl w:val="0"/>
        </w:rPr>
        <w:t>3.1 Homepage: Multilingual Inclusivity via Bhashini AI</w:t>
      </w:r>
    </w:p>
    <w:p w14:paraId="0000002D">
      <w:pPr>
        <w:pBdr>
          <w:top w:val="none" w:color="auto" w:sz="0" w:space="0"/>
          <w:left w:val="none" w:color="auto" w:sz="0" w:space="0"/>
          <w:bottom w:val="none" w:color="auto" w:sz="0" w:space="0"/>
          <w:right w:val="none" w:color="auto" w:sz="0" w:space="0"/>
          <w:between w:val="none" w:color="auto" w:sz="0" w:space="0"/>
        </w:pBdr>
        <w:shd w:val="clear" w:fill="auto"/>
      </w:pPr>
      <w:r>
        <w:rPr>
          <w:rtl w:val="0"/>
        </w:rPr>
        <w:t>The Homepage serves as the digital front door for citizens across varying demographics and literacy levels. To cater to India's vast linguistic diversity and strictly align with GIGW 3.0 requirements for regional language support, the frontend must integrate the Bhashini AI ecosystem. Managed by the Digital India BHASHINI Division (DIBD), this platform provides enterprise-grade, machine-learning-driven APIs for seamless language translation.</w:t>
      </w:r>
    </w:p>
    <w:p w14:paraId="0000002E">
      <w:pPr>
        <w:pBdr>
          <w:top w:val="none" w:color="auto" w:sz="0" w:space="0"/>
          <w:left w:val="none" w:color="auto" w:sz="0" w:space="0"/>
          <w:bottom w:val="none" w:color="auto" w:sz="0" w:space="0"/>
          <w:right w:val="none" w:color="auto" w:sz="0" w:space="0"/>
          <w:between w:val="none" w:color="auto" w:sz="0" w:space="0"/>
        </w:pBdr>
        <w:shd w:val="clear" w:fill="auto"/>
        <w:spacing w:after="240"/>
      </w:pPr>
      <w:r>
        <w:rPr>
          <w:rtl w:val="0"/>
        </w:rPr>
        <w:t>By utilizing Bhashini's Universal Language Contribution APIs (ULCA), the frontend can dynamically translate textual content into 22 recognized Indian languages defined by the ISO-639 standard. From an engineering perspective, this involves orchestrating the Pipeline Search API to identify the appropriate models, followed by mandatory Pipeline Config and Compute calls to render the translated DOM elements. Furthermore, to assist citizens with varying literacy levels, Bhashini’s Automatic Speech Recognition (ASR) and Text-to-Speech (TTS) pipelines should be embedded directly into the search functionalities. This allows users to search for specialized doctors or navigate critical services using natural voice commands in their native dialects, processing the base64 audio payloads through the bhashini.asr_nmt_tts composite sequence for real-time speech-to-speech translation.</w:t>
      </w:r>
    </w:p>
    <w:p w14:paraId="0000002F">
      <w:pPr>
        <w:pStyle w:val="4"/>
        <w:pBdr>
          <w:top w:val="none" w:color="auto" w:sz="0" w:space="0"/>
          <w:left w:val="none" w:color="auto" w:sz="0" w:space="0"/>
          <w:bottom w:val="none" w:color="auto" w:sz="0" w:space="0"/>
          <w:right w:val="none" w:color="auto" w:sz="0" w:space="0"/>
          <w:between w:val="none" w:color="auto" w:sz="0" w:space="0"/>
        </w:pBdr>
        <w:shd w:val="clear" w:fill="auto"/>
        <w:spacing w:before="0"/>
      </w:pPr>
      <w:r>
        <w:rPr>
          <w:rtl w:val="0"/>
        </w:rPr>
        <w:t>3.2 Services: Real-Time Resource Logistics via e-RaktKosh</w:t>
      </w:r>
    </w:p>
    <w:p w14:paraId="00000030">
      <w:pPr>
        <w:pBdr>
          <w:top w:val="none" w:color="auto" w:sz="0" w:space="0"/>
          <w:left w:val="none" w:color="auto" w:sz="0" w:space="0"/>
          <w:bottom w:val="none" w:color="auto" w:sz="0" w:space="0"/>
          <w:right w:val="none" w:color="auto" w:sz="0" w:space="0"/>
          <w:between w:val="none" w:color="auto" w:sz="0" w:space="0"/>
        </w:pBdr>
        <w:shd w:val="clear" w:fill="auto"/>
      </w:pPr>
      <w:r>
        <w:rPr>
          <w:rtl w:val="0"/>
        </w:rPr>
        <w:t>The Services module outlines clinical departments, diagnostic facilities, and emergency protocols. However, a critical technological value-addition is the direct integration of the e-RaktKosh platform, India's centralized blood bank management system.</w:t>
      </w:r>
    </w:p>
    <w:p w14:paraId="00000031">
      <w:pPr>
        <w:pBdr>
          <w:top w:val="none" w:color="auto" w:sz="0" w:space="0"/>
          <w:left w:val="none" w:color="auto" w:sz="0" w:space="0"/>
          <w:bottom w:val="none" w:color="auto" w:sz="0" w:space="0"/>
          <w:right w:val="none" w:color="auto" w:sz="0" w:space="0"/>
          <w:between w:val="none" w:color="auto" w:sz="0" w:space="0"/>
        </w:pBdr>
        <w:shd w:val="clear" w:fill="auto"/>
        <w:spacing w:after="240"/>
      </w:pPr>
      <w:r>
        <w:rPr>
          <w:rtl w:val="0"/>
        </w:rPr>
        <w:t>Instead of merely listing the hospital's blood bank contact number, the portal will operate as an API consumer of the e-RaktKosh network. Through authenticated REST API polling, the frontend will display real-time blood stock availability, segmented by blood group and component type, directly on the services page. This prevents citizens from physically visiting the hospital during emergencies only to find a specific blood group unavailable, thereby optimizing transfusion logistics, minimizing response times, and greatly enhancing patient outcomes.</w:t>
      </w:r>
    </w:p>
    <w:p w14:paraId="00000032">
      <w:pPr>
        <w:pStyle w:val="4"/>
        <w:pBdr>
          <w:top w:val="none" w:color="auto" w:sz="0" w:space="0"/>
          <w:left w:val="none" w:color="auto" w:sz="0" w:space="0"/>
          <w:bottom w:val="none" w:color="auto" w:sz="0" w:space="0"/>
          <w:right w:val="none" w:color="auto" w:sz="0" w:space="0"/>
          <w:between w:val="none" w:color="auto" w:sz="0" w:space="0"/>
        </w:pBdr>
        <w:shd w:val="clear" w:fill="auto"/>
        <w:spacing w:before="0"/>
      </w:pPr>
      <w:r>
        <w:rPr>
          <w:rtl w:val="0"/>
        </w:rPr>
        <w:t>3.3 Doctors: Synchronization with the Health Professional Registry (HPR)</w:t>
      </w:r>
    </w:p>
    <w:p w14:paraId="00000033">
      <w:pPr>
        <w:pBdr>
          <w:top w:val="none" w:color="auto" w:sz="0" w:space="0"/>
          <w:left w:val="none" w:color="auto" w:sz="0" w:space="0"/>
          <w:bottom w:val="none" w:color="auto" w:sz="0" w:space="0"/>
          <w:right w:val="none" w:color="auto" w:sz="0" w:space="0"/>
          <w:between w:val="none" w:color="auto" w:sz="0" w:space="0"/>
        </w:pBdr>
        <w:shd w:val="clear" w:fill="auto"/>
      </w:pPr>
      <w:r>
        <w:rPr>
          <w:rtl w:val="0"/>
        </w:rPr>
        <w:t>The Doctors directory must transcend a simple static Content Management System (CMS) list. Under the national digital health ecosystem, medical professionals are mandated to be registered in the Health Professional Registry (HPR), while the hospital itself is onboarded onto the Health Facility Registry (HFR).</w:t>
      </w:r>
    </w:p>
    <w:p w14:paraId="00000034">
      <w:pPr>
        <w:pBdr>
          <w:top w:val="none" w:color="auto" w:sz="0" w:space="0"/>
          <w:left w:val="none" w:color="auto" w:sz="0" w:space="0"/>
          <w:bottom w:val="none" w:color="auto" w:sz="0" w:space="0"/>
          <w:right w:val="none" w:color="auto" w:sz="0" w:space="0"/>
          <w:between w:val="none" w:color="auto" w:sz="0" w:space="0"/>
        </w:pBdr>
        <w:shd w:val="clear" w:fill="auto"/>
        <w:spacing w:after="240"/>
      </w:pPr>
      <w:r>
        <w:rPr>
          <w:rtl w:val="0"/>
        </w:rPr>
        <w:t>The backend microservice will synchronize daily with the HPR via secure API endpoints to display verified credentials, clinical specializations, and the unique HPR IDs of the medical staff. This integration ensures total transparency and builds immense citizen trust, providing cryptographic confirmation that all practicing professionals within the facility are digitally authenticated and in good standing with the National Health Authority (NHA).</w:t>
      </w:r>
    </w:p>
    <w:p w14:paraId="00000035">
      <w:pPr>
        <w:pStyle w:val="4"/>
        <w:pBdr>
          <w:top w:val="none" w:color="auto" w:sz="0" w:space="0"/>
          <w:left w:val="none" w:color="auto" w:sz="0" w:space="0"/>
          <w:bottom w:val="none" w:color="auto" w:sz="0" w:space="0"/>
          <w:right w:val="none" w:color="auto" w:sz="0" w:space="0"/>
          <w:between w:val="none" w:color="auto" w:sz="0" w:space="0"/>
        </w:pBdr>
        <w:shd w:val="clear" w:fill="auto"/>
        <w:spacing w:before="0"/>
      </w:pPr>
      <w:r>
        <w:rPr>
          <w:rtl w:val="0"/>
        </w:rPr>
        <w:t>3.4 Appointment Booking: Frictionless Authentication via e-Pramaan</w:t>
      </w:r>
    </w:p>
    <w:p w14:paraId="00000036">
      <w:pPr>
        <w:pBdr>
          <w:top w:val="none" w:color="auto" w:sz="0" w:space="0"/>
          <w:left w:val="none" w:color="auto" w:sz="0" w:space="0"/>
          <w:bottom w:val="none" w:color="auto" w:sz="0" w:space="0"/>
          <w:right w:val="none" w:color="auto" w:sz="0" w:space="0"/>
          <w:between w:val="none" w:color="auto" w:sz="0" w:space="0"/>
        </w:pBdr>
        <w:shd w:val="clear" w:fill="auto"/>
      </w:pPr>
      <w:r>
        <w:rPr>
          <w:rtl w:val="0"/>
        </w:rPr>
        <w:t>Standard appointment booking systems frequently suffer from high abandonment rates due to requiring users to repeatedly input extensive demographic data. This portal will eliminate that friction by utilizing e-Pramaan, the National Single Sign-On (NSSO) platform, acting as the authentication backbone through the Meri Pehchaan framework.</w:t>
      </w:r>
    </w:p>
    <w:p w14:paraId="00000037">
      <w:pPr>
        <w:pBdr>
          <w:top w:val="none" w:color="auto" w:sz="0" w:space="0"/>
          <w:left w:val="none" w:color="auto" w:sz="0" w:space="0"/>
          <w:bottom w:val="none" w:color="auto" w:sz="0" w:space="0"/>
          <w:right w:val="none" w:color="auto" w:sz="0" w:space="0"/>
          <w:between w:val="none" w:color="auto" w:sz="0" w:space="0"/>
        </w:pBdr>
        <w:shd w:val="clear" w:fill="auto"/>
        <w:spacing w:after="240"/>
      </w:pPr>
      <w:r>
        <w:rPr>
          <w:rtl w:val="0"/>
        </w:rPr>
        <w:t>Citizens can authenticate themselves using their existing Aadhaar, Permanent Account Number (PAN), or DigiLocker credentials. From a development standpoint, the IAM microservice will implement standard OAuth 2.0 flows, relying on e-Pramaan to facilitate Multi-Factor Authentication (MFA) via OTP, digital certificates, or biometric verification, ensuring robust compliance with identity verification norms without storing sensitive biometric data locally. Once authenticated, the booking system interfaces with the patient's Ayushman Bharat Health Account (ABHA). The system will fetch verified demographic details directly from the ABHA profile, pre-filling forms to reduce redundant data entry—a feature that directly satisfies the WCAG 2.2 Success Criterion 3.3.7 (Redundant Entry).</w:t>
      </w:r>
    </w:p>
    <w:p w14:paraId="00000038">
      <w:pPr>
        <w:pStyle w:val="4"/>
        <w:pBdr>
          <w:top w:val="none" w:color="auto" w:sz="0" w:space="0"/>
          <w:left w:val="none" w:color="auto" w:sz="0" w:space="0"/>
          <w:bottom w:val="none" w:color="auto" w:sz="0" w:space="0"/>
          <w:right w:val="none" w:color="auto" w:sz="0" w:space="0"/>
          <w:between w:val="none" w:color="auto" w:sz="0" w:space="0"/>
        </w:pBdr>
        <w:shd w:val="clear" w:fill="auto"/>
        <w:spacing w:before="0"/>
      </w:pPr>
      <w:r>
        <w:rPr>
          <w:rtl w:val="0"/>
        </w:rPr>
        <w:t>3.5 Contact and Grievance Redressal: CPGRAMS Interoperability</w:t>
      </w:r>
    </w:p>
    <w:p w14:paraId="00000039">
      <w:pPr>
        <w:pBdr>
          <w:top w:val="none" w:color="auto" w:sz="0" w:space="0"/>
          <w:left w:val="none" w:color="auto" w:sz="0" w:space="0"/>
          <w:bottom w:val="none" w:color="auto" w:sz="0" w:space="0"/>
          <w:right w:val="none" w:color="auto" w:sz="0" w:space="0"/>
          <w:between w:val="none" w:color="auto" w:sz="0" w:space="0"/>
        </w:pBdr>
        <w:shd w:val="clear" w:fill="auto"/>
      </w:pPr>
      <w:r>
        <w:rPr>
          <w:rtl w:val="0"/>
        </w:rPr>
        <w:t>A standard "Contact Us" email form is entirely insufficient for a transparent government facility. The portal must implement deep integration with the Centralized Public Grievance Redress and Monitoring System (CPGRAMS) API.</w:t>
      </w:r>
    </w:p>
    <w:p w14:paraId="0000003A">
      <w:pPr>
        <w:pBdr>
          <w:top w:val="none" w:color="auto" w:sz="0" w:space="0"/>
          <w:left w:val="none" w:color="auto" w:sz="0" w:space="0"/>
          <w:bottom w:val="none" w:color="auto" w:sz="0" w:space="0"/>
          <w:right w:val="none" w:color="auto" w:sz="0" w:space="0"/>
          <w:between w:val="none" w:color="auto" w:sz="0" w:space="0"/>
        </w:pBdr>
        <w:shd w:val="clear" w:fill="auto"/>
        <w:spacing w:after="225"/>
      </w:pPr>
      <w:r>
        <w:rPr>
          <w:rtl w:val="0"/>
        </w:rPr>
        <w:t>Complaints lodged on the hospital portal are automatically converted into structured payloads and routed directly to the CPGRAMS backend infrastructure. The citizen immediately receives a unique, centrally generated registration number. The portal will feature a dedicated "Track Grievance" widget utilizing CPGRAMS REST APIs, allowing users to continuously monitor the status of their appeal. This architectural choice ensures the hospital is legally bound to the standard 30-day resolution timeline mandated by the Department of Administrative Reforms and Public Grievances (DARPG), fostering unprecedented accountability.</w:t>
      </w:r>
    </w:p>
    <w:p w14:paraId="0000003B">
      <w:pPr>
        <w:pStyle w:val="3"/>
        <w:pBdr>
          <w:top w:val="none" w:color="auto" w:sz="0" w:space="0"/>
          <w:left w:val="none" w:color="auto" w:sz="0" w:space="0"/>
          <w:bottom w:val="none" w:color="auto" w:sz="0" w:space="0"/>
          <w:right w:val="none" w:color="auto" w:sz="0" w:space="0"/>
          <w:between w:val="none" w:color="auto" w:sz="0" w:space="0"/>
        </w:pBdr>
        <w:shd w:val="clear" w:fill="auto"/>
        <w:spacing w:before="0"/>
      </w:pPr>
      <w:r>
        <w:rPr>
          <w:rtl w:val="0"/>
        </w:rPr>
        <w:t>4. Deep Integration with the Ayushman Bharat Digital Mission (ABDM)</w:t>
      </w:r>
    </w:p>
    <w:p w14:paraId="0000003C">
      <w:pPr>
        <w:pBdr>
          <w:top w:val="none" w:color="auto" w:sz="0" w:space="0"/>
          <w:left w:val="none" w:color="auto" w:sz="0" w:space="0"/>
          <w:bottom w:val="none" w:color="auto" w:sz="0" w:space="0"/>
          <w:right w:val="none" w:color="auto" w:sz="0" w:space="0"/>
          <w:between w:val="none" w:color="auto" w:sz="0" w:space="0"/>
        </w:pBdr>
        <w:shd w:val="clear" w:fill="auto"/>
        <w:spacing w:after="240"/>
      </w:pPr>
      <w:r>
        <w:rPr>
          <w:rtl w:val="0"/>
        </w:rPr>
        <w:t>To truly exceed standard requirements and function as a modern digital health node, the hospital software must operate as both a Health Information Provider (HIP) and a Health Information User (HIU) within the ABDM framework. This integration is highly complex and categorized into mandatory, progressively certified milestones dictated by the NHA.</w:t>
      </w:r>
    </w:p>
    <w:p w14:paraId="0000003D">
      <w:pPr>
        <w:pStyle w:val="4"/>
        <w:pBdr>
          <w:top w:val="none" w:color="auto" w:sz="0" w:space="0"/>
          <w:left w:val="none" w:color="auto" w:sz="0" w:space="0"/>
          <w:bottom w:val="none" w:color="auto" w:sz="0" w:space="0"/>
          <w:right w:val="none" w:color="auto" w:sz="0" w:space="0"/>
          <w:between w:val="none" w:color="auto" w:sz="0" w:space="0"/>
        </w:pBdr>
        <w:shd w:val="clear" w:fill="auto"/>
        <w:spacing w:before="0"/>
      </w:pPr>
      <w:r>
        <w:rPr>
          <w:rtl w:val="0"/>
        </w:rPr>
        <w:t>4.1 Milestone 1 (M1): Identity Verification and ABHA Creation</w:t>
      </w:r>
    </w:p>
    <w:p w14:paraId="0000003E">
      <w:pPr>
        <w:pBdr>
          <w:top w:val="none" w:color="auto" w:sz="0" w:space="0"/>
          <w:left w:val="none" w:color="auto" w:sz="0" w:space="0"/>
          <w:bottom w:val="none" w:color="auto" w:sz="0" w:space="0"/>
          <w:right w:val="none" w:color="auto" w:sz="0" w:space="0"/>
          <w:between w:val="none" w:color="auto" w:sz="0" w:space="0"/>
        </w:pBdr>
        <w:shd w:val="clear" w:fill="auto"/>
      </w:pPr>
      <w:r>
        <w:rPr>
          <w:rtl w:val="0"/>
        </w:rPr>
        <w:t>The foundational layer of the ABDM architecture is the ABHA (Ayushman Bharat Health Account) ID. The hospital portal must feature a dedicated module allowing unregistered patients to generate an ABHA instantly using Aadhaar or mobile OTP verification.</w:t>
      </w:r>
    </w:p>
    <w:p w14:paraId="0000003F">
      <w:pPr>
        <w:pBdr>
          <w:top w:val="none" w:color="auto" w:sz="0" w:space="0"/>
          <w:left w:val="none" w:color="auto" w:sz="0" w:space="0"/>
          <w:bottom w:val="none" w:color="auto" w:sz="0" w:space="0"/>
          <w:right w:val="none" w:color="auto" w:sz="0" w:space="0"/>
          <w:between w:val="none" w:color="auto" w:sz="0" w:space="0"/>
        </w:pBdr>
        <w:shd w:val="clear" w:fill="auto"/>
        <w:spacing w:after="240"/>
      </w:pPr>
      <w:r>
        <w:rPr>
          <w:rtl w:val="0"/>
        </w:rPr>
        <w:t>The engineering team must implement the complex two-step ABHA login process. Initial calls to /v3/profile/login/verify return a temporary T-token and the associated account list. A subsequent verification yields the persistent X-token, which is mandatory for all profile, card, and QR code API calls. Furthermore, the backend must securely handle the cryptographic operations, specifically RSA encryption, required for transmitting Aadhaar and OTP values securely over the network during the enrollment phase.</w:t>
      </w:r>
    </w:p>
    <w:p w14:paraId="00000040">
      <w:pPr>
        <w:pStyle w:val="4"/>
        <w:pBdr>
          <w:top w:val="none" w:color="auto" w:sz="0" w:space="0"/>
          <w:left w:val="none" w:color="auto" w:sz="0" w:space="0"/>
          <w:bottom w:val="none" w:color="auto" w:sz="0" w:space="0"/>
          <w:right w:val="none" w:color="auto" w:sz="0" w:space="0"/>
          <w:between w:val="none" w:color="auto" w:sz="0" w:space="0"/>
        </w:pBdr>
        <w:shd w:val="clear" w:fill="auto"/>
        <w:spacing w:before="0"/>
      </w:pPr>
      <w:r>
        <w:rPr>
          <w:rtl w:val="0"/>
        </w:rPr>
        <w:t>4.2 Milestone 2 (M2): Health Information Provider (HIP) Capabilities</w:t>
      </w:r>
    </w:p>
    <w:p w14:paraId="00000041">
      <w:pPr>
        <w:pBdr>
          <w:top w:val="none" w:color="auto" w:sz="0" w:space="0"/>
          <w:left w:val="none" w:color="auto" w:sz="0" w:space="0"/>
          <w:bottom w:val="none" w:color="auto" w:sz="0" w:space="0"/>
          <w:right w:val="none" w:color="auto" w:sz="0" w:space="0"/>
          <w:between w:val="none" w:color="auto" w:sz="0" w:space="0"/>
        </w:pBdr>
        <w:shd w:val="clear" w:fill="auto"/>
      </w:pPr>
      <w:r>
        <w:rPr>
          <w:rtl w:val="0"/>
        </w:rPr>
        <w:t>As an HIP, the hospital acts as a primary generator and custodian of clinical data. The portal's backend must be capable of linking specific clinical visits, termed "care contexts," to a patient's ABHA.</w:t>
      </w:r>
    </w:p>
    <w:p w14:paraId="00000042">
      <w:pPr>
        <w:pBdr>
          <w:top w:val="none" w:color="auto" w:sz="0" w:space="0"/>
          <w:left w:val="none" w:color="auto" w:sz="0" w:space="0"/>
          <w:bottom w:val="none" w:color="auto" w:sz="0" w:space="0"/>
          <w:right w:val="none" w:color="auto" w:sz="0" w:space="0"/>
          <w:between w:val="none" w:color="auto" w:sz="0" w:space="0"/>
        </w:pBdr>
        <w:shd w:val="clear" w:fill="auto"/>
      </w:pPr>
      <w:r>
        <w:rPr>
          <w:rtl w:val="0"/>
        </w:rPr>
        <w:t>The ABDM architecture is fundamentally asynchronous. When a citizen requests their records via a third-party Personal Health Record (PHR) application, the central ABDM Gateway dispatched a webhook to the hospital's registered bridging URL (e.g., the on-discover endpoint). The backend must immediately acknowledge this with an HTTP 202 Accepted response, process the discovery logic asynchronously in the background, and return the matching care contexts via a callback.</w:t>
      </w:r>
    </w:p>
    <w:p w14:paraId="00000043">
      <w:pPr>
        <w:pBdr>
          <w:top w:val="none" w:color="auto" w:sz="0" w:space="0"/>
          <w:left w:val="none" w:color="auto" w:sz="0" w:space="0"/>
          <w:bottom w:val="none" w:color="auto" w:sz="0" w:space="0"/>
          <w:right w:val="none" w:color="auto" w:sz="0" w:space="0"/>
          <w:between w:val="none" w:color="auto" w:sz="0" w:space="0"/>
        </w:pBdr>
        <w:shd w:val="clear" w:fill="auto"/>
        <w:spacing w:after="240"/>
      </w:pPr>
      <w:r>
        <w:rPr>
          <w:rtl w:val="0"/>
        </w:rPr>
        <w:t>Crucially, health data cannot be transmitted as raw, unstructured PDFs. The system's clinical interoperability engine must convert discharge summaries, OPConsultation notes, and diagnostic reports into strictly validated FHIR R4 JSON bundles. These bundles must align precisely with the structural definitions and coding standards (such as SNOMED CT, LOINC, and ICD-10) mandated by the National Resource Centre for EHR Standards (NRCeS). Prior to transmission, the FHIR bundle must undergo Fidelius encryption, a complex process involving Elliptic Curve Diffie-Hellman (ECDH) key agreement and AES-GCM symmetric encryption, ensuring that only the intended recipient can decrypt the payload. The encrypted payload is subsequently pushed to the specified data push URL.</w:t>
      </w:r>
    </w:p>
    <w:p w14:paraId="00000044">
      <w:pPr>
        <w:pStyle w:val="4"/>
        <w:pBdr>
          <w:top w:val="none" w:color="auto" w:sz="0" w:space="0"/>
          <w:left w:val="none" w:color="auto" w:sz="0" w:space="0"/>
          <w:bottom w:val="none" w:color="auto" w:sz="0" w:space="0"/>
          <w:right w:val="none" w:color="auto" w:sz="0" w:space="0"/>
          <w:between w:val="none" w:color="auto" w:sz="0" w:space="0"/>
        </w:pBdr>
        <w:shd w:val="clear" w:fill="auto"/>
        <w:spacing w:before="0"/>
      </w:pPr>
      <w:r>
        <w:rPr>
          <w:rtl w:val="0"/>
        </w:rPr>
        <w:t>4.3 Milestone 3 (M3): Health Information User (HIU) Capabilities</w:t>
      </w:r>
    </w:p>
    <w:p w14:paraId="00000045">
      <w:pPr>
        <w:pBdr>
          <w:top w:val="none" w:color="auto" w:sz="0" w:space="0"/>
          <w:left w:val="none" w:color="auto" w:sz="0" w:space="0"/>
          <w:bottom w:val="none" w:color="auto" w:sz="0" w:space="0"/>
          <w:right w:val="none" w:color="auto" w:sz="0" w:space="0"/>
          <w:between w:val="none" w:color="auto" w:sz="0" w:space="0"/>
        </w:pBdr>
        <w:shd w:val="clear" w:fill="auto"/>
      </w:pPr>
      <w:r>
        <w:rPr>
          <w:rtl w:val="0"/>
        </w:rPr>
        <w:t>To provide attending physicians with a holistic, longitudinal view of a patient's medical history, the portal must also function as an HIU. This requires sophisticated interaction with the ABDM Consent Manager.</w:t>
      </w:r>
    </w:p>
    <w:p w14:paraId="00000046">
      <w:pPr>
        <w:pBdr>
          <w:top w:val="none" w:color="auto" w:sz="0" w:space="0"/>
          <w:left w:val="none" w:color="auto" w:sz="0" w:space="0"/>
          <w:bottom w:val="none" w:color="auto" w:sz="0" w:space="0"/>
          <w:right w:val="none" w:color="auto" w:sz="0" w:space="0"/>
          <w:between w:val="none" w:color="auto" w:sz="0" w:space="0"/>
        </w:pBdr>
        <w:shd w:val="clear" w:fill="auto"/>
      </w:pPr>
      <w:r>
        <w:rPr>
          <w:rtl w:val="0"/>
        </w:rPr>
        <w:t>When a doctor requires access to prior records residing at external HIPs, the system generates a structured consent artefact request detailing the clinical purpose, specific Health Information (HI) types, the date range, and a strict data-eraser expiry date. The patient receives a push notification on their PHR app to review and grant or deny access. Upon receiving an affirmative cryptographic consent artefact, the system receives the encrypted data from the external HIPs, decrypts it using its localized private key, and renders it seamlessly within the Electronic Health Record (EHR) viewer.</w:t>
      </w:r>
    </w:p>
    <w:p w14:paraId="00000047">
      <w:pPr>
        <w:pBdr>
          <w:top w:val="none" w:color="auto" w:sz="0" w:space="0"/>
          <w:left w:val="none" w:color="auto" w:sz="0" w:space="0"/>
          <w:bottom w:val="none" w:color="auto" w:sz="0" w:space="0"/>
          <w:right w:val="none" w:color="auto" w:sz="0" w:space="0"/>
          <w:between w:val="none" w:color="auto" w:sz="0" w:space="0"/>
        </w:pBdr>
        <w:shd w:val="clear" w:fill="auto"/>
        <w:spacing w:after="225"/>
      </w:pPr>
      <w:r>
        <w:rPr>
          <w:rtl w:val="0"/>
        </w:rPr>
        <w:t>Most importantly, to ensure strict compliance with the Health Data Management (HDM) Policy, the system must feature automated, cron-driven background jobs that irrevocably purge this external data the moment the consent expiry date is reached, or immediately upon receiving a revocation callback.</w:t>
      </w:r>
    </w:p>
    <w:p w14:paraId="00000048">
      <w:pPr>
        <w:pStyle w:val="3"/>
        <w:pBdr>
          <w:top w:val="none" w:color="auto" w:sz="0" w:space="0"/>
          <w:left w:val="none" w:color="auto" w:sz="0" w:space="0"/>
          <w:bottom w:val="none" w:color="auto" w:sz="0" w:space="0"/>
          <w:right w:val="none" w:color="auto" w:sz="0" w:space="0"/>
          <w:between w:val="none" w:color="auto" w:sz="0" w:space="0"/>
        </w:pBdr>
        <w:shd w:val="clear" w:fill="auto"/>
        <w:spacing w:before="0"/>
      </w:pPr>
      <w:r>
        <w:rPr>
          <w:rtl w:val="0"/>
        </w:rPr>
        <w:t>5. Universal Accessibility and GIGW 3.0 Compliance</w:t>
      </w:r>
    </w:p>
    <w:p w14:paraId="00000049">
      <w:pPr>
        <w:pBdr>
          <w:top w:val="none" w:color="auto" w:sz="0" w:space="0"/>
          <w:left w:val="none" w:color="auto" w:sz="0" w:space="0"/>
          <w:bottom w:val="none" w:color="auto" w:sz="0" w:space="0"/>
          <w:right w:val="none" w:color="auto" w:sz="0" w:space="0"/>
          <w:between w:val="none" w:color="auto" w:sz="0" w:space="0"/>
        </w:pBdr>
        <w:shd w:val="clear" w:fill="auto"/>
        <w:spacing w:after="240"/>
      </w:pPr>
      <w:r>
        <w:rPr>
          <w:rtl w:val="0"/>
        </w:rPr>
        <w:t>The implementation of the Guidelines for Indian Government Websites (GIGW 3.0) represents a profound paradigm shift, elevating accessibility from a set of optional best practices to strict, mandatory compliance standards essential for digital inclusivity across the nation. Exceeding baseline requirements implies achieving flawless, programmatic adherence to these directives from the initial design phase.</w:t>
      </w:r>
    </w:p>
    <w:p w14:paraId="0000004A">
      <w:pPr>
        <w:pStyle w:val="4"/>
        <w:pBdr>
          <w:top w:val="none" w:color="auto" w:sz="0" w:space="0"/>
          <w:left w:val="none" w:color="auto" w:sz="0" w:space="0"/>
          <w:bottom w:val="none" w:color="auto" w:sz="0" w:space="0"/>
          <w:right w:val="none" w:color="auto" w:sz="0" w:space="0"/>
          <w:between w:val="none" w:color="auto" w:sz="0" w:space="0"/>
        </w:pBdr>
        <w:shd w:val="clear" w:fill="auto"/>
        <w:spacing w:before="0"/>
      </w:pPr>
      <w:r>
        <w:rPr>
          <w:rtl w:val="0"/>
        </w:rPr>
        <w:t>5.1 Adherence to WCAG 2.2 Level AA Standards</w:t>
      </w:r>
    </w:p>
    <w:p w14:paraId="0000004B">
      <w:pPr>
        <w:pBdr>
          <w:top w:val="none" w:color="auto" w:sz="0" w:space="0"/>
          <w:left w:val="none" w:color="auto" w:sz="0" w:space="0"/>
          <w:bottom w:val="none" w:color="auto" w:sz="0" w:space="0"/>
          <w:right w:val="none" w:color="auto" w:sz="0" w:space="0"/>
          <w:between w:val="none" w:color="auto" w:sz="0" w:space="0"/>
        </w:pBdr>
        <w:shd w:val="clear" w:fill="auto"/>
      </w:pPr>
      <w:r>
        <w:rPr>
          <w:rtl w:val="0"/>
        </w:rPr>
        <w:t>While GIGW 3.0 explicitly mandates compliance with the World Wide Web Consortium’s (W3C) Web Content Accessibility Guidelines (WCAG) 2.1 Level AA, forward-thinking government portals are currently audited by STQC empanelled labs against the more rigorous WCAG 2.2 standard to ensure future-proofing.</w:t>
      </w:r>
    </w:p>
    <w:p w14:paraId="0000004C">
      <w:pPr>
        <w:pBdr>
          <w:top w:val="none" w:color="auto" w:sz="0" w:space="0"/>
          <w:left w:val="none" w:color="auto" w:sz="0" w:space="0"/>
          <w:bottom w:val="none" w:color="auto" w:sz="0" w:space="0"/>
          <w:right w:val="none" w:color="auto" w:sz="0" w:space="0"/>
          <w:between w:val="none" w:color="auto" w:sz="0" w:space="0"/>
        </w:pBdr>
        <w:shd w:val="clear" w:fill="auto"/>
      </w:pPr>
      <w:r>
        <w:rPr>
          <w:rtl w:val="0"/>
        </w:rPr>
        <w:t>The engineering team must enforce strict visual accessibility parameters, maintaining a minimum contrast ratio of 4.5:1 for standard text and 3:1 for large, bold text against their backgrounds. The user interface must support responsive text scaling up to 200% without triggering horizontal scrolling, container clipping, or functional degradation.</w:t>
      </w:r>
    </w:p>
    <w:p w14:paraId="0000004D">
      <w:pPr>
        <w:pBdr>
          <w:top w:val="none" w:color="auto" w:sz="0" w:space="0"/>
          <w:left w:val="none" w:color="auto" w:sz="0" w:space="0"/>
          <w:bottom w:val="none" w:color="auto" w:sz="0" w:space="0"/>
          <w:right w:val="none" w:color="auto" w:sz="0" w:space="0"/>
          <w:between w:val="none" w:color="auto" w:sz="0" w:space="0"/>
        </w:pBdr>
        <w:shd w:val="clear" w:fill="auto"/>
      </w:pPr>
      <w:r>
        <w:rPr>
          <w:rtl w:val="0"/>
        </w:rPr>
        <w:t>Keyboard and screen reader navigation must be flawless. The entire application DOM must be navigable using only keyboard inputs. A critical addition in WCAG 2.2 is the "Focus Not Obscured" (Success Criterion 2.4.11), which dictates that sticky headers, modal overlays, or persistent cookie banners must never hide the currently focused interactive element from the user's view. All non-text content, complex dynamic components, and state changes must utilize semantic HTML5 and extensive ARIA (Accessible Rich Internet Applications) tagging to ensure deep compatibility with dominant screen readers like NVDA and JAWS.</w:t>
      </w:r>
    </w:p>
    <w:p w14:paraId="0000004E">
      <w:pPr>
        <w:pBdr>
          <w:top w:val="none" w:color="auto" w:sz="0" w:space="0"/>
          <w:left w:val="none" w:color="auto" w:sz="0" w:space="0"/>
          <w:bottom w:val="none" w:color="auto" w:sz="0" w:space="0"/>
          <w:right w:val="none" w:color="auto" w:sz="0" w:space="0"/>
          <w:between w:val="none" w:color="auto" w:sz="0" w:space="0"/>
        </w:pBdr>
        <w:shd w:val="clear" w:fill="auto"/>
        <w:spacing w:after="240"/>
      </w:pPr>
      <w:r>
        <w:rPr>
          <w:rtl w:val="0"/>
        </w:rPr>
        <w:t>Furthermore, the portal must eliminate the common pitfall of inaccessible downloadables. Every circular, notification, and official form must be provided as structured, tagged PDF/A documents featuring embedded Optical Character Recognition (OCR) text, bookmarks, and alternative text for charts, entirely avoiding scanned image PDFs that are opaque to assistive technologies.</w:t>
      </w:r>
    </w:p>
    <w:p w14:paraId="0000004F">
      <w:pPr>
        <w:pStyle w:val="4"/>
        <w:pBdr>
          <w:top w:val="none" w:color="auto" w:sz="0" w:space="0"/>
          <w:left w:val="none" w:color="auto" w:sz="0" w:space="0"/>
          <w:bottom w:val="none" w:color="auto" w:sz="0" w:space="0"/>
          <w:right w:val="none" w:color="auto" w:sz="0" w:space="0"/>
          <w:between w:val="none" w:color="auto" w:sz="0" w:space="0"/>
        </w:pBdr>
        <w:shd w:val="clear" w:fill="auto"/>
        <w:spacing w:before="0"/>
      </w:pPr>
      <w:r>
        <w:rPr>
          <w:rtl w:val="0"/>
        </w:rPr>
        <w:t>5.2 The STQC CQW Certification Lifecycle</w:t>
      </w:r>
    </w:p>
    <w:p w14:paraId="00000050">
      <w:pPr>
        <w:pBdr>
          <w:top w:val="none" w:color="auto" w:sz="0" w:space="0"/>
          <w:left w:val="none" w:color="auto" w:sz="0" w:space="0"/>
          <w:bottom w:val="none" w:color="auto" w:sz="0" w:space="0"/>
          <w:right w:val="none" w:color="auto" w:sz="0" w:space="0"/>
          <w:between w:val="none" w:color="auto" w:sz="0" w:space="0"/>
        </w:pBdr>
        <w:shd w:val="clear" w:fill="auto"/>
      </w:pPr>
      <w:r>
        <w:rPr>
          <w:rtl w:val="0"/>
        </w:rPr>
        <w:t>To legally validate compliance, the portal must undergo the rigorous Standardisation Testing and Quality Certification (STQC) process to acquire the Certified Quality Website (CQW) credential. This involves a formal, four-phase audit progression.</w:t>
      </w:r>
    </w:p>
    <w:p w14:paraId="00000051">
      <w:pPr>
        <w:pBdr>
          <w:top w:val="none" w:color="auto" w:sz="0" w:space="0"/>
          <w:left w:val="none" w:color="auto" w:sz="0" w:space="0"/>
          <w:bottom w:val="none" w:color="auto" w:sz="0" w:space="0"/>
          <w:right w:val="none" w:color="auto" w:sz="0" w:space="0"/>
          <w:between w:val="none" w:color="auto" w:sz="0" w:space="0"/>
        </w:pBdr>
        <w:shd w:val="clear" w:fill="auto"/>
      </w:pPr>
      <w:r>
        <w:rPr>
          <w:rtl w:val="0"/>
        </w:rPr>
        <w:t>The initial phase requires the development team to conduct a Pre-Audit Gap Analysis utilizing automated accessibility linters (such as axe-core and Pa11y) integrated into the CI/CD pipeline, followed by rigorous manual keyboard and cognitive walkthroughs to catch context-dependent failures. The second phase is the CERT-In empanelled Vulnerability Assessment and Penetration Testing (VAPT) audit, mandatory for the Safe-To-Host certificate.</w:t>
      </w:r>
    </w:p>
    <w:p w14:paraId="00000052">
      <w:pPr>
        <w:pBdr>
          <w:top w:val="none" w:color="auto" w:sz="0" w:space="0"/>
          <w:left w:val="none" w:color="auto" w:sz="0" w:space="0"/>
          <w:bottom w:val="none" w:color="auto" w:sz="0" w:space="0"/>
          <w:right w:val="none" w:color="auto" w:sz="0" w:space="0"/>
          <w:between w:val="none" w:color="auto" w:sz="0" w:space="0"/>
        </w:pBdr>
        <w:shd w:val="clear" w:fill="auto"/>
        <w:spacing w:after="225"/>
      </w:pPr>
      <w:r>
        <w:rPr>
          <w:rtl w:val="0"/>
        </w:rPr>
        <w:t>Phase three involves formal Evidence Submission, where the completed GIGW conformity matrix, the Safe-To-Host certificate, and proofs of bilingual content parity are submitted to an STQC testing lab. Upon successful evaluation, the STQC directorate issues the CQW certification, which must be sustained through annual surveillance audits and strict adherence to a formalized Content Management and Approval Policy (CMAP).</w:t>
      </w:r>
    </w:p>
    <w:p w14:paraId="00000053">
      <w:pPr>
        <w:pStyle w:val="3"/>
        <w:pBdr>
          <w:top w:val="none" w:color="auto" w:sz="0" w:space="0"/>
          <w:left w:val="none" w:color="auto" w:sz="0" w:space="0"/>
          <w:bottom w:val="none" w:color="auto" w:sz="0" w:space="0"/>
          <w:right w:val="none" w:color="auto" w:sz="0" w:space="0"/>
          <w:between w:val="none" w:color="auto" w:sz="0" w:space="0"/>
        </w:pBdr>
        <w:shd w:val="clear" w:fill="auto"/>
        <w:spacing w:before="0"/>
      </w:pPr>
      <w:r>
        <w:rPr>
          <w:rtl w:val="0"/>
        </w:rPr>
        <w:t>6. Enterprise Cybersecurity and CERT-In Mandates</w:t>
      </w:r>
    </w:p>
    <w:p w14:paraId="00000054">
      <w:pPr>
        <w:pBdr>
          <w:top w:val="none" w:color="auto" w:sz="0" w:space="0"/>
          <w:left w:val="none" w:color="auto" w:sz="0" w:space="0"/>
          <w:bottom w:val="none" w:color="auto" w:sz="0" w:space="0"/>
          <w:right w:val="none" w:color="auto" w:sz="0" w:space="0"/>
          <w:between w:val="none" w:color="auto" w:sz="0" w:space="0"/>
        </w:pBdr>
        <w:shd w:val="clear" w:fill="auto"/>
        <w:spacing w:after="240"/>
      </w:pPr>
      <w:r>
        <w:rPr>
          <w:rtl w:val="0"/>
        </w:rPr>
        <w:t>Government health portals represent highly lucrative targets for sophisticated cyber threat actors due to the dense concentration of Personally Identifiable Information (PII) and Protected Health Information (PHI). Consequently, compliance with the directives issued by the Indian Computer Emergency Response Team (CERT-In) is non-negotiable and must be baked into the architectural foundation.</w:t>
      </w:r>
    </w:p>
    <w:p w14:paraId="00000055">
      <w:pPr>
        <w:pStyle w:val="4"/>
        <w:pBdr>
          <w:top w:val="none" w:color="auto" w:sz="0" w:space="0"/>
          <w:left w:val="none" w:color="auto" w:sz="0" w:space="0"/>
          <w:bottom w:val="none" w:color="auto" w:sz="0" w:space="0"/>
          <w:right w:val="none" w:color="auto" w:sz="0" w:space="0"/>
          <w:between w:val="none" w:color="auto" w:sz="0" w:space="0"/>
        </w:pBdr>
        <w:shd w:val="clear" w:fill="auto"/>
        <w:spacing w:before="0"/>
      </w:pPr>
      <w:r>
        <w:rPr>
          <w:rtl w:val="0"/>
        </w:rPr>
        <w:t>6.1 Web Application Security Assessment (WASA) and Safe-To-Host</w:t>
      </w:r>
    </w:p>
    <w:p w14:paraId="00000056">
      <w:pPr>
        <w:pBdr>
          <w:top w:val="none" w:color="auto" w:sz="0" w:space="0"/>
          <w:left w:val="none" w:color="auto" w:sz="0" w:space="0"/>
          <w:bottom w:val="none" w:color="auto" w:sz="0" w:space="0"/>
          <w:right w:val="none" w:color="auto" w:sz="0" w:space="0"/>
          <w:between w:val="none" w:color="auto" w:sz="0" w:space="0"/>
        </w:pBdr>
        <w:shd w:val="clear" w:fill="auto"/>
      </w:pPr>
      <w:r>
        <w:rPr>
          <w:rtl w:val="0"/>
        </w:rPr>
        <w:t>Before the application can be deployed onto production government infrastructure, it must acquire a "Safe-To-Host" certificate from a CERT-In empanelled cybersecurity auditing organization.</w:t>
      </w:r>
    </w:p>
    <w:p w14:paraId="00000057">
      <w:pPr>
        <w:pBdr>
          <w:top w:val="none" w:color="auto" w:sz="0" w:space="0"/>
          <w:left w:val="none" w:color="auto" w:sz="0" w:space="0"/>
          <w:bottom w:val="none" w:color="auto" w:sz="0" w:space="0"/>
          <w:right w:val="none" w:color="auto" w:sz="0" w:space="0"/>
          <w:between w:val="none" w:color="auto" w:sz="0" w:space="0"/>
        </w:pBdr>
        <w:shd w:val="clear" w:fill="auto"/>
      </w:pPr>
      <w:r>
        <w:rPr>
          <w:rtl w:val="0"/>
        </w:rPr>
        <w:t>The WASA audit is an exhaustive evaluation that aligns with the OWASP Top 10 vulnerabilities, API security metrics, and the OWASP Application Security Verification Standard (ASVS) V4.0. The auditing process utilizes a dual-pronged methodology: automated Vulnerability Assessment (VA) scanners identify known CVEs, outdated cryptographic libraries, and misconfigured HTTP headers, while deep manual Penetration Testing (PT) is deployed to uncover complex business logic flaws, session hijacking vulnerabilities, and authorization bypasses.</w:t>
      </w:r>
    </w:p>
    <w:p w14:paraId="00000058">
      <w:pPr>
        <w:pBdr>
          <w:top w:val="none" w:color="auto" w:sz="0" w:space="0"/>
          <w:left w:val="none" w:color="auto" w:sz="0" w:space="0"/>
          <w:bottom w:val="none" w:color="auto" w:sz="0" w:space="0"/>
          <w:right w:val="none" w:color="auto" w:sz="0" w:space="0"/>
          <w:between w:val="none" w:color="auto" w:sz="0" w:space="0"/>
        </w:pBdr>
        <w:shd w:val="clear" w:fill="auto"/>
        <w:spacing w:after="240"/>
      </w:pPr>
      <w:r>
        <w:rPr>
          <w:rtl w:val="0"/>
        </w:rPr>
        <w:t>All identified critical and high-severity vulnerabilities must be remediated by the development team. The auditor subsequently conducts a rigorous re-test to issue a Vulnerability Closure Certificate (VCC) alongside the final Safe-To-Host certificate. This certification provides formal assurance of security readiness and remains valid for one year, or until significant architectural or code-level changes are introduced to the production environment.</w:t>
      </w:r>
    </w:p>
    <w:p w14:paraId="00000059">
      <w:pPr>
        <w:pStyle w:val="4"/>
        <w:pBdr>
          <w:top w:val="none" w:color="auto" w:sz="0" w:space="0"/>
          <w:left w:val="none" w:color="auto" w:sz="0" w:space="0"/>
          <w:bottom w:val="none" w:color="auto" w:sz="0" w:space="0"/>
          <w:right w:val="none" w:color="auto" w:sz="0" w:space="0"/>
          <w:between w:val="none" w:color="auto" w:sz="0" w:space="0"/>
        </w:pBdr>
        <w:shd w:val="clear" w:fill="auto"/>
        <w:spacing w:before="0"/>
      </w:pPr>
      <w:r>
        <w:rPr>
          <w:rtl w:val="0"/>
        </w:rPr>
        <w:t>6.2 Compliance with CERT-In 2022 Directives</w:t>
      </w:r>
    </w:p>
    <w:p w14:paraId="0000005A">
      <w:pPr>
        <w:pBdr>
          <w:top w:val="none" w:color="auto" w:sz="0" w:space="0"/>
          <w:left w:val="none" w:color="auto" w:sz="0" w:space="0"/>
          <w:bottom w:val="none" w:color="auto" w:sz="0" w:space="0"/>
          <w:right w:val="none" w:color="auto" w:sz="0" w:space="0"/>
          <w:between w:val="none" w:color="auto" w:sz="0" w:space="0"/>
        </w:pBdr>
        <w:shd w:val="clear" w:fill="auto"/>
      </w:pPr>
      <w:r>
        <w:rPr>
          <w:rtl w:val="0"/>
        </w:rPr>
        <w:t>The engineering architecture must inherently support the strict, time-sensitive regulatory mandates introduced by CERT-In in April 2022.</w:t>
      </w:r>
    </w:p>
    <w:p w14:paraId="0000005B">
      <w:pPr>
        <w:pBdr>
          <w:top w:val="none" w:color="auto" w:sz="0" w:space="0"/>
          <w:left w:val="none" w:color="auto" w:sz="0" w:space="0"/>
          <w:bottom w:val="none" w:color="auto" w:sz="0" w:space="0"/>
          <w:right w:val="none" w:color="auto" w:sz="0" w:space="0"/>
          <w:between w:val="none" w:color="auto" w:sz="0" w:space="0"/>
        </w:pBdr>
        <w:shd w:val="clear" w:fill="auto"/>
      </w:pPr>
      <w:r>
        <w:rPr>
          <w:rtl w:val="0"/>
        </w:rPr>
        <w:t>A primary mandate is the 180-Day Log Retention rule. The system must securely maintain immutable logs of all Information and Communication Technology (ICT) systems—including web application firewalls, database queries, API gateway traffic, and authentication events—for a rolling period of 180 days, stored strictly within Indian borders. This necessitates the deployment of a dedicated, highly scalable logging infrastructure, such as an ELK stack (Elasticsearch, Logstash, Kibana), coupled with automated data lifecycle management policies that migrate older logs to encrypted cold storage to optimize operational costs.</w:t>
      </w:r>
    </w:p>
    <w:p w14:paraId="0000005C">
      <w:pPr>
        <w:pBdr>
          <w:top w:val="none" w:color="auto" w:sz="0" w:space="0"/>
          <w:left w:val="none" w:color="auto" w:sz="0" w:space="0"/>
          <w:bottom w:val="none" w:color="auto" w:sz="0" w:space="0"/>
          <w:right w:val="none" w:color="auto" w:sz="0" w:space="0"/>
          <w:between w:val="none" w:color="auto" w:sz="0" w:space="0"/>
        </w:pBdr>
        <w:shd w:val="clear" w:fill="auto"/>
      </w:pPr>
      <w:r>
        <w:rPr>
          <w:rtl w:val="0"/>
        </w:rPr>
        <w:t>To guarantee forensic accuracy and non-repudiation during post-incident analysis, all system clocks across the distributed microservices cluster must be continuously synchronized using the Network Time Protocol (NTP) servers maintained by the National Informatics Centre (NIC) or the National Physical Laboratory (NPL).</w:t>
      </w:r>
    </w:p>
    <w:p w14:paraId="0000005D">
      <w:pPr>
        <w:pBdr>
          <w:top w:val="none" w:color="auto" w:sz="0" w:space="0"/>
          <w:left w:val="none" w:color="auto" w:sz="0" w:space="0"/>
          <w:bottom w:val="none" w:color="auto" w:sz="0" w:space="0"/>
          <w:right w:val="none" w:color="auto" w:sz="0" w:space="0"/>
          <w:between w:val="none" w:color="auto" w:sz="0" w:space="0"/>
        </w:pBdr>
        <w:shd w:val="clear" w:fill="auto"/>
        <w:spacing w:after="225"/>
      </w:pPr>
      <w:r>
        <w:rPr>
          <w:rtl w:val="0"/>
        </w:rPr>
        <w:t>Furthermore, the operational playbook must integrate automated Security Information and Event Management (SIEM) alerting. Upon the detection of specified cyber incidents—such as unauthorized access attempts, data exfiltration, or distributed denial-of-service (DDoS) attacks—the system administrators are legally obligated to notify CERT-In within 6 hours of discovery, requiring robust, real-time monitoring capabilities.</w:t>
      </w:r>
    </w:p>
    <w:p w14:paraId="0000005E">
      <w:pPr>
        <w:pStyle w:val="3"/>
        <w:pBdr>
          <w:top w:val="none" w:color="auto" w:sz="0" w:space="0"/>
          <w:left w:val="none" w:color="auto" w:sz="0" w:space="0"/>
          <w:bottom w:val="none" w:color="auto" w:sz="0" w:space="0"/>
          <w:right w:val="none" w:color="auto" w:sz="0" w:space="0"/>
          <w:between w:val="none" w:color="auto" w:sz="0" w:space="0"/>
        </w:pBdr>
        <w:shd w:val="clear" w:fill="auto"/>
        <w:spacing w:before="0"/>
      </w:pPr>
      <w:r>
        <w:rPr>
          <w:rtl w:val="0"/>
        </w:rPr>
        <w:t>7. Sovereign Cloud Infrastructure and Deployment Strategy</w:t>
      </w:r>
    </w:p>
    <w:p w14:paraId="0000005F">
      <w:pPr>
        <w:pBdr>
          <w:top w:val="none" w:color="auto" w:sz="0" w:space="0"/>
          <w:left w:val="none" w:color="auto" w:sz="0" w:space="0"/>
          <w:bottom w:val="none" w:color="auto" w:sz="0" w:space="0"/>
          <w:right w:val="none" w:color="auto" w:sz="0" w:space="0"/>
          <w:between w:val="none" w:color="auto" w:sz="0" w:space="0"/>
        </w:pBdr>
        <w:shd w:val="clear" w:fill="auto"/>
        <w:spacing w:after="240"/>
      </w:pPr>
      <w:r>
        <w:rPr>
          <w:rtl w:val="0"/>
        </w:rPr>
        <w:t>The application must be deployed on sovereign, highly controlled infrastructure to ensure strict data localization, extreme resilience, and compliance with national security protocols. The MeghRaj initiative, also known as the National Government Cloud, managed by the National Informatics Centre (NIC) and NICSI, provides the optimal foundation for this deployment.</w:t>
      </w:r>
    </w:p>
    <w:p w14:paraId="00000060">
      <w:pPr>
        <w:pStyle w:val="4"/>
        <w:pBdr>
          <w:top w:val="none" w:color="auto" w:sz="0" w:space="0"/>
          <w:left w:val="none" w:color="auto" w:sz="0" w:space="0"/>
          <w:bottom w:val="none" w:color="auto" w:sz="0" w:space="0"/>
          <w:right w:val="none" w:color="auto" w:sz="0" w:space="0"/>
          <w:between w:val="none" w:color="auto" w:sz="0" w:space="0"/>
        </w:pBdr>
        <w:shd w:val="clear" w:fill="auto"/>
        <w:spacing w:before="0"/>
      </w:pPr>
      <w:r>
        <w:rPr>
          <w:rtl w:val="0"/>
        </w:rPr>
        <w:t>7.1 Deployment Topology on the MeghRaj Cloud</w:t>
      </w:r>
    </w:p>
    <w:p w14:paraId="00000061">
      <w:pPr>
        <w:pBdr>
          <w:top w:val="none" w:color="auto" w:sz="0" w:space="0"/>
          <w:left w:val="none" w:color="auto" w:sz="0" w:space="0"/>
          <w:bottom w:val="none" w:color="auto" w:sz="0" w:space="0"/>
          <w:right w:val="none" w:color="auto" w:sz="0" w:space="0"/>
          <w:between w:val="none" w:color="auto" w:sz="0" w:space="0"/>
        </w:pBdr>
        <w:shd w:val="clear" w:fill="auto"/>
      </w:pPr>
      <w:r>
        <w:rPr>
          <w:rtl w:val="0"/>
        </w:rPr>
        <w:t>The MeghRaj ecosystem offers tiered cloud services via empanelled Cloud Service Providers (CSPs) and Managed Service Providers (MSPs), operating across Tier-III National Data Centres (NDCs) located in strategic regions such as Delhi, Pune, and Bhubaneswar.</w:t>
      </w:r>
    </w:p>
    <w:p w14:paraId="00000062">
      <w:pPr>
        <w:pBdr>
          <w:top w:val="none" w:color="auto" w:sz="0" w:space="0"/>
          <w:left w:val="none" w:color="auto" w:sz="0" w:space="0"/>
          <w:bottom w:val="none" w:color="auto" w:sz="0" w:space="0"/>
          <w:right w:val="none" w:color="auto" w:sz="0" w:space="0"/>
          <w:between w:val="none" w:color="auto" w:sz="0" w:space="0"/>
        </w:pBdr>
        <w:shd w:val="clear" w:fill="auto"/>
      </w:pPr>
      <w:r>
        <w:rPr>
          <w:rtl w:val="0"/>
        </w:rPr>
        <w:t>The microservices architecture will leverage Infrastructure as a Service (IaaS) and Container as a Service (CaaS) paradigms on the MeghRaj platform. Services will be containerized using Docker and orchestrated via enterprise-grade Kubernetes clusters. This orchestration allows for automated, metrics-driven horizontal scaling during sudden high-traffic events, such as national vaccination drives or localized epidemic outbreaks.</w:t>
      </w:r>
    </w:p>
    <w:p w14:paraId="00000063">
      <w:pPr>
        <w:pBdr>
          <w:top w:val="none" w:color="auto" w:sz="0" w:space="0"/>
          <w:left w:val="none" w:color="auto" w:sz="0" w:space="0"/>
          <w:bottom w:val="none" w:color="auto" w:sz="0" w:space="0"/>
          <w:right w:val="none" w:color="auto" w:sz="0" w:space="0"/>
          <w:between w:val="none" w:color="auto" w:sz="0" w:space="0"/>
        </w:pBdr>
        <w:shd w:val="clear" w:fill="auto"/>
        <w:spacing w:after="225"/>
      </w:pPr>
      <w:r>
        <w:rPr>
          <w:rtl w:val="0"/>
        </w:rPr>
        <w:t>To ensure uninterrupted service delivery, the deployment must utilize an Active-Active High Availability (HA) architecture across two distinct geographic NDC zones. In the event of a catastrophic hardware failure or localized network outage in the primary zone, the global load balancer automatically reroutes traffic to the secondary zone, ensuring near-zero downtime and immediate disaster recovery (DR). The infrastructure perimeter will be heavily fortified utilizing MeghRaj's integrated Web Application Firewall (WAF) services, Anti-DDoS protection layers, and strict Identity and Access Management (IAM) controls mapped to the organization's Active Directory.</w:t>
      </w:r>
    </w:p>
    <w:p w14:paraId="00000064">
      <w:pPr>
        <w:pStyle w:val="3"/>
        <w:pBdr>
          <w:top w:val="none" w:color="auto" w:sz="0" w:space="0"/>
          <w:left w:val="none" w:color="auto" w:sz="0" w:space="0"/>
          <w:bottom w:val="none" w:color="auto" w:sz="0" w:space="0"/>
          <w:right w:val="none" w:color="auto" w:sz="0" w:space="0"/>
          <w:between w:val="none" w:color="auto" w:sz="0" w:space="0"/>
        </w:pBdr>
        <w:shd w:val="clear" w:fill="auto"/>
        <w:spacing w:before="0"/>
      </w:pPr>
      <w:r>
        <w:rPr>
          <w:rtl w:val="0"/>
        </w:rPr>
        <w:t>8. Government Handover and Lifecycle Management Strategy</w:t>
      </w:r>
    </w:p>
    <w:p w14:paraId="00000065">
      <w:pPr>
        <w:pBdr>
          <w:top w:val="none" w:color="auto" w:sz="0" w:space="0"/>
          <w:left w:val="none" w:color="auto" w:sz="0" w:space="0"/>
          <w:bottom w:val="none" w:color="auto" w:sz="0" w:space="0"/>
          <w:right w:val="none" w:color="auto" w:sz="0" w:space="0"/>
          <w:between w:val="none" w:color="auto" w:sz="0" w:space="0"/>
        </w:pBdr>
        <w:shd w:val="clear" w:fill="auto"/>
        <w:spacing w:after="240"/>
      </w:pPr>
      <w:r>
        <w:rPr>
          <w:rtl w:val="0"/>
        </w:rPr>
        <w:t>The final, and arguably most critical, phase of the project is executing a seamless technical transition to the designated government authorities. This handover must guarantee long-term operational sustainability, security posture maintenance, and ongoing statutory compliance without reliance on the original development vendor.</w:t>
      </w:r>
    </w:p>
    <w:p w14:paraId="00000066">
      <w:pPr>
        <w:pStyle w:val="4"/>
        <w:pBdr>
          <w:top w:val="none" w:color="auto" w:sz="0" w:space="0"/>
          <w:left w:val="none" w:color="auto" w:sz="0" w:space="0"/>
          <w:bottom w:val="none" w:color="auto" w:sz="0" w:space="0"/>
          <w:right w:val="none" w:color="auto" w:sz="0" w:space="0"/>
          <w:between w:val="none" w:color="auto" w:sz="0" w:space="0"/>
        </w:pBdr>
        <w:shd w:val="clear" w:fill="auto"/>
        <w:spacing w:before="0"/>
      </w:pPr>
      <w:r>
        <w:rPr>
          <w:rtl w:val="0"/>
        </w:rPr>
        <w:t>8.1 Compliance with the Open Source Policy</w:t>
      </w:r>
    </w:p>
    <w:p w14:paraId="00000067">
      <w:pPr>
        <w:pBdr>
          <w:top w:val="none" w:color="auto" w:sz="0" w:space="0"/>
          <w:left w:val="none" w:color="auto" w:sz="0" w:space="0"/>
          <w:bottom w:val="none" w:color="auto" w:sz="0" w:space="0"/>
          <w:right w:val="none" w:color="auto" w:sz="0" w:space="0"/>
          <w:between w:val="none" w:color="auto" w:sz="0" w:space="0"/>
        </w:pBdr>
        <w:shd w:val="clear" w:fill="auto"/>
      </w:pPr>
      <w:r>
        <w:rPr>
          <w:rtl w:val="0"/>
        </w:rPr>
        <w:t>At the point of handover, the development team must ensure absolute compliance with the MeitY "Policy on Adoption of Open Source Software for Government of India". The entire application source code, including all custom modules and deployment configurations, must be entirely free from proprietary licensing constraints, recurring royalties, or vendor lock-in mechanisms.</w:t>
      </w:r>
    </w:p>
    <w:p w14:paraId="00000068">
      <w:pPr>
        <w:pBdr>
          <w:top w:val="none" w:color="auto" w:sz="0" w:space="0"/>
          <w:left w:val="none" w:color="auto" w:sz="0" w:space="0"/>
          <w:bottom w:val="none" w:color="auto" w:sz="0" w:space="0"/>
          <w:right w:val="none" w:color="auto" w:sz="0" w:space="0"/>
          <w:between w:val="none" w:color="auto" w:sz="0" w:space="0"/>
        </w:pBdr>
        <w:shd w:val="clear" w:fill="auto"/>
        <w:spacing w:after="240"/>
      </w:pPr>
      <w:r>
        <w:rPr>
          <w:rtl w:val="0"/>
        </w:rPr>
        <w:t>In direct alignment with the "Policy On Collaborative Application Development by Opening the Source Code," the application's source code, infrastructure scripts, and configuration templates should be securely committed to OpenForge, the Government of India's centralized platform for open-source software development and sharing. This practice facilitates future security audits, enables code reuse by other state health departments looking to deploy similar portals, and guarantees that strategic control of the digital asset remains unequivocally with the government.</w:t>
      </w:r>
    </w:p>
    <w:p w14:paraId="00000069">
      <w:pPr>
        <w:pStyle w:val="4"/>
        <w:pBdr>
          <w:top w:val="none" w:color="auto" w:sz="0" w:space="0"/>
          <w:left w:val="none" w:color="auto" w:sz="0" w:space="0"/>
          <w:bottom w:val="none" w:color="auto" w:sz="0" w:space="0"/>
          <w:right w:val="none" w:color="auto" w:sz="0" w:space="0"/>
          <w:between w:val="none" w:color="auto" w:sz="0" w:space="0"/>
        </w:pBdr>
        <w:shd w:val="clear" w:fill="auto"/>
        <w:spacing w:before="0"/>
      </w:pPr>
      <w:r>
        <w:rPr>
          <w:rtl w:val="0"/>
        </w:rPr>
        <w:t>8.2 Web Information Manager (WIM) Empowerment and Policy Formulation</w:t>
      </w:r>
    </w:p>
    <w:p w14:paraId="0000006A">
      <w:pPr>
        <w:pBdr>
          <w:top w:val="none" w:color="auto" w:sz="0" w:space="0"/>
          <w:left w:val="none" w:color="auto" w:sz="0" w:space="0"/>
          <w:bottom w:val="none" w:color="auto" w:sz="0" w:space="0"/>
          <w:right w:val="none" w:color="auto" w:sz="0" w:space="0"/>
          <w:between w:val="none" w:color="auto" w:sz="0" w:space="0"/>
        </w:pBdr>
        <w:shd w:val="clear" w:fill="auto"/>
      </w:pPr>
      <w:r>
        <w:rPr>
          <w:rtl w:val="0"/>
        </w:rPr>
        <w:t>GIGW 3.0 mandates the formal appointment of a Web Information Manager (WIM) from within the ranks of the owning government organization. The handover process must involve exhaustive, hands-on training for the WIM and their designated operational team.</w:t>
      </w:r>
    </w:p>
    <w:p w14:paraId="0000006B">
      <w:pPr>
        <w:pBdr>
          <w:top w:val="none" w:color="auto" w:sz="0" w:space="0"/>
          <w:left w:val="none" w:color="auto" w:sz="0" w:space="0"/>
          <w:bottom w:val="none" w:color="auto" w:sz="0" w:space="0"/>
          <w:right w:val="none" w:color="auto" w:sz="0" w:space="0"/>
          <w:between w:val="none" w:color="auto" w:sz="0" w:space="0"/>
        </w:pBdr>
        <w:shd w:val="clear" w:fill="auto"/>
        <w:spacing w:after="240"/>
      </w:pPr>
      <w:r>
        <w:rPr>
          <w:rtl w:val="0"/>
        </w:rPr>
        <w:t>The development agency will supply fully drafted, tailored templates for the Content Management and Approval Policy (CMAP) and the Content Archival Policy (CAP). These governance policies dictate the rigorous workflow for drafting, approving, and publishing new clinical guidelines, as well as archiving outdated circulars. Proper execution of the CAP mitigates the risk of "link rot" and prevents public confusion over obsolete medical information, which is critical for maintaining STQC CQW certification.</w:t>
      </w:r>
    </w:p>
    <w:p w14:paraId="0000006C">
      <w:pPr>
        <w:pStyle w:val="4"/>
        <w:pBdr>
          <w:top w:val="none" w:color="auto" w:sz="0" w:space="0"/>
          <w:left w:val="none" w:color="auto" w:sz="0" w:space="0"/>
          <w:bottom w:val="none" w:color="auto" w:sz="0" w:space="0"/>
          <w:right w:val="none" w:color="auto" w:sz="0" w:space="0"/>
          <w:between w:val="none" w:color="auto" w:sz="0" w:space="0"/>
        </w:pBdr>
        <w:shd w:val="clear" w:fill="auto"/>
        <w:spacing w:before="0"/>
      </w:pPr>
      <w:r>
        <w:rPr>
          <w:rtl w:val="0"/>
        </w:rPr>
        <w:t>8.3 Operational Handbooks and CI/CD Automation</w:t>
      </w:r>
    </w:p>
    <w:p w14:paraId="0000006D">
      <w:pPr>
        <w:pBdr>
          <w:top w:val="none" w:color="auto" w:sz="0" w:space="0"/>
          <w:left w:val="none" w:color="auto" w:sz="0" w:space="0"/>
          <w:bottom w:val="none" w:color="auto" w:sz="0" w:space="0"/>
          <w:right w:val="none" w:color="auto" w:sz="0" w:space="0"/>
          <w:between w:val="none" w:color="auto" w:sz="0" w:space="0"/>
        </w:pBdr>
        <w:shd w:val="clear" w:fill="auto"/>
      </w:pPr>
      <w:r>
        <w:rPr>
          <w:rtl w:val="0"/>
        </w:rPr>
        <w:t>The handover package must extend beyond standard user manuals to include exhaustive technical documentation. This includes auto-generated API specifications (e.g., Swagger/OpenAPI) for all ABDM integrations, Bhashini pipelines, and internal REST endpoints.</w:t>
      </w:r>
    </w:p>
    <w:p w14:paraId="0000006E">
      <w:pPr>
        <w:pBdr>
          <w:top w:val="none" w:color="auto" w:sz="0" w:space="0"/>
          <w:left w:val="none" w:color="auto" w:sz="0" w:space="0"/>
          <w:bottom w:val="none" w:color="auto" w:sz="0" w:space="0"/>
          <w:right w:val="none" w:color="auto" w:sz="0" w:space="0"/>
          <w:between w:val="none" w:color="auto" w:sz="0" w:space="0"/>
        </w:pBdr>
        <w:shd w:val="clear" w:fill="auto"/>
        <w:spacing w:after="225"/>
      </w:pPr>
      <w:r>
        <w:rPr>
          <w:rtl w:val="0"/>
        </w:rPr>
        <w:t>To ensure reproducibility, the infrastructure must be handed over as Infrastructure as Code (IaC), utilizing tools like Terraform or Ansible to script the provisioning of the MeghRaj cloud environments. Finally, the team must hand over fully configured Continuous Integration and Continuous Deployment (CI/CD) pipelines. These pipelines must be embedded with automated security gates—including Static Application Security Testing (SAST) to catch code flaws, Software Composition Analysis (SCA) to flag vulnerable OSS dependencies, and automated accessibility linters—mechanically preventing any non-compliant or insecure code from ever reaching the production environment.</w:t>
      </w:r>
    </w:p>
    <w:p w14:paraId="0000006F">
      <w:pPr>
        <w:pStyle w:val="3"/>
        <w:pBdr>
          <w:top w:val="none" w:color="auto" w:sz="0" w:space="0"/>
          <w:left w:val="none" w:color="auto" w:sz="0" w:space="0"/>
          <w:bottom w:val="none" w:color="auto" w:sz="0" w:space="0"/>
          <w:right w:val="none" w:color="auto" w:sz="0" w:space="0"/>
          <w:between w:val="none" w:color="auto" w:sz="0" w:space="0"/>
        </w:pBdr>
        <w:shd w:val="clear" w:fill="auto"/>
        <w:spacing w:before="0"/>
      </w:pPr>
      <w:r>
        <w:rPr>
          <w:rtl w:val="0"/>
        </w:rPr>
        <w:t>9. Comprehensive Project Execution Roadmap</w:t>
      </w:r>
    </w:p>
    <w:p w14:paraId="00000070">
      <w:pPr>
        <w:pBdr>
          <w:top w:val="none" w:color="auto" w:sz="0" w:space="0"/>
          <w:left w:val="none" w:color="auto" w:sz="0" w:space="0"/>
          <w:bottom w:val="none" w:color="auto" w:sz="0" w:space="0"/>
          <w:right w:val="none" w:color="auto" w:sz="0" w:space="0"/>
          <w:between w:val="none" w:color="auto" w:sz="0" w:space="0"/>
        </w:pBdr>
        <w:shd w:val="clear" w:fill="auto"/>
        <w:spacing w:after="240"/>
      </w:pPr>
      <w:r>
        <w:rPr>
          <w:rtl w:val="0"/>
        </w:rPr>
        <w:t>To successfully bridge the gap between initial software engineering and full government adoption, the project is structured into a rigorous four-phase roadmap. This progressive model begins with an independent foundational build and strategically scales to incorporate national systems and compliance audits.</w:t>
      </w:r>
    </w:p>
    <w:p w14:paraId="00000071">
      <w:pPr>
        <w:pStyle w:val="4"/>
        <w:pBdr>
          <w:top w:val="none" w:color="auto" w:sz="0" w:space="0"/>
          <w:left w:val="none" w:color="auto" w:sz="0" w:space="0"/>
          <w:bottom w:val="none" w:color="auto" w:sz="0" w:space="0"/>
          <w:right w:val="none" w:color="auto" w:sz="0" w:space="0"/>
          <w:between w:val="none" w:color="auto" w:sz="0" w:space="0"/>
        </w:pBdr>
        <w:shd w:val="clear" w:fill="auto"/>
        <w:spacing w:before="0"/>
      </w:pPr>
      <w:r>
        <w:rPr>
          <w:rtl w:val="0"/>
        </w:rPr>
        <w:t>Phase 1: The Standalone Minimum Viable Product (MVP)</w:t>
      </w:r>
    </w:p>
    <w:p w14:paraId="00000072">
      <w:pPr>
        <w:pBdr>
          <w:top w:val="none" w:color="auto" w:sz="0" w:space="0"/>
          <w:left w:val="none" w:color="auto" w:sz="0" w:space="0"/>
          <w:bottom w:val="none" w:color="auto" w:sz="0" w:space="0"/>
          <w:right w:val="none" w:color="auto" w:sz="0" w:space="0"/>
          <w:between w:val="none" w:color="auto" w:sz="0" w:space="0"/>
        </w:pBdr>
        <w:shd w:val="clear" w:fill="auto"/>
      </w:pPr>
      <w:r>
        <w:rPr>
          <w:rtl w:val="0"/>
        </w:rPr>
        <w:t>In this initial phase, development commences on commercial cloud infrastructure (e.g., AWS, DigitalOcean) to maximize developer velocity. No government Sandbox credentials or API keys are required at this stage.</w:t>
      </w:r>
    </w:p>
    <w:p w14:paraId="00000073">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b/>
          <w:bCs/>
          <w:rtl w:val="0"/>
        </w:rPr>
        <w:t>Architecture &amp; Tech Stack:</w:t>
      </w:r>
    </w:p>
    <w:p w14:paraId="00000074">
      <w:pPr>
        <w:numPr>
          <w:ilvl w:val="1"/>
          <w:numId w:val="2"/>
        </w:numPr>
        <w:pBdr>
          <w:top w:val="none" w:color="auto" w:sz="0" w:space="0"/>
          <w:left w:val="none" w:color="auto" w:sz="0" w:space="0"/>
          <w:bottom w:val="none" w:color="auto" w:sz="0" w:space="0"/>
          <w:right w:val="none" w:color="auto" w:sz="0" w:space="0"/>
          <w:between w:val="none" w:color="auto" w:sz="0" w:space="0"/>
        </w:pBdr>
        <w:shd w:val="clear" w:fill="auto"/>
        <w:ind w:left="1200" w:hanging="360"/>
      </w:pPr>
      <w:r>
        <w:rPr>
          <w:b/>
          <w:bCs/>
          <w:rtl w:val="0"/>
        </w:rPr>
        <w:t>Frontend:</w:t>
      </w:r>
      <w:r>
        <w:rPr>
          <w:rtl w:val="0"/>
        </w:rPr>
        <w:t xml:space="preserve"> Next.js (React) to establish the UI structure and Server-Side Rendering (SSR).</w:t>
      </w:r>
    </w:p>
    <w:p w14:paraId="00000075">
      <w:pPr>
        <w:numPr>
          <w:ilvl w:val="1"/>
          <w:numId w:val="2"/>
        </w:numPr>
        <w:pBdr>
          <w:top w:val="none" w:color="auto" w:sz="0" w:space="0"/>
          <w:left w:val="none" w:color="auto" w:sz="0" w:space="0"/>
          <w:bottom w:val="none" w:color="auto" w:sz="0" w:space="0"/>
          <w:right w:val="none" w:color="auto" w:sz="0" w:space="0"/>
          <w:between w:val="none" w:color="auto" w:sz="0" w:space="0"/>
        </w:pBdr>
        <w:shd w:val="clear" w:fill="auto"/>
        <w:ind w:left="1200" w:hanging="360"/>
      </w:pPr>
      <w:r>
        <w:rPr>
          <w:b/>
          <w:bCs/>
          <w:rtl w:val="0"/>
        </w:rPr>
        <w:t>Backend:</w:t>
      </w:r>
      <w:r>
        <w:rPr>
          <w:rtl w:val="0"/>
        </w:rPr>
        <w:t xml:space="preserve"> NestJS (Node.js) for high-volume I/O, coupled with Spring Boot (Java) to prepare for compute-intensive tasks.</w:t>
      </w:r>
    </w:p>
    <w:p w14:paraId="00000076">
      <w:pPr>
        <w:numPr>
          <w:ilvl w:val="1"/>
          <w:numId w:val="2"/>
        </w:numPr>
        <w:pBdr>
          <w:top w:val="none" w:color="auto" w:sz="0" w:space="0"/>
          <w:left w:val="none" w:color="auto" w:sz="0" w:space="0"/>
          <w:bottom w:val="none" w:color="auto" w:sz="0" w:space="0"/>
          <w:right w:val="none" w:color="auto" w:sz="0" w:space="0"/>
          <w:between w:val="none" w:color="auto" w:sz="0" w:space="0"/>
        </w:pBdr>
        <w:shd w:val="clear" w:fill="auto"/>
        <w:ind w:left="1200" w:hanging="360"/>
      </w:pPr>
      <w:r>
        <w:rPr>
          <w:b/>
          <w:bCs/>
          <w:rtl w:val="0"/>
        </w:rPr>
        <w:t>Database:</w:t>
      </w:r>
      <w:r>
        <w:rPr>
          <w:rtl w:val="0"/>
        </w:rPr>
        <w:t xml:space="preserve"> PostgreSQL for relational schemas (appointments, user roles) and MongoDB for flexible document storage.</w:t>
      </w:r>
    </w:p>
    <w:p w14:paraId="00000077">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b/>
          <w:bCs/>
          <w:rtl w:val="0"/>
        </w:rPr>
        <w:t>Development Core:</w:t>
      </w:r>
      <w:r>
        <w:rPr>
          <w:rtl w:val="0"/>
        </w:rPr>
        <w:t xml:space="preserve"> Build out the static GIGW-compliant Homepage, Services index, localized Doctor profiles, basic Contact forms, and an isolated internal Appointment Booking engine.</w:t>
      </w:r>
    </w:p>
    <w:p w14:paraId="00000078">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b/>
          <w:bCs/>
          <w:rtl w:val="0"/>
        </w:rPr>
        <w:t>Documentation Output:</w:t>
      </w:r>
      <w:r>
        <w:rPr>
          <w:rtl w:val="0"/>
        </w:rPr>
        <w:t xml:space="preserve"> Generate the System Architecture Document (SAD), auto-generate OpenAPI/Swagger API definitions, and map Entity-Relationship (ER) database diagrams.</w:t>
      </w:r>
    </w:p>
    <w:p w14:paraId="00000079">
      <w:pPr>
        <w:pStyle w:val="4"/>
        <w:pBdr>
          <w:top w:val="none" w:color="auto" w:sz="0" w:space="0"/>
          <w:left w:val="none" w:color="auto" w:sz="0" w:space="0"/>
          <w:bottom w:val="none" w:color="auto" w:sz="0" w:space="0"/>
          <w:right w:val="none" w:color="auto" w:sz="0" w:space="0"/>
          <w:between w:val="none" w:color="auto" w:sz="0" w:space="0"/>
        </w:pBdr>
        <w:shd w:val="clear" w:fill="auto"/>
      </w:pPr>
      <w:r>
        <w:rPr>
          <w:rtl w:val="0"/>
        </w:rPr>
        <w:t>Phase 2: Accessibility &amp; Security Hardening (Compliance Prep)</w:t>
      </w:r>
    </w:p>
    <w:p w14:paraId="0000007A">
      <w:pPr>
        <w:pBdr>
          <w:top w:val="none" w:color="auto" w:sz="0" w:space="0"/>
          <w:left w:val="none" w:color="auto" w:sz="0" w:space="0"/>
          <w:bottom w:val="none" w:color="auto" w:sz="0" w:space="0"/>
          <w:right w:val="none" w:color="auto" w:sz="0" w:space="0"/>
          <w:between w:val="none" w:color="auto" w:sz="0" w:space="0"/>
        </w:pBdr>
        <w:shd w:val="clear" w:fill="auto"/>
      </w:pPr>
      <w:r>
        <w:rPr>
          <w:rtl w:val="0"/>
        </w:rPr>
        <w:t>Before connecting to any Digital Public Infrastructure (DPI), the MVP must be hardened to meet strict regulatory minimums for inclusion and security.</w:t>
      </w:r>
    </w:p>
    <w:p w14:paraId="0000007B">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b/>
          <w:bCs/>
          <w:rtl w:val="0"/>
        </w:rPr>
        <w:t>Universal Accessibility:</w:t>
      </w:r>
      <w:r>
        <w:rPr>
          <w:rtl w:val="0"/>
        </w:rPr>
        <w:t xml:space="preserve"> Overhaul the frontend UI to programmatically conform to WCAG 2.2 Level AA guidelines. Establish a minimum 4.5:1 text contrast ratio, implement deep ARIA labelling, and guarantee that focus is never obscured during keyboard navigation.</w:t>
      </w:r>
    </w:p>
    <w:p w14:paraId="0000007C">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b/>
          <w:bCs/>
          <w:rtl w:val="0"/>
        </w:rPr>
        <w:t>Cybersecurity Logistics:</w:t>
      </w:r>
      <w:r>
        <w:rPr>
          <w:rtl w:val="0"/>
        </w:rPr>
        <w:t xml:space="preserve"> Implement an ELK stack (Elasticsearch, Logstash, Kibana) to securely ingest and retain all ICT system logs for a rolling 180-day period. Synchronize all cluster clocks with NIC or NPL NTP servers to ensure forensic readiness.</w:t>
      </w:r>
    </w:p>
    <w:p w14:paraId="0000007D">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b/>
          <w:bCs/>
          <w:rtl w:val="0"/>
        </w:rPr>
        <w:t>Governance Documentation:</w:t>
      </w:r>
      <w:r>
        <w:rPr>
          <w:rtl w:val="0"/>
        </w:rPr>
        <w:t xml:space="preserve"> Draft the mandatory Content Contribution, Moderation &amp; Approval Policy (CMAP) and Content Archival Policy (CAP).</w:t>
      </w:r>
    </w:p>
    <w:p w14:paraId="0000007E">
      <w:pPr>
        <w:pStyle w:val="4"/>
        <w:pBdr>
          <w:top w:val="none" w:color="auto" w:sz="0" w:space="0"/>
          <w:left w:val="none" w:color="auto" w:sz="0" w:space="0"/>
          <w:bottom w:val="none" w:color="auto" w:sz="0" w:space="0"/>
          <w:right w:val="none" w:color="auto" w:sz="0" w:space="0"/>
          <w:between w:val="none" w:color="auto" w:sz="0" w:space="0"/>
        </w:pBdr>
        <w:shd w:val="clear" w:fill="auto"/>
      </w:pPr>
      <w:r>
        <w:rPr>
          <w:rtl w:val="0"/>
        </w:rPr>
        <w:t>Phase 3: Digital Public Infrastructure (DPI) Integrations</w:t>
      </w:r>
    </w:p>
    <w:p w14:paraId="0000007F">
      <w:pPr>
        <w:pBdr>
          <w:top w:val="none" w:color="auto" w:sz="0" w:space="0"/>
          <w:left w:val="none" w:color="auto" w:sz="0" w:space="0"/>
          <w:bottom w:val="none" w:color="auto" w:sz="0" w:space="0"/>
          <w:right w:val="none" w:color="auto" w:sz="0" w:space="0"/>
          <w:between w:val="none" w:color="auto" w:sz="0" w:space="0"/>
        </w:pBdr>
        <w:shd w:val="clear" w:fill="auto"/>
      </w:pPr>
      <w:r>
        <w:rPr>
          <w:rtl w:val="0"/>
        </w:rPr>
        <w:t>This phase transitions the localized MVP into an interoperable node by replacing local modules with sovereign national APIs.</w:t>
      </w:r>
    </w:p>
    <w:p w14:paraId="00000080">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b/>
          <w:bCs/>
          <w:rtl w:val="0"/>
        </w:rPr>
        <w:t>Citizen Identity &amp; Language:</w:t>
      </w:r>
      <w:r>
        <w:rPr>
          <w:rtl w:val="0"/>
        </w:rPr>
        <w:t xml:space="preserve"> Integrate Bhashini Universal Language Contribution APIs (ULCA) to support 22 scheduled Indian languages dynamically. Replace the local login module with e-Pramaan (Meri Pehchaan) OAuth 2.0 flows, allowing patients to authenticate securely via Aadhaar or DigiLocker.</w:t>
      </w:r>
    </w:p>
    <w:p w14:paraId="00000081">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b/>
          <w:bCs/>
          <w:rtl w:val="0"/>
        </w:rPr>
        <w:t>Public Services Interoperability:</w:t>
      </w:r>
      <w:r>
        <w:rPr>
          <w:rtl w:val="0"/>
        </w:rPr>
        <w:t xml:space="preserve"> Reroute the basic contact form to integrate with the CPGRAMS API for automated national grievance redressal. Integrate the e-RaktKosh API to poll and display real-time blood bank inventory.</w:t>
      </w:r>
    </w:p>
    <w:p w14:paraId="00000082">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b/>
          <w:bCs/>
          <w:rtl w:val="0"/>
        </w:rPr>
        <w:t>Ayushman Bharat Digital Mission (ABDM):</w:t>
      </w:r>
      <w:r>
        <w:rPr>
          <w:rtl w:val="0"/>
        </w:rPr>
        <w:t xml:space="preserve"> Register the portal on the Health Facility Registry (HFR) and sync the medical staff with the Health Professional Registry (HPR). Execute NHA Sandbox testing for Milestone 1 (ABHA creation), Milestone 2 (generating FHIR R4 JSON bundles encrypted via Fidelius ECDH), and Milestone 3 (requesting/granting consent artefacts).</w:t>
      </w:r>
    </w:p>
    <w:p w14:paraId="00000083">
      <w:pPr>
        <w:pStyle w:val="4"/>
        <w:pBdr>
          <w:top w:val="none" w:color="auto" w:sz="0" w:space="0"/>
          <w:left w:val="none" w:color="auto" w:sz="0" w:space="0"/>
          <w:bottom w:val="none" w:color="auto" w:sz="0" w:space="0"/>
          <w:right w:val="none" w:color="auto" w:sz="0" w:space="0"/>
          <w:between w:val="none" w:color="auto" w:sz="0" w:space="0"/>
        </w:pBdr>
        <w:shd w:val="clear" w:fill="auto"/>
      </w:pPr>
      <w:r>
        <w:rPr>
          <w:rtl w:val="0"/>
        </w:rPr>
        <w:t>Phase 4: Audits, Sovereign Cloud Deployment, and Handover</w:t>
      </w:r>
    </w:p>
    <w:p w14:paraId="00000084">
      <w:pPr>
        <w:pBdr>
          <w:top w:val="none" w:color="auto" w:sz="0" w:space="0"/>
          <w:left w:val="none" w:color="auto" w:sz="0" w:space="0"/>
          <w:bottom w:val="none" w:color="auto" w:sz="0" w:space="0"/>
          <w:right w:val="none" w:color="auto" w:sz="0" w:space="0"/>
          <w:between w:val="none" w:color="auto" w:sz="0" w:space="0"/>
        </w:pBdr>
        <w:shd w:val="clear" w:fill="auto"/>
      </w:pPr>
      <w:r>
        <w:rPr>
          <w:rtl w:val="0"/>
        </w:rPr>
        <w:t>The final phase involves regulatory verification, migration to sovereign infrastructure, and transferring ownership to government stakeholders.</w:t>
      </w:r>
    </w:p>
    <w:p w14:paraId="00000085">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b/>
          <w:bCs/>
          <w:rtl w:val="0"/>
        </w:rPr>
        <w:t>Compliance Audits:</w:t>
      </w:r>
      <w:r>
        <w:rPr>
          <w:rtl w:val="0"/>
        </w:rPr>
        <w:t xml:space="preserve"> Engage a CERT-In empanelled auditor to conduct a Web Application Security Assessment (WASA), remediate all vulnerabilities, and acquire the mandatory "Safe-To-Host" certificate. Subsequently, submit the portal to an STQC testing lab to achieve the Certified Quality Website (CQW) certification.</w:t>
      </w:r>
    </w:p>
    <w:p w14:paraId="00000086">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b/>
          <w:bCs/>
          <w:rtl w:val="0"/>
        </w:rPr>
        <w:t>MeghRaj Cloud Migration:</w:t>
      </w:r>
      <w:r>
        <w:rPr>
          <w:rtl w:val="0"/>
        </w:rPr>
        <w:t xml:space="preserve"> Containerize the microservices and deploy them onto the MeghRaj National Government Cloud using Kubernetes. Establish an Active-Active High Availability architecture across distinct NIC data centers to ensure disaster recovery readiness.</w:t>
      </w:r>
    </w:p>
    <w:p w14:paraId="00000087">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b/>
          <w:bCs/>
          <w:rtl w:val="0"/>
        </w:rPr>
        <w:t>Technical Handover:</w:t>
      </w:r>
      <w:r>
        <w:rPr>
          <w:rtl w:val="0"/>
        </w:rPr>
        <w:t xml:space="preserve"> Hand over Infrastructure as Code (IaC) provisioning scripts (Terraform/Ansible) and automated CI/CD pipelines. Commit the complete application source code to OpenForge to satisfy the MeitY Open Source Policy, ensuring zero proprietary lock-in.</w:t>
      </w:r>
    </w:p>
    <w:p w14:paraId="00000088">
      <w:pPr>
        <w:pBdr>
          <w:top w:val="none" w:color="auto" w:sz="0" w:space="0"/>
          <w:left w:val="none" w:color="auto" w:sz="0" w:space="0"/>
          <w:bottom w:val="none" w:color="auto" w:sz="0" w:space="0"/>
          <w:right w:val="none" w:color="auto" w:sz="0" w:space="0"/>
          <w:between w:val="none" w:color="auto" w:sz="0" w:space="0"/>
        </w:pBdr>
        <w:shd w:val="clear" w:fill="auto"/>
        <w:spacing w:after="255"/>
      </w:pPr>
      <w:r>
        <w:rPr>
          <w:rtl w:val="0"/>
        </w:rPr>
        <w:t>Through this meticulously structured blueprint, the resulting hospital portal will stand as a highly secure, universally accessible, and resilient digital health node, actively advancing the broader vision of a digitally empowered India.</w:t>
      </w:r>
    </w:p>
    <w:p w14:paraId="00000089">
      <w:pPr>
        <w:pStyle w:val="5"/>
        <w:pBdr>
          <w:top w:val="none" w:color="auto" w:sz="0" w:space="0"/>
          <w:left w:val="none" w:color="auto" w:sz="0" w:space="0"/>
          <w:bottom w:val="none" w:color="auto" w:sz="0" w:space="0"/>
          <w:right w:val="none" w:color="auto" w:sz="0" w:space="0"/>
          <w:between w:val="none" w:color="auto" w:sz="0" w:space="0"/>
        </w:pBdr>
        <w:shd w:val="clear" w:fill="auto"/>
        <w:spacing w:before="0"/>
      </w:pPr>
      <w:r>
        <w:rPr>
          <w:rtl w:val="0"/>
        </w:rPr>
        <w:t>Works cited</w:t>
      </w:r>
    </w:p>
    <w:p w14:paraId="0000008A">
      <w:pPr>
        <w:pBdr>
          <w:top w:val="none" w:color="auto" w:sz="0" w:space="0"/>
          <w:left w:val="none" w:color="auto" w:sz="0" w:space="0"/>
          <w:bottom w:val="none" w:color="auto" w:sz="0" w:space="0"/>
          <w:right w:val="none" w:color="auto" w:sz="0" w:space="0"/>
          <w:between w:val="none" w:color="auto" w:sz="0" w:space="0"/>
        </w:pBdr>
        <w:shd w:val="clear" w:fill="auto"/>
      </w:pPr>
      <w:r>
        <w:rPr>
          <w:rtl w:val="0"/>
        </w:rPr>
        <w:t>1. GIGW 3.0 Government Website Accessibility in India, https://www.skynettechnologies.com/blog/gigw-3-0-government-website-accessibility-in-india 2. New features of GIGW 3.0, https://guidelines.india.gov.in/new-features-of-gigw-3-0/ 3. Policy on Adoption of Open Source Software for Government of India, https://sflc.in/policies-and-cases/policy-on-adoption-of-open-source-software-for-government-of-india/ 4. Policies to promote Open Source Software | Vikaspedia, https://egovernance.vikaspedia.in/viewcontent/e-governance/national-e-governance-plan/policies-to-promote-open-source-software?lgn=en 5. FHIR profile validations for HealthLake - AWS Documentation, https://docs.aws.amazon.com/healthlake/latest/devguide/reference-fhir-profile-validations.html 6. ABDM Milestones M1, M2, M3 and M4 Explained (2026 Guide), https://nirmitee.io/blog/abdm-integration-milestones-m1-m2-m3-m4-multi-software-guide/ 7. Safe To Host Certificate for Web Application Explained - Peneto Labs, https://penetolabs.com/safe-to-host-certificate-for-web-application-explained/ 8. A comprehensive guide to India's CERT-In 6-hour cyber incident, https://sirilawllp.com/a-comprehensive-guide-to-indias-cert-in-6-hour-cyber-incident-reporting-mandate/ 9. e-Pramaan, https://epramaan.gov.in/ 10. Meri Pehchaan NSSO Guide | National Single Sign-On for India, https://startupflora.com/post/meri-pehchaan-nsso-2025 11. Nirmitee-tech/abdm-fhir-bundle-examples - GitHub, https://github.com/Nirmitee-tech/abdm-fhir-bundle-examples 12. e-RaktKosh:Centralized Blood Bank Management System, https://eraktkosh.mohfw.gov.in/BLDAHIMS/bloodbank/transactions/bbpublicindex.html 13. CPGRAMS Portal: Your Platform for Grievance Redressal - Corpbiz, https://corpbiz.io/learning/cpgrams-portal-for-grievance-redressal/ 14. Bhashini.ai — Build products that speak India's languages., https://www.bhashini.ai/ 15. Digital India BHASHINI Division (DIBD) and Punjab National Bank, https://www.pib.gov.in/PressReleasePage.aspx?PRID=2284989&amp;reg=48&amp;lang=1 16. Bhashini : Revolutionizing Language Translation for Indian, https://medium.com/@ankitkumarjha0407/bhashini-revolutionizing-language-translation-for-indian-languages-ef20df171d86 17. Digital India Bhashini Division (DIBD) - GitHub, https://github.com/bhashini-dibd 18. Overall Understanding of the API Calls - Bhashini APIs - GitBook, https://dibd-bhashini.gitbook.io/bhashini-apis 19. Bhashini, https://bhashini.gov.in/ 20. e-Raktkosh Portal — What is a Blood Disorder? - C4S Courses, https://c4scourses.in/national-affairs/e-raktkosh-portal/ 21. Enhancing Emergency Response via IoT-Sensed Real-Time Blood, https://impactfactor.org/PDF/IJDDT/16/IJDDT,Vol16,Issue37s,Article43.pdf 22. IoT Based E Blood Bank System For Real T | PDF | Databases | Web, https://www.scribd.com/document/1032157341/IoT-Based-E-Blood-Bank-System-for-Real-T 23. Blood Donation App: Rajasthan Enhances Donor Tracking - Omnicuris, https://www.omnicuris.com/medshots/daily_updates/rajasthan-blood-donation-app-eraktkosh-integration 24. ABDM Compliance Guide for Indian Hospitals | Sanvya Health, https://www.sanvyahealth.com/blog/abdm-compliance-guide 25. ABDM Integration Checklist: M1, M2, M3 Steps for 2026 - VCDoctor, https://www.vcdoctor.com/blog/abdm-integration-checklist 26. WASA Audit India | ABDM M1 Safe-to-Host - Macksofy Technologies, https://www.macksofy.com/audit/wasa-audit 27. Zimbra Multi-Factor Authentication: Why Password-Only Email Is No, https://innefu.com/new-age-authentication-for-open-source-e-mail-solution-zimbra/ 28. WCAG 2.2 Checklist for Indian Compliance Audits - AccessSure, https://accesssure.in/learn/wcag-22-checklist/ 29. CPGRAMS-Home, https://pgportal.gov.in/ 30. cpgrams portal - Press Release: Press Information Bureau, https://www.pib.gov.in/PressReleaseDetail.aspx?PRID=2223804&amp;reg=6&amp;lang=1 31. Building HIP System _ API Flow_M2 - your Strapi app, https://sandboxcms.abdm.gov.in/uploads/Building_HIP_System_API_Flow_M2_Documentation_d3949bd2_92987fa330.pdf 32. ABDM / Health Data Security Audit - CyberSigma, https://cyb</w:t>
      </w:r>
      <w:r>
        <w:rPr>
          <w:rtl w:val="0"/>
        </w:rPr>
        <w:t>ersigmacs.com/knowledge-center/abdm-health-data/ 33. ABDM Certification Process: Sandbox Exit to Go-Live (2026), https://nirmitee.io/blog/abdm-certification-process-sandbox-to-production-guide/ 34. Complete GIGW 3.0 Compliance &amp; STQC Website Quality, https://webotg.com/gigw3-guide 35. Tools and Resources - Guidelines for Indian Government Websites, https://guidelines.india.gov.in/tools-and-resources/ 36. Website Quality Certification | STQC | Standardisation Testing and, https://www.stqc.gov.in/en/website-quality-certification-0 37. Guidelines for Indian Govt Websites (GIGW ) 3.0 - DBIM ToolKit, https://dbimtoolkit.digifootprint.gov.in/static/uploads/2025/02/c35ec5a5b570663b2a0d514f4f2ff013.pdf 38. GUIDELINES FOR INDIAN GOVERNMENT WEBSITES AND APPS, https://cdnbbsr.s3waas.gov.in/s3c92a10324374fac681719d63979d00fe/uploads/2025/02/2025021775.pdf 39. When You Need a CERT-In Empanelled Security Audit - Affix Center, https://affixcenter.com/blog/cert-in-empanelled-security-audit 40. CERT-In Certification: Requirements, Process, and Audit Checklist, https://blog.securelayer7.net/cert-in-certification/ 41. CERT-In directions 2022: 6-hour incident reporting and 180-day log, https://www.ahuva.in/resources/cert-in-directions-2022-incident-reporting-log-retention/ 42. CERT-In Directions 2022: 6-Hour Incident Reporting | Beacon Filing, https://beaconfiling.com/glossary/cert-in-cybersecurity 43. 2022 CERT-In Directions on Reporting Cyber Incidents | Trilegal, https://trilegal.com/wp-content/uploads/2022/05/2022-CERT-In-Directions-on-Reporting-Cyber-Incidents.pdf 44. CERT-In Log Retention: India's 6-Hour Rule and 180 Days - Stribog, https://stribog.com/blog/cert-in-directions-6-hour-incident-reporting-180-day-log-retention 45. CERT-In Incident Reporting: 6-Hour Rule and Log Retention, https://www.atrity.com/cert-in-incident-reporting-6-hour-rule-and-log-retention-best-practices/ 46. NICSI Cloud Services Delivery - MeghRaj and CSP/MSP, https://nicsi.nic.in/nicsi/nicsi-cloud/ 47. MeghRaj: NIC Cloud Services Overview | PDF - Scribd, https://www.scribd.com/document/915303784/Brochure 48. National Cloud | National Informatics Centre | India, https://www.nic.gov.in/service/national-cloud/ 49. High Availability Architecture: Requirements &amp; Best Practices, https://www.couchbase.com/blog/high-availability-architecture/ 50. Architecture patterns for Active-Passive and Active-Active HA/DR, https://docs.temporal.io/cloud/high-availability/architecture-patterns 51. Privacy Policy - OpenForge, https://openforge.gov.in/openforge/opengovernance.php</w:t>
      </w:r>
    </w:p>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713F9458-42FD-4027-BFEC-D35F057E063F}"/>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95DB5FE2-A37F-41BC-AB40-EF09AC31D686}"/>
  </w:font>
  <w:font w:name="Wingdings">
    <w:panose1 w:val="05000000000000000000"/>
    <w:charset w:val="02"/>
    <w:family w:val="auto"/>
    <w:pitch w:val="default"/>
    <w:sig w:usb0="00000000" w:usb1="00000000" w:usb2="00000000" w:usb3="00000000" w:csb0="80000000" w:csb1="00000000"/>
    <w:embedRegular r:id="rId3" w:fontKey="{D17D03CB-80A5-4E14-8F67-2D064A64574F}"/>
  </w:font>
  <w:font w:name="Calibri">
    <w:panose1 w:val="020F0502020204030204"/>
    <w:charset w:val="00"/>
    <w:family w:val="swiss"/>
    <w:pitch w:val="default"/>
    <w:sig w:usb0="E4002EFF" w:usb1="C200247B" w:usb2="00000009" w:usb3="00000000" w:csb0="200001FF" w:csb1="00000000"/>
    <w:embedRegular r:id="rId4" w:fontKey="{2BFCB6A1-B8EF-40CB-AD2F-FED28BFDB347}"/>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421FE560-42C9-4F08-8B2C-EA4FEE10B5BE}"/>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
    <w:nsid w:val="BF205925"/>
    <w:multiLevelType w:val="multilevel"/>
    <w:tmpl w:val="BF205925"/>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
    <w:nsid w:val="CF092B84"/>
    <w:multiLevelType w:val="multilevel"/>
    <w:tmpl w:val="CF092B84"/>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
    <w:nsid w:val="0053208E"/>
    <w:multiLevelType w:val="multilevel"/>
    <w:tmpl w:val="0053208E"/>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
    <w:nsid w:val="59ADCABA"/>
    <w:multiLevelType w:val="multilevel"/>
    <w:tmpl w:val="59ADCABA"/>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TrueTypeFonts/>
  <w:documentProtection w:enforcement="0"/>
  <w:defaultTabStop w:val="720"/>
  <w:compat>
    <w:compatSetting w:name="compatibilityMode" w:uri="http://schemas.microsoft.com/office/word" w:val="15"/>
  </w:compat>
  <w:rsids>
    <w:rsidRoot w:val="00000000"/>
    <w:rsid w:val="5905604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12</Pages>
  <Words>4776</Words>
  <Characters>34154</Characters>
  <TotalTime>0</TotalTime>
  <ScaleCrop>false</ScaleCrop>
  <LinksUpToDate>false</LinksUpToDate>
  <CharactersWithSpaces>38792</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2026-10-24T05:41:51Z</dcterms:created>
  <dc:creator>Aditya Pandey</dc:creator>
  <cp:lastModifiedBy>Aditya Pandey</cp:lastModifiedBy>
  <dcterms:modified xsi:type="dcterms:W3CDTF">2026-10-24T05:42:50Z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eyJoZGlkIjoiZTE3YjA0YWY0NDE0YmFhNjVmMThmOTFmNmZjODFiOTUiLCJ1c2VySWQiOiI1Njc2MjIzMTQ4NDMifQ==</vt:lpwstr>
  </property>
  <property fmtid="{D5CDD505-2E9C-101B-9397-08002B2CF9AE}" pid="3" name="KSOProductBuildVer">
    <vt:lpwstr>1033-12.1.0.29162</vt:lpwstr>
  </property>
  <property fmtid="{D5CDD505-2E9C-101B-9397-08002B2CF9AE}" pid="4" name="ICV">
    <vt:lpwstr>FC210E2B89D94ABDB42D43E1587773EB_12</vt:lpwstr>
  </property>
</Properties>
</file>