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Architectural and Full-Stack Engineering Blueprint for Next-Generation Indian Government Healthcare Portals</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Architectural Vision and Engineering Paradigm</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evolution of e-governance in India has decisively shifted from the deployment of static, informational brochure-ware to the engineering of highly integrated, secure, and interoperable digital ecosystems. Constructing a state-of-the-art hospital website for an Indian Government facility requires transcending baseline statutory requirements to embrace international best practices in software architecture, universal accessibility, and enterprise-grade cybersecurity. This comprehensive blueprint details a full-stack architectural paradigm designed to serve as a deeply integrated node within India's broader Digital Public Infrastructure (DPI).</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proposed system architecture is engineered to strictly adhere to the Guidelines for Indian Government Websites (GIGW 3.0), the Ministry of Electronics and Information Technology (MeitY) Policy on Adoption of Open Source Software, the Ayushman Bharat Digital Mission (ABDM) framework, and the Indian Computer Emergency Response Team (CERT-In) cybersecurity mandates. By unifying core functional modules—Homepage, Services, Doctors, Appointment Booking, and Contact—with sovereign national APIs such as e-Pramaan for Single Sign-On, Bhashini for AI-driven multilingual translation, e-RaktKosh for blood bank logistics, and CPGRAMS for grievance redressal, the resulting platform will deliver an unparalleled, citizen-centric healthcare experience.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Furthermore, this document delineates the technical implementation of mandatory audit processes, including the CERT-In Web Application Security Assessment (WASA) for the Safe-To-Host credential and the Standardisation Testing and Quality Certification (STQC) Certified Quality Website (CQW) evaluation. It concludes with a rigorous, policy-compliant protocol for transferring the digital asset to government stakeholders, ensuring long-term strategic control and maintainability.</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2. Microservices Architecture and Technology Stack Selection</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Government of India’s Policy on Adoption of Open Source Software explicitly mandates that open-source software (OSS) must be considered the primary option for all e-governance applications to ensure strategic control, prevent vendor lock-in, and drastically reduce the Total Cost of Ownership (TCO) over the application's lifecycle. Consequently, the recommended technology stack relies entirely on enterprise-grade open-source frameworks.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 handle the immense concurrent traffic typical of government portals and the highly asynchronous nature of national healthcare APIs, a traditional monolithic architecture is insufficient. The system must be engineered using a domain-driven microservices architecture, segregating the application into highly cohesive, loosely coupled domains. This allows the clinical data service, which handles heavy cryptographic payloads, to scale independently of the content management service driving the homepage.</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2.1 Microservices Domain Boundaries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architectural topology is divided into several specialized backend services communicating over a secure API gateway. The Identity and Access Management (IAM) Service is dedicated exclusively to interfacing with the e-Pramaan National Single Sign-On platform, handling OAuth 2.0 flows and token lifecycle management. The Clinical Interoperability Service functions as the core engine for the Ayushman Bharat Digital Mission (ABDM), processing Fast Healthcare Interoperability Resources (FHIR) bundles and managing the heavy elliptic-curve cryptography required for health data exchange.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Simultaneously, the Citizen Services Service manages localized workflows, including appointment scheduling, automated grievance routing to the CPGRAMS backend, and real-time polling of the e-RaktKosh APIs. Finally, the Content Management Service operates as a headless backend, driving the GIGW 3.0 compliant frontend while ensuring strict separation of presentation and business logic.</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2.2 Full-Stack Technology Recommendations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selection of specific technologies within this microservices architecture requires balancing developer velocity, enterprise security, and the specific asynchronous operational demands of the Indian digital health ecosystem. The following table provides a comprehensive comparative analysis of the recommended OSS technology stack.</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Architectural Layer</w:t>
            </w:r>
          </w:p>
        </w:tc>
        <w:tc>
          <w:tcPr>
            <w:shd w:fill="auto" w:val="clear"/>
            <w:tcMar>
              <w:top w:w="0.0" w:type="dxa"/>
              <w:left w:w="0.0" w:type="dxa"/>
              <w:bottom w:w="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Recommended Technology</w:t>
            </w:r>
          </w:p>
        </w:tc>
        <w:tc>
          <w:tcPr>
            <w:shd w:fill="auto" w:val="clear"/>
            <w:tcMar>
              <w:top w:w="0.0" w:type="dxa"/>
              <w:left w:w="0.0" w:type="dxa"/>
              <w:bottom w:w="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Technical Advantages</w:t>
            </w:r>
          </w:p>
        </w:tc>
        <w:tc>
          <w:tcPr>
            <w:shd w:fill="auto" w:val="clear"/>
            <w:tcMar>
              <w:top w:w="0.0" w:type="dxa"/>
              <w:left w:w="0.0" w:type="dxa"/>
              <w:bottom w:w="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Trade-offs and Considerations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Frontend Framework</w:t>
            </w:r>
          </w:p>
        </w:tc>
        <w:tc>
          <w:tcPr>
            <w:shd w:fill="auto" w:val="clear"/>
            <w:tcMar>
              <w:top w:w="0.0" w:type="dxa"/>
              <w:left w:w="0.0" w:type="dxa"/>
              <w:bottom w:w="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Next.js (React.js)</w:t>
            </w:r>
          </w:p>
        </w:tc>
        <w:tc>
          <w:tcPr>
            <w:shd w:fill="auto" w:val="clear"/>
            <w:tcMar>
              <w:top w:w="0.0" w:type="dxa"/>
              <w:left w:w="0.0" w:type="dxa"/>
              <w:bottom w:w="0.0" w:type="dxa"/>
              <w:right w:w="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Delivers superior Server-Side Rendering (SSR) essential for SEO and fast perceived load times on low-bandwidth mobile networks. Facilitates strict GIGW 3.0 accessibility compliance through integrated ARIA linting in the CI pipeline.</w:t>
            </w:r>
          </w:p>
        </w:tc>
        <w:tc>
          <w:tcPr>
            <w:shd w:fill="auto" w:val="clear"/>
            <w:tcMar>
              <w:top w:w="0.0" w:type="dxa"/>
              <w:left w:w="0.0" w:type="dxa"/>
              <w:bottom w:w="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Imposes a steeper learning curve for legacy government IT maintenance teams transitioning from traditional monolithic PHP or Java frontends.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Backend (I/O Intensive)</w:t>
            </w:r>
          </w:p>
        </w:tc>
        <w:tc>
          <w:tcPr>
            <w:shd w:fill="auto" w:val="clear"/>
            <w:tcMar>
              <w:top w:w="0.0" w:type="dxa"/>
              <w:left w:w="0.0" w:type="dxa"/>
              <w:bottom w:w="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NestJS (Node.js)</w:t>
            </w:r>
          </w:p>
        </w:tc>
        <w:tc>
          <w:tcPr>
            <w:shd w:fill="auto" w:val="clear"/>
            <w:tcMar>
              <w:top w:w="0.0" w:type="dxa"/>
              <w:left w:w="0.0" w:type="dxa"/>
              <w:bottom w:w="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Utilizes TypeScript for robust type safety. Its event-driven, non-blocking asynchronous I/O model is perfectly suited for handling the high-volume concurrent webhook callbacks mandated by the ABDM architecture.</w:t>
            </w:r>
          </w:p>
        </w:tc>
        <w:tc>
          <w:tcPr>
            <w:shd w:fill="auto" w:val="clear"/>
            <w:tcMar>
              <w:top w:w="0.0" w:type="dxa"/>
              <w:left w:w="0.0" w:type="dxa"/>
              <w:bottom w:w="0.0" w:type="dxa"/>
              <w:right w:w="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Single-threaded nature means CPU-intensive tasks, such as massive FHIR payload encryption, must be offloaded to worker threads or separate services.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Backend (Compute Intensive)</w:t>
            </w:r>
          </w:p>
        </w:tc>
        <w:tc>
          <w:tcPr>
            <w:shd w:fill="auto" w:val="clear"/>
            <w:tcMar>
              <w:top w:w="0.0" w:type="dxa"/>
              <w:left w:w="0.0" w:type="dxa"/>
              <w:bottom w:w="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Spring Boot (Java)</w:t>
            </w:r>
          </w:p>
        </w:tc>
        <w:tc>
          <w:tcPr>
            <w:shd w:fill="auto" w:val="clear"/>
            <w:tcMar>
              <w:top w:w="0.0" w:type="dxa"/>
              <w:left w:w="0.0" w:type="dxa"/>
              <w:bottom w:w="0.0" w:type="dxa"/>
              <w:right w:w="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Provides unparalleled enterprise security paradigms, robust multithreading, and extensive cryptographic libraries critical for implementing Fidelius (ECDH key agreement) encryption seamlessly.</w:t>
            </w:r>
          </w:p>
        </w:tc>
        <w:tc>
          <w:tcPr>
            <w:shd w:fill="auto" w:val="clear"/>
            <w:tcMar>
              <w:top w:w="0.0" w:type="dxa"/>
              <w:left w:w="0.0" w:type="dxa"/>
              <w:bottom w:w="0.0" w:type="dxa"/>
              <w:right w:w="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Exhibits a higher memory footprint compared to Node.js and slower cold start times, necessitating careful container orchestration.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Primary Database</w:t>
            </w:r>
          </w:p>
        </w:tc>
        <w:tc>
          <w:tcPr>
            <w:shd w:fill="auto" w:val="clear"/>
            <w:tcMar>
              <w:top w:w="0.0" w:type="dxa"/>
              <w:left w:w="0.0" w:type="dxa"/>
              <w:bottom w:w="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PostgreSQL</w:t>
            </w:r>
          </w:p>
        </w:tc>
        <w:tc>
          <w:tcPr>
            <w:shd w:fill="auto" w:val="clear"/>
            <w:tcMar>
              <w:top w:w="0.0" w:type="dxa"/>
              <w:left w:w="0.0" w:type="dxa"/>
              <w:bottom w:w="0.0" w:type="dxa"/>
              <w:right w:w="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Strictly ACID compliant, exceptionally secure, and fully open-source. Ideal for storing structured hospital data, doctor registries, and complex Role-Based Access Control (RBAC) models.</w:t>
            </w:r>
          </w:p>
        </w:tc>
        <w:tc>
          <w:tcPr>
            <w:shd w:fill="auto" w:val="clear"/>
            <w:tcMar>
              <w:top w:w="0.0" w:type="dxa"/>
              <w:left w:w="0.0" w:type="dxa"/>
              <w:bottom w:w="0.0" w:type="dxa"/>
              <w:right w:w="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Requires specialized database administration for establishing and maintaining High Availability (HA) clustering and replication.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Document Database</w:t>
            </w:r>
          </w:p>
        </w:tc>
        <w:tc>
          <w:tcPr>
            <w:shd w:fill="auto" w:val="clear"/>
            <w:tcMar>
              <w:top w:w="0.0" w:type="dxa"/>
              <w:left w:w="0.0" w:type="dxa"/>
              <w:bottom w:w="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MongoDB (Community)</w:t>
            </w:r>
          </w:p>
        </w:tc>
        <w:tc>
          <w:tcPr>
            <w:shd w:fill="auto" w:val="clear"/>
            <w:tcMar>
              <w:top w:w="0.0" w:type="dxa"/>
              <w:left w:w="0.0" w:type="dxa"/>
              <w:bottom w:w="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Highly optimized for storing unstructured or deeply nested semi-structured JSON payloads, such as the complex FHIR R4 document bundles generated during clinical encounters.</w:t>
            </w:r>
          </w:p>
        </w:tc>
        <w:tc>
          <w:tcPr>
            <w:shd w:fill="auto" w:val="clear"/>
            <w:tcMar>
              <w:top w:w="0.0" w:type="dxa"/>
              <w:left w:w="0.0" w:type="dxa"/>
              <w:bottom w:w="0.0" w:type="dxa"/>
              <w:right w:w="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Native relational joins are less efficient; necessitates highly careful schema design to avoid data duplication across the clinical domain.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Caching &amp; Messaging</w:t>
            </w:r>
          </w:p>
        </w:tc>
        <w:tc>
          <w:tcPr>
            <w:shd w:fill="auto" w:val="clear"/>
            <w:tcMar>
              <w:top w:w="0.0" w:type="dxa"/>
              <w:left w:w="0.0" w:type="dxa"/>
              <w:bottom w:w="0.0" w:type="dxa"/>
              <w:right w:w="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Redis / RabbitMQ</w:t>
            </w:r>
          </w:p>
        </w:tc>
        <w:tc>
          <w:tcPr>
            <w:shd w:fill="auto" w:val="clear"/>
            <w:tcMar>
              <w:top w:w="0.0" w:type="dxa"/>
              <w:left w:w="0.0" w:type="dxa"/>
              <w:bottom w:w="0.0" w:type="dxa"/>
              <w:right w:w="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Redis provides ultra-fast, distributed session management (crucial for caching ABDM gateway tokens). RabbitMQ guarantees reliable message delivery for asynchronous API callbacks, preventing data loss.</w:t>
            </w:r>
          </w:p>
        </w:tc>
        <w:tc>
          <w:tcPr>
            <w:shd w:fill="auto" w:val="clear"/>
            <w:tcMar>
              <w:top w:w="0.0" w:type="dxa"/>
              <w:left w:w="0.0" w:type="dxa"/>
              <w:bottom w:w="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Introduces additional infrastructural complexity and requires persistent state management strategies across the deployment zones.</w:t>
            </w:r>
          </w:p>
        </w:tc>
      </w:tr>
    </w:tbl>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 Core Functional Modules and DPI Integrations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 exceed standard government requirements, the portal's user-facing modules must move beyond traditional static information delivery. The application must actively embed specialized national digital platforms, transforming the hospital website into an interactive, real-time service delivery node.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3.1 Homepage: Multilingual Inclusivity via Bhashini AI</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Homepage serves as the digital front door for citizens across varying demographics and literacy levels. To cater to India's vast linguistic diversity and strictly align with GIGW 3.0 requirements for regional language support, the frontend must integrate the Bhashini AI ecosystem. Managed by the Digital India BHASHINI Division (DIBD), this platform provides enterprise-grade, machine-learning-driven APIs for seamless language translation.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By utilizing Bhashini's Universal Language Contribution APIs (ULCA), the frontend can dynamically translate textual content into 22 recognized Indian languages defined by the ISO-639 standard. From an engineering perspective, this involves orchestrating the Pipeline Search API to identify the appropriate models, followed by mandatory Pipeline Config and Compute calls to render the translated DOM elements. Furthermore, to assist citizens with varying literacy levels, Bhashini’s Automatic Speech Recognition (ASR) and Text-to-Speech (TTS) pipelines should be embedded directly into the search functionalities. This allows users to search for specialized doctors or navigate critical services using natural voice commands in their native dialects, processing the base64 audio payloads through the bhashini.asr_nmt_tts composite sequence for real-time speech-to-speech translation.</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3.2 Services: Real-Time Resource Logistics via e-RaktKosh</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Services module outlines clinical departments, diagnostic facilities, and emergency protocols. However, a critical technological value-addition is the direct integration of the e-RaktKosh platform, India's centralized blood bank management system.</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Instead of merely listing the hospital's blood bank contact number, the portal will operate as an API consumer of the e-RaktKosh network. Through authenticated REST API polling, the frontend will display real-time blood stock availability, segmented by blood group and component type, directly on the services page. This prevents citizens from physically visiting the hospital during emergencies only to find a specific blood group unavailable, thereby optimizing transfusion logistics, minimizing response times, and greatly enhancing patient outcomes.</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3.3 Doctors: Synchronization with the Health Professional Registry (HPR)</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Doctors directory must transcend a simple static Content Management System (CMS) list. Under the national digital health ecosystem, medical professionals are mandated to be registered in the Health Professional Registry (HPR), while the hospital itself is onboarded onto the Health Facility Registry (HFR).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backend microservice will synchronize daily with the HPR via secure API endpoints to display verified credentials, clinical specializations, and the unique HPR IDs of the medical staff. This integration ensures total transparency and builds immense citizen trust, providing cryptographic confirmation that all practicing professionals within the facility are digitally authenticated and in good standing with the National Health Authority (NHA).</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3.4 Appointment Booking: Frictionless Authentication via e-Pramaan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Standard appointment booking systems frequently suffer from high abandonment rates due to requiring users to repeatedly input extensive demographic data. This portal will eliminate that friction by utilizing e-Pramaan, the National Single Sign-On (NSSO) platform, acting as the authentication backbone through the Meri Pehchaan framework.</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Citizens can authenticate themselves using their existing Aadhaar, Permanent Account Number (PAN), or DigiLocker credentials. From a development standpoint, the IAM microservice will implement standard OAuth 2.0 flows, relying on e-Pramaan to facilitate Multi-Factor Authentication (MFA) via OTP, digital certificates, or biometric verification, ensuring robust compliance with identity verification norms without storing sensitive biometric data locally. Once authenticated, the booking system interfaces with the patient's Ayushman Bharat Health Account (ABHA). The system will fetch verified demographic details directly from the ABHA profile, pre-filling forms to reduce redundant data entry—a feature that directly satisfies the WCAG 2.2 Success Criterion 3.3.7 (Redundant Entry).</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3.5 Contact and Grievance Redressal: CPGRAMS Interoperability</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standard "Contact Us" email form is entirely insufficient for a transparent government facility. The portal must implement deep integration with the Centralized Public Grievance Redress and Monitoring System (CPGRAMS) API.</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Complaints lodged on the hospital portal are automatically converted into structured payloads and routed directly to the CPGRAMS backend infrastructure. The citizen immediately receives a unique, centrally generated registration number. The portal will feature a dedicated "Track Grievance" widget utilizing CPGRAMS REST APIs, allowing users to continuously monitor the status of their appeal. This architectural choice ensures the hospital is legally bound to the standard 30-day resolution timeline mandated by the Department of Administrative Reforms and Public Grievances (DARPG), fostering unprecedented accountability.</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4. Deep Integration with the Ayushman Bharat Digital Mission (ABDM)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 truly exceed standard requirements and function as a modern digital health node, the hospital software must operate as both a Health Information Provider (HIP) and a Health Information User (HIU) within the ABDM framework. This integration is highly complex and categorized into mandatory, progressively certified milestones dictated by the NHA.</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4.1 Milestone 1 (M1): Identity Verification and ABHA Creation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foundational layer of the ABDM architecture is the ABHA (Ayushman Bharat Health Account) ID. The hospital portal must feature a dedicated module allowing unregistered patients to generate an ABHA instantly using Aadhaar or mobile OTP verification.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engineering team must implement the complex two-step ABHA login process. Initial calls to /v3/profile/login/verify return a temporary T-token and the associated account list. A subsequent verification yields the persistent X-token, which is mandatory for all profile, card, and QR code API calls. Furthermore, the backend must securely handle the cryptographic operations, specifically RSA encryption, required for transmitting Aadhaar and OTP values securely over the network during the enrollment phase.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4.2 Milestone 2 (M2): Health Information Provider (HIP) Capabilities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an HIP, the hospital acts as a primary generator and custodian of clinical data. The portal's backend must be capable of linking specific clinical visits, termed "care contexts," to a patient's ABHA.</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ABDM architecture is fundamentally asynchronous. When a citizen requests their records via a third-party Personal Health Record (PHR) application, the central ABDM Gateway dispatched a webhook to the hospital's registered bridging URL (e.g., the on-discover endpoint). The backend must immediately acknowledge this with an HTTP 202 Accepted response, process the discovery logic asynchronously in the background, and return the matching care contexts via a callback.</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Crucially, health data cannot be transmitted as raw, unstructured PDFs. The system's clinical interoperability engine must convert discharge summaries, OPConsultation notes, and diagnostic reports into strictly validated FHIR R4 JSON bundles. These bundles must align precisely with the structural definitions and coding standards (such as SNOMED CT, LOINC, and ICD-10) mandated by the National Resource Centre for EHR Standards (NRCeS). Prior to transmission, the FHIR bundle must undergo Fidelius encryption, a complex process involving Elliptic Curve Diffie-Hellman (ECDH) key agreement and AES-GCM symmetric encryption, ensuring that only the intended recipient can decrypt the payload. The encrypted payload is subsequently pushed to the specified data push URL.</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4.3 Milestone 3 (M3): Health Information User (HIU) Capabilities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provide attending physicians with a holistic, longitudinal view of a patient's medical history, the portal must also function as an HIU. This requires sophisticated interaction with the ABDM Consent Manager.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When a doctor requires access to prior records residing at external HIPs, the system generates a structured consent artefact request detailing the clinical purpose, specific Health Information (HI) types, the date range, and a strict data-eraser expiry date. The patient receives a push notification on their PHR app to review and grant or deny access. Upon receiving an affirmative cryptographic consent artefact, the system receives the encrypted data from the external HIPs, decrypts it using its localized private key, and renders it seamlessly within the Electronic Health Record (EHR) viewer.</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Most importantly, to ensure strict compliance with the Health Data Management (HDM) Policy, the system must feature automated, cron-driven background jobs that irrevocably purge this external data the moment the consent expiry date is reached, or immediately upon receiving a revocation callback.</w:t>
      </w:r>
    </w:p>
    <w:p w:rsidR="00000000" w:rsidDel="00000000" w:rsidP="00000000" w:rsidRDefault="00000000" w:rsidRPr="00000000" w14:paraId="00000048">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5. Universal Accessibility and GIGW 3.0 Compliance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implementation of the Guidelines for Indian Government Websites (GIGW 3.0) represents a profound paradigm shift, elevating accessibility from a set of optional best practices to strict, mandatory compliance standards essential for digital inclusivity across the nation. Exceeding baseline requirements implies achieving flawless, programmatic adherence to these directives from the initial design phase.</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5.1 Adherence to WCAG 2.2 Level AA Standards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While GIGW 3.0 explicitly mandates compliance with the World Wide Web Consortium’s (W3C) Web Content Accessibility Guidelines (WCAG) 2.1 Level AA, forward-thinking government portals are currently audited by STQC empanelled labs against the more rigorous WCAG 2.2 standard to ensure future-proofing.</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engineering team must enforce strict visual accessibility parameters, maintaining a minimum contrast ratio of 4.5:1 for standard text and 3:1 for large, bold text against their backgrounds. The user interface must support responsive text scaling up to 200% without triggering horizontal scrolling, container clipping, or functional degradation.</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Keyboard and screen reader navigation must be flawless. The entire application DOM must be navigable using only keyboard inputs. A critical addition in WCAG 2.2 is the "Focus Not Obscured" (Success Criterion 2.4.11), which dictates that sticky headers, modal overlays, or persistent cookie banners must never hide the currently focused interactive element from the user's view. All non-text content, complex dynamic components, and state changes must utilize semantic HTML5 and extensive ARIA (Accessible Rich Internet Applications) tagging to ensure deep compatibility with dominant screen readers like NVDA and JAWS.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Furthermore, the portal must eliminate the common pitfall of inaccessible downloadables. Every circular, notification, and official form must be provided as structured, tagged PDF/A documents featuring embedded Optical Character Recognition (OCR) text, bookmarks, and alternative text for charts, entirely avoiding scanned image PDFs that are opaque to assistive technologies.</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5.2 The STQC CQW Certification Lifecycle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legally validate compliance, the portal must undergo the rigorous Standardisation Testing and Quality Certification (STQC) process to acquire the Certified Quality Website (CQW) credential. This involves a formal, four-phase audit progression.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initial phase requires the development team to conduct a Pre-Audit Gap Analysis utilizing automated accessibility linters (such as axe-core and Pa11y) integrated into the CI/CD pipeline, followed by rigorous manual keyboard and cognitive walkthroughs to catch context-dependent failures. The second phase is the CERT-In empanelled Vulnerability Assessment and Penetration Testing (VAPT) audit, mandatory for the Safe-To-Host certificate.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Phase three involves formal Evidence Submission, where the completed GIGW conformity matrix, the Safe-To-Host certificate, and proofs of bilingual content parity are submitted to an STQC testing lab. Upon successful evaluation, the STQC directorate issues the CQW certification, which must be sustained through annual surveillance audits and strict adherence to a formalized Content Management and Approval Policy (CMAP).</w:t>
      </w:r>
    </w:p>
    <w:p w:rsidR="00000000" w:rsidDel="00000000" w:rsidP="00000000" w:rsidRDefault="00000000" w:rsidRPr="00000000" w14:paraId="00000053">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6. Enterprise Cybersecurity and CERT-In Mandates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Government health portals represent highly lucrative targets for sophisticated cyber threat actors due to the dense concentration of Personally Identifiable Information (PII) and Protected Health Information (PHI). Consequently, compliance with the directives issued by the Indian Computer Emergency Response Team (CERT-In) is non-negotiable and must be baked into the architectural foundation.</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6.1 Web Application Security Assessment (WASA) and Safe-To-Host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Before the application can be deployed onto production government infrastructure, it must acquire a "Safe-To-Host" certificate from a CERT-In empanelled cybersecurity auditing organization.</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WASA audit is an exhaustive evaluation that aligns with the OWASP Top 10 vulnerabilities, API security metrics, and the OWASP Application Security Verification Standard (ASVS) V4.0. The auditing process utilizes a dual-pronged methodology: automated Vulnerability Assessment (VA) scanners identify known CVEs, outdated cryptographic libraries, and misconfigured HTTP headers, while deep manual Penetration Testing (PT) is deployed to uncover complex business logic flaws, session hijacking vulnerabilities, and authorization bypasses.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All identified critical and high-severity vulnerabilities must be remediated by the development team. The auditor subsequently conducts a rigorous re-test to issue a Vulnerability Closure Certificate (VCC) alongside the final Safe-To-Host certificate. This certification provides formal assurance of security readiness and remains valid for one year, or until significant architectural or code-level changes are introduced to the production environment.</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6.2 Compliance with CERT-In 2022 Directives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engineering architecture must inherently support the strict, time-sensitive regulatory mandates introduced by CERT-In in April 2022.</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primary mandate is the 180-Day Log Retention rule. The system must securely maintain immutable logs of all Information and Communication Technology (ICT) systems—including web application firewalls, database queries, API gateway traffic, and authentication events—for a rolling period of 180 days, stored strictly within Indian borders. This necessitates the deployment of a dedicated, highly scalable logging infrastructure, such as an ELK stack (Elasticsearch, Logstash, Kibana), coupled with automated data lifecycle management policies that migrate older logs to encrypted cold storage to optimize operational costs.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guarantee forensic accuracy and non-repudiation during post-incident analysis, all system clocks across the distributed microservices cluster must be continuously synchronized using the Network Time Protocol (NTP) servers maintained by the National Informatics Centre (NIC) or the National Physical Laboratory (NPL).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Furthermore, the operational playbook must integrate automated Security Information and Event Management (SIEM) alerting. Upon the detection of specified cyber incidents—such as unauthorized access attempts, data exfiltration, or distributed denial-of-service (DDoS) attacks—the system administrators are legally obligated to notify CERT-In within 6 hours of discovery, requiring robust, real-time monitoring capabilities.</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7. Sovereign Cloud Infrastructure and Deployment Strategy</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application must be deployed on sovereign, highly controlled infrastructure to ensure strict data localization, extreme resilience, and compliance with national security protocols. The MeghRaj initiative, also known as the National Government Cloud, managed by the National Informatics Centre (NIC) and NICSI, provides the optimal foundation for this deployment.</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7.1 Deployment Topology on the MeghRaj Cloud</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MeghRaj ecosystem offers tiered cloud services via empanelled Cloud Service Providers (CSPs) and Managed Service Providers (MSPs), operating across Tier-III National Data Centres (NDCs) located in strategic regions such as Delhi, Pune, and Bhubaneswar.</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microservices architecture will leverage Infrastructure as a Service (IaaS) and Container as a Service (CaaS) paradigms on the MeghRaj platform. Services will be containerized using Docker and orchestrated via enterprise-grade Kubernetes clusters. This orchestration allows for automated, metrics-driven horizontal scaling during sudden high-traffic events, such as national vaccination drives or localized epidemic outbreaks.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To ensure uninterrupted service delivery, the deployment must utilize an Active-Active High Availability (HA) architecture across two distinct geographic NDC zones. In the event of a catastrophic hardware failure or localized network outage in the primary zone, the global load balancer automatically reroutes traffic to the secondary zone, ensuring near-zero downtime and immediate disaster recovery (DR). The infrastructure perimeter will be heavily fortified utilizing MeghRaj's integrated Web Application Firewall (WAF) services, Anti-DDoS protection layers, and strict Identity and Access Management (IAM) controls mapped to the organization's Active Directory.</w:t>
      </w:r>
    </w:p>
    <w:p w:rsidR="00000000" w:rsidDel="00000000" w:rsidP="00000000" w:rsidRDefault="00000000" w:rsidRPr="00000000" w14:paraId="00000064">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8. Government Handover and Lifecycle Management Strategy</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final, and arguably most critical, phase of the project is executing a seamless technical transition to the designated government authorities. This handover must guarantee long-term operational sustainability, security posture maintenance, and ongoing statutory compliance without reliance on the original development vendor.</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8.1 Compliance with the Open Source Policy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the point of handover, the development team must ensure absolute compliance with the MeitY "Policy on Adoption of Open Source Software for Government of India". The entire application source code, including all custom modules and deployment configurations, must be entirely free from proprietary licensing constraints, recurring royalties, or vendor lock-in mechanisms.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In direct alignment with the "Policy On Collaborative Application Development by Opening the Source Code," the application's source code, infrastructure scripts, and configuration templates should be securely committed to OpenForge, the Government of India's centralized platform for open-source software development and sharing. This practice facilitates future security audits, enables code reuse by other state health departments looking to deploy similar portals, and guarantees that strategic control of the digital asset remains unequivocally with the government.</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8.2 Web Information Manager (WIM) Empowerment and Policy Formulation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GIGW 3.0 mandates the formal appointment of a Web Information Manager (WIM) from within the ranks of the owning government organization. The handover process must involve exhaustive, hands-on training for the WIM and their designated operational team.</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development agency will supply fully drafted, tailored templates for the Content Management and Approval Policy (CMAP) and the Content Archival Policy (CAP). These governance policies dictate the rigorous workflow for drafting, approving, and publishing new clinical guidelines, as well as archiving outdated circulars. Proper execution of the CAP mitigates the risk of "link rot" and prevents public confusion over obsolete medical information, which is critical for maintaining STQC CQW certification.</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8.3 Operational Handbooks and CI/CD Automation</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handover package must extend beyond standard user manuals to include exhaustive technical documentation. This includes auto-generated API specifications (e.g., Swagger/OpenAPI) for all ABDM integrations, Bhashini pipelines, and internal REST endpoints.</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To ensure reproducibility, the infrastructure must be handed over as Infrastructure as Code (IaC), utilizing tools like Terraform or Ansible to script the provisioning of the MeghRaj cloud environments. Finally, the team must hand over fully configured Continuous Integration and Continuous Deployment (CI/CD) pipelines. These pipelines must be embedded with automated security gates—including Static Application Security Testing (SAST) to catch code flaws, Software Composition Analysis (SCA) to flag vulnerable OSS dependencies, and automated accessibility linters—mechanically preventing any non-compliant or insecure code from ever reaching the production environment.</w:t>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9. Comprehensive Project Execution Roadmap</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 successfully bridge the gap between initial software engineering and full government adoption, the project is structured into a rigorous four-phase roadmap. This progressive model begins with an independent foundational build and strategically scales to incorporate national systems and compliance audits.</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Phase 1: The Standalone Minimum Viable Product (MVP)</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this initial phase, development commences on commercial cloud infrastructure (e.g., AWS, DigitalOcean) to maximize developer velocity. No government Sandbox credentials or API keys are required at this stage.</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Architecture &amp; Tech Stack:</w:t>
      </w:r>
    </w:p>
    <w:p w:rsidR="00000000" w:rsidDel="00000000" w:rsidP="00000000" w:rsidRDefault="00000000" w:rsidRPr="00000000" w14:paraId="00000074">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b w:val="1"/>
          <w:bCs w:val="1"/>
          <w:rtl w:val="0"/>
        </w:rPr>
        <w:t xml:space="preserve">Frontend:</w:t>
      </w:r>
      <w:r w:rsidDel="00000000" w:rsidR="00000000" w:rsidRPr="00000000">
        <w:rPr>
          <w:rtl w:val="0"/>
        </w:rPr>
        <w:t xml:space="preserve"> Next.js (React) to establish the UI structure and Server-Side Rendering (SSR).</w:t>
      </w:r>
    </w:p>
    <w:p w:rsidR="00000000" w:rsidDel="00000000" w:rsidP="00000000" w:rsidRDefault="00000000" w:rsidRPr="00000000" w14:paraId="00000075">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b w:val="1"/>
          <w:bCs w:val="1"/>
          <w:rtl w:val="0"/>
        </w:rPr>
        <w:t xml:space="preserve">Backend:</w:t>
      </w:r>
      <w:r w:rsidDel="00000000" w:rsidR="00000000" w:rsidRPr="00000000">
        <w:rPr>
          <w:rtl w:val="0"/>
        </w:rPr>
        <w:t xml:space="preserve"> NestJS (Node.js) for high-volume I/O, coupled with Spring Boot (Java) to prepare for compute-intensive tasks.</w:t>
      </w:r>
    </w:p>
    <w:p w:rsidR="00000000" w:rsidDel="00000000" w:rsidP="00000000" w:rsidRDefault="00000000" w:rsidRPr="00000000" w14:paraId="00000076">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b w:val="1"/>
          <w:bCs w:val="1"/>
          <w:rtl w:val="0"/>
        </w:rPr>
        <w:t xml:space="preserve">Database:</w:t>
      </w:r>
      <w:r w:rsidDel="00000000" w:rsidR="00000000" w:rsidRPr="00000000">
        <w:rPr>
          <w:rtl w:val="0"/>
        </w:rPr>
        <w:t xml:space="preserve"> PostgreSQL for relational schemas (appointments, user roles) and MongoDB for flexible document storage.</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Development Core:</w:t>
      </w:r>
      <w:r w:rsidDel="00000000" w:rsidR="00000000" w:rsidRPr="00000000">
        <w:rPr>
          <w:rtl w:val="0"/>
        </w:rPr>
        <w:t xml:space="preserve"> Build out the static GIGW-compliant Homepage, Services index, localized Doctor profiles, basic Contact forms, and an isolated internal Appointment Booking engine.</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Documentation Output:</w:t>
      </w:r>
      <w:r w:rsidDel="00000000" w:rsidR="00000000" w:rsidRPr="00000000">
        <w:rPr>
          <w:rtl w:val="0"/>
        </w:rPr>
        <w:t xml:space="preserve"> Generate the System Architecture Document (SAD), auto-generate OpenAPI/Swagger API definitions, and map Entity-Relationship (ER) database diagrams.</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Phase 2: Accessibility &amp; Security Hardening (Compliance Prep)</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Before connecting to any Digital Public Infrastructure (DPI), the MVP must be hardened to meet strict regulatory minimums for inclusion and security.</w:t>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Universal Accessibility:</w:t>
      </w:r>
      <w:r w:rsidDel="00000000" w:rsidR="00000000" w:rsidRPr="00000000">
        <w:rPr>
          <w:rtl w:val="0"/>
        </w:rPr>
        <w:t xml:space="preserve"> Overhaul the frontend UI to programmatically conform to WCAG 2.2 Level AA guidelines. Establish a minimum 4.5:1 text contrast ratio, implement deep ARIA labelling, and guarantee that focus is never obscured during keyboard navigation.</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Cybersecurity Logistics:</w:t>
      </w:r>
      <w:r w:rsidDel="00000000" w:rsidR="00000000" w:rsidRPr="00000000">
        <w:rPr>
          <w:rtl w:val="0"/>
        </w:rPr>
        <w:t xml:space="preserve"> Implement an ELK stack (Elasticsearch, Logstash, Kibana) to securely ingest and retain all ICT system logs for a rolling 180-day period. Synchronize all cluster clocks with NIC or NPL NTP servers to ensure forensic readiness.</w:t>
      </w:r>
    </w:p>
    <w:p w:rsidR="00000000" w:rsidDel="00000000" w:rsidP="00000000" w:rsidRDefault="00000000" w:rsidRPr="00000000" w14:paraId="0000007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Governance Documentation:</w:t>
      </w:r>
      <w:r w:rsidDel="00000000" w:rsidR="00000000" w:rsidRPr="00000000">
        <w:rPr>
          <w:rtl w:val="0"/>
        </w:rPr>
        <w:t xml:space="preserve"> Draft the mandatory Content Contribution, Moderation &amp; Approval Policy (CMAP) and Content Archival Policy (CAP).</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Phase 3: Digital Public Infrastructure (DPI) Integrations</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phase transitions the localized MVP into an interoperable node by replacing local modules with sovereign national APIs.</w:t>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Citizen Identity &amp; Language:</w:t>
      </w:r>
      <w:r w:rsidDel="00000000" w:rsidR="00000000" w:rsidRPr="00000000">
        <w:rPr>
          <w:rtl w:val="0"/>
        </w:rPr>
        <w:t xml:space="preserve"> Integrate Bhashini Universal Language Contribution APIs (ULCA) to support 22 scheduled Indian languages dynamically. Replace the local login module with e-Pramaan (Meri Pehchaan) OAuth 2.0 flows, allowing patients to authenticate securely via Aadhaar or DigiLocker.</w:t>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Public Services Interoperability:</w:t>
      </w:r>
      <w:r w:rsidDel="00000000" w:rsidR="00000000" w:rsidRPr="00000000">
        <w:rPr>
          <w:rtl w:val="0"/>
        </w:rPr>
        <w:t xml:space="preserve"> Reroute the basic contact form to integrate with the CPGRAMS API for automated national grievance redressal. Integrate the e-RaktKosh API to poll and display real-time blood bank inventory.</w:t>
      </w:r>
    </w:p>
    <w:p w:rsidR="00000000" w:rsidDel="00000000" w:rsidP="00000000" w:rsidRDefault="00000000" w:rsidRPr="00000000" w14:paraId="0000008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Ayushman Bharat Digital Mission (ABDM):</w:t>
      </w:r>
      <w:r w:rsidDel="00000000" w:rsidR="00000000" w:rsidRPr="00000000">
        <w:rPr>
          <w:rtl w:val="0"/>
        </w:rPr>
        <w:t xml:space="preserve"> Register the portal on the Health Facility Registry (HFR) and sync the medical staff with the Health Professional Registry (HPR). Execute NHA Sandbox testing for Milestone 1 (ABHA creation), Milestone 2 (generating FHIR R4 JSON bundles encrypted via Fidelius ECDH), and Milestone 3 (requesting/granting consent artefacts).</w:t>
      </w:r>
    </w:p>
    <w:p w:rsidR="00000000" w:rsidDel="00000000" w:rsidP="00000000" w:rsidRDefault="00000000" w:rsidRPr="00000000" w14:paraId="00000083">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Phase 4: Audits, Sovereign Cloud Deployment, and Handover</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final phase involves regulatory verification, migration to sovereign infrastructure, and transferring ownership to government stakeholders.</w:t>
      </w:r>
    </w:p>
    <w:p w:rsidR="00000000" w:rsidDel="00000000" w:rsidP="00000000" w:rsidRDefault="00000000" w:rsidRPr="00000000" w14:paraId="0000008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Compliance Audits:</w:t>
      </w:r>
      <w:r w:rsidDel="00000000" w:rsidR="00000000" w:rsidRPr="00000000">
        <w:rPr>
          <w:rtl w:val="0"/>
        </w:rPr>
        <w:t xml:space="preserve"> Engage a CERT-In empanelled auditor to conduct a Web Application Security Assessment (WASA), remediate all vulnerabilities, and acquire the mandatory "Safe-To-Host" certificate. Subsequently, submit the portal to an STQC testing lab to achieve the Certified Quality Website (CQW) certification.</w:t>
      </w:r>
    </w:p>
    <w:p w:rsidR="00000000" w:rsidDel="00000000" w:rsidP="00000000" w:rsidRDefault="00000000" w:rsidRPr="00000000" w14:paraId="0000008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MeghRaj Cloud Migration:</w:t>
      </w:r>
      <w:r w:rsidDel="00000000" w:rsidR="00000000" w:rsidRPr="00000000">
        <w:rPr>
          <w:rtl w:val="0"/>
        </w:rPr>
        <w:t xml:space="preserve"> Containerize the microservices and deploy them onto the MeghRaj National Government Cloud using Kubernetes. Establish an Active-Active High Availability architecture across distinct NIC data centers to ensure disaster recovery readiness.</w:t>
      </w:r>
    </w:p>
    <w:p w:rsidR="00000000" w:rsidDel="00000000" w:rsidP="00000000" w:rsidRDefault="00000000" w:rsidRPr="00000000" w14:paraId="0000008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Technical Handover:</w:t>
      </w:r>
      <w:r w:rsidDel="00000000" w:rsidR="00000000" w:rsidRPr="00000000">
        <w:rPr>
          <w:rtl w:val="0"/>
        </w:rPr>
        <w:t xml:space="preserve"> Hand over Infrastructure as Code (IaC) provisioning scripts (Terraform/Ansible) and automated CI/CD pipelines. Commit the complete application source code to OpenForge to satisfy the MeitY Open Source Policy, ensuring zero proprietary lock-in.</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55" w:lineRule="auto"/>
        <w:rPr/>
      </w:pPr>
      <w:r w:rsidDel="00000000" w:rsidR="00000000" w:rsidRPr="00000000">
        <w:rPr>
          <w:rtl w:val="0"/>
        </w:rPr>
        <w:t xml:space="preserve">Through this meticulously structured blueprint, the resulting hospital portal will stand as a highly secure, universally accessible, and resilient digital health node, actively advancing the broader vision of a digitally empowered India.</w:t>
      </w:r>
    </w:p>
    <w:p w:rsidR="00000000" w:rsidDel="00000000" w:rsidP="00000000" w:rsidRDefault="00000000" w:rsidRPr="00000000" w14:paraId="00000089">
      <w:pPr>
        <w:pStyle w:val="Heading4"/>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Works cited</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 GIGW 3.0 Government Website Accessibility in India, https://www.skynettechnologies.com/blog/gigw-3-0-government-website-accessibility-in-india 2. New features of GIGW 3.0, https://guidelines.india.gov.in/new-features-of-gigw-3-0/ 3. Policy on Adoption of Open Source Software for Government of India, https://sflc.in/policies-and-cases/policy-on-adoption-of-open-source-software-for-government-of-india/ 4. Policies to promote Open Source Software | Vikaspedia, https://egovernance.vikaspedia.in/viewcontent/e-governance/national-e-governance-plan/policies-to-promote-open-source-software?lgn=en 5. FHIR profile validations for HealthLake - AWS Documentation, https://docs.aws.amazon.com/healthlake/latest/devguide/reference-fhir-profile-validations.html 6. ABDM Milestones M1, M2, M3 and M4 Explained (2026 Guide), https://nirmitee.io/blog/abdm-integration-milestones-m1-m2-m3-m4-multi-software-guide/ 7. Safe To Host Certificate for Web Application Explained - Peneto Labs, https://penetolabs.com/safe-to-host-certificate-for-web-application-explained/ 8. A comprehensive guide to India's CERT-In 6-hour cyber incident, https://sirilawllp.com/a-comprehensive-guide-to-indias-cert-in-6-hour-cyber-incident-reporting-mandate/ 9. e-Pramaan, https://epramaan.gov.in/ 10. Meri Pehchaan NSSO Guide | National Single Sign-On for India, https://startupflora.com/post/meri-pehchaan-nsso-2025 11. Nirmitee-tech/abdm-fhir-bundle-examples - GitHub, https://github.com/Nirmitee-tech/abdm-fhir-bundle-examples 12. e-RaktKosh:Centralized Blood Bank Management System, https://eraktkosh.mohfw.gov.in/BLDAHIMS/bloodbank/transactions/bbpublicindex.html 13. CPGRAMS Portal: Your Platform for Grievance Redressal - Corpbiz, https://corpbiz.io/learning/cpgrams-portal-for-grievance-redressal/ 14. Bhashini.ai — Build products that speak India's languages., https://www.bhashini.ai/ 15. Digital India BHASHINI Division (DIBD) and Punjab National Bank, https://www.pib.gov.in/PressReleasePage.aspx?PRID=2284989&amp;reg=48&amp;lang=1 16. Bhashini : Revolutionizing Language Translation for Indian, https://medium.com/@ankitkumarjha0407/bhashini-revolutionizing-language-translation-for-indian-languages-ef20df171d86 17. Digital India Bhashini Division (DIBD) - GitHub, https://github.com/bhashini-dibd 18. Overall Understanding of the API Calls - Bhashini APIs - GitBook, https://dibd-bhashini.gitbook.io/bhashini-apis 19. Bhashini, https://bhashini.gov.in/ 20. e-Raktkosh Portal — What is a Blood Disorder? - C4S Courses, https://c4scourses.in/national-affairs/e-raktkosh-portal/ 21. Enhancing Emergency Response via IoT-Sensed Real-Time Blood, https://impactfactor.org/PDF/IJDDT/16/IJDDT,Vol16,Issue37s,Article43.pdf 22. IoT Based E Blood Bank System For Real T | PDF | Databases | Web, https://www.scribd.com/document/1032157341/IoT-Based-E-Blood-Bank-System-for-Real-T 23. Blood Donation App: Rajasthan Enhances Donor Tracking - Omnicuris, https://www.omnicuris.com/medshots/daily_updates/rajasthan-blood-donation-app-eraktkosh-integration 24. ABDM Compliance Guide for Indian Hospitals | Sanvya Health, https://www.sanvyahealth.com/blog/abdm-compliance-guide 25. ABDM Integration Checklist: M1, M2, M3 Steps for 2026 - VCDoctor, https://www.vcdoctor.com/blog/abdm-integration-checklist 26. WASA Audit India | ABDM M1 Safe-to-Host - Macksofy Technologies, https://www.macksofy.com/audit/wasa-audit 27. Zimbra Multi-Factor Authentication: Why Password-Only Email Is No, https://innefu.com/new-age-authentication-for-open-source-e-mail-solution-zimbra/ 28. WCAG 2.2 Checklist for Indian Compliance Audits - AccessSure, https://accesssure.in/learn/wcag-22-checklist/ 29. CPGRAMS-Home, https://pgportal.gov.in/ 30. cpgrams portal - Press Release: Press Information Bureau, https://www.pib.gov.in/PressReleaseDetail.aspx?PRID=2223804&amp;reg=6&amp;lang=1 31. Building HIP System _ API Flow_M2 - your Strapi app, https://sandboxcms.abdm.gov.in/uploads/Building_HIP_System_API_Flow_M2_Documentation_d3949bd2_92987fa330.pdf 32. ABDM / Health Data Security Audit - CyberSigma, https://cybersigmacs.com/knowledge-center/abdm-health-data/ 33. ABDM Certification Process: Sandbox Exit to Go-Live (2026), https://nirmitee.io/blog/abdm-certification-process-sandbox-to-production-guide/ 34. Complete GIGW 3.0 Compliance &amp; STQC Website Quality, https://webotg.com/gigw3-guide 35. Tools and Resources - Guidelines for Indian Government Websites, https://guidelines.india.gov.in/tools-and-resources/ 36. Website Quality Certification | STQC | Standardisation Testing and, https://www.stqc.gov.in/en/website-quality-certification-0 37. Guidelines for Indian Govt Websites (GIGW ) 3.0 - DBIM ToolKit, https://dbimtoolkit.digifootprint.gov.in/static/uploads/2025/02/c35ec5a5b570663b2a0d514f4f2ff013.pdf 38. GUIDELINES FOR INDIAN GOVERNMENT WEBSITES AND APPS, https://cdnbbsr.s3waas.gov.in/s3c92a10324374fac681719d63979d00fe/uploads/2025/02/2025021775.pdf 39. When You Need a CERT-In Empanelled Security Audit - Affix Center, https://affixcenter.com/blog/cert-in-empanelled-security-audit 40. CERT-In Certification: Requirements, Process, and Audit Checklist, https://blog.securelayer7.net/cert-in-certification/ 41. CERT-In directions 2022: 6-hour incident reporting and 180-day log, https://www.ahuva.in/resources/cert-in-directions-2022-incident-reporting-log-retention/ 42. CERT-In Directions 2022: 6-Hour Incident Reporting | Beacon Filing, https://beaconfiling.com/glossary/cert-in-cybersecurity 43. 2022 CERT-In Directions on Reporting Cyber Incidents | Trilegal, https://trilegal.com/wp-content/uploads/2022/05/2022-CERT-In-Directions-on-Reporting-Cyber-Incidents.pdf 44. CERT-In Log Retention: India's 6-Hour Rule and 180 Days - Stribog, https://stribog.com/blog/cert-in-directions-6-hour-incident-reporting-180-day-log-retention 45. CERT-In Incident Reporting: 6-Hour Rule and Log Retention, https://www.atrity.com/cert-in-incident-reporting-6-hour-rule-and-log-retention-best-practices/ 46. NICSI Cloud Services Delivery - MeghRaj and CSP/MSP, https://nicsi.nic.in/nicsi/nicsi-cloud/ 47. MeghRaj: NIC Cloud Services Overview | PDF - Scribd, https://www.scribd.com/document/915303784/Brochure 48. National Cloud | National Informatics Centre | India, https://www.nic.gov.in/service/national-cloud/ 49. High Availability Architecture: Requirements &amp; Best Practices, https://www.couchbase.com/blog/high-availability-architecture/ 50. Architecture patterns for Active-Passive and Active-Active HA/DR, https://docs.temporal.io/cloud/high-availability/architecture-patterns 51. Privacy Policy - OpenForge, https://openforge.gov.in/openforge/opengovernance.php</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