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qqit7ykafcjl" w:id="0"/>
      <w:bookmarkEnd w:id="0"/>
      <w:r w:rsidDel="00000000" w:rsidR="00000000" w:rsidRPr="00000000">
        <w:rPr>
          <w:b w:val="1"/>
          <w:bCs w:val="1"/>
          <w:color w:val="1f1f1f"/>
          <w:sz w:val="46"/>
          <w:szCs w:val="46"/>
          <w:rtl w:val="0"/>
        </w:rPr>
        <w:t xml:space="preserve">Enterprise Architecture &amp; Product Vision Document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Document ID:</w:t>
      </w:r>
      <w:r w:rsidDel="00000000" w:rsidR="00000000" w:rsidRPr="00000000">
        <w:rPr>
          <w:color w:val="1f1f1f"/>
          <w:rtl w:val="0"/>
        </w:rPr>
        <w:t xml:space="preserve"> 001-CSO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Title:</w:t>
      </w:r>
      <w:r w:rsidDel="00000000" w:rsidR="00000000" w:rsidRPr="00000000">
        <w:rPr>
          <w:color w:val="1f1f1f"/>
          <w:rtl w:val="0"/>
        </w:rPr>
        <w:t xml:space="preserve"> Complete System Overview: The Autonomous Expert Proxy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Phase:</w:t>
      </w:r>
      <w:r w:rsidDel="00000000" w:rsidR="00000000" w:rsidRPr="00000000">
        <w:rPr>
          <w:color w:val="1f1f1f"/>
          <w:rtl w:val="0"/>
        </w:rPr>
        <w:t xml:space="preserve"> 1 of 4</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Target System:</w:t>
      </w:r>
      <w:r w:rsidDel="00000000" w:rsidR="00000000" w:rsidRPr="00000000">
        <w:rPr>
          <w:color w:val="1f1f1f"/>
          <w:rtl w:val="0"/>
        </w:rPr>
        <w:t xml:space="preserve"> Digital Twin Framework (Healthcare &amp; Education Domains)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kydlnifrdhq1" w:id="1"/>
      <w:bookmarkEnd w:id="1"/>
      <w:r w:rsidDel="00000000" w:rsidR="00000000" w:rsidRPr="00000000">
        <w:rPr>
          <w:b w:val="1"/>
          <w:bCs w:val="1"/>
          <w:color w:val="1f1f1f"/>
          <w:sz w:val="34"/>
          <w:szCs w:val="34"/>
          <w:rtl w:val="0"/>
        </w:rPr>
        <w:t xml:space="preserve">1. Executive Summary &amp; Core Philosophy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Autonomous Expert Proxy framework is designed to move beyond traditional conversational AI, Retrieval-Augmented Generation (RAG) applications, and standard chatbot architectures. The objective is to build an enterprise-grade cognitive replica—a </w:t>
      </w:r>
      <w:r w:rsidDel="00000000" w:rsidR="00000000" w:rsidRPr="00000000">
        <w:rPr>
          <w:b w:val="1"/>
          <w:bCs w:val="1"/>
          <w:color w:val="1f1f1f"/>
          <w:rtl w:val="0"/>
        </w:rPr>
        <w:t xml:space="preserve">Digital Twin</w:t>
      </w:r>
      <w:r w:rsidDel="00000000" w:rsidR="00000000" w:rsidRPr="00000000">
        <w:rPr>
          <w:color w:val="1f1f1f"/>
          <w:rtl w:val="0"/>
        </w:rPr>
        <w:t xml:space="preserve">—that operationalizes the specific, tacit knowledge and execution capabilities of a highly specialized professional.</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Rather than functioning as a passive knowledge retrieval system, the twin operates as an active, autonomous workforce entity. It is a strictly bounded, Python-backed state machine that emulates not only </w:t>
      </w:r>
      <w:r w:rsidDel="00000000" w:rsidR="00000000" w:rsidRPr="00000000">
        <w:rPr>
          <w:i w:val="1"/>
          <w:iCs w:val="1"/>
          <w:color w:val="1f1f1f"/>
          <w:rtl w:val="0"/>
        </w:rPr>
        <w:t xml:space="preserve">what</w:t>
      </w:r>
      <w:r w:rsidDel="00000000" w:rsidR="00000000" w:rsidRPr="00000000">
        <w:rPr>
          <w:color w:val="1f1f1f"/>
          <w:rtl w:val="0"/>
        </w:rPr>
        <w:t xml:space="preserve"> the expert knows, but </w:t>
      </w:r>
      <w:r w:rsidDel="00000000" w:rsidR="00000000" w:rsidRPr="00000000">
        <w:rPr>
          <w:i w:val="1"/>
          <w:iCs w:val="1"/>
          <w:color w:val="1f1f1f"/>
          <w:rtl w:val="0"/>
        </w:rPr>
        <w:t xml:space="preserve">how</w:t>
      </w:r>
      <w:r w:rsidDel="00000000" w:rsidR="00000000" w:rsidRPr="00000000">
        <w:rPr>
          <w:color w:val="1f1f1f"/>
          <w:rtl w:val="0"/>
        </w:rPr>
        <w:t xml:space="preserve"> they think, </w:t>
      </w:r>
      <w:r w:rsidDel="00000000" w:rsidR="00000000" w:rsidRPr="00000000">
        <w:rPr>
          <w:i w:val="1"/>
          <w:iCs w:val="1"/>
          <w:color w:val="1f1f1f"/>
          <w:rtl w:val="0"/>
        </w:rPr>
        <w:t xml:space="preserve">how</w:t>
      </w:r>
      <w:r w:rsidDel="00000000" w:rsidR="00000000" w:rsidRPr="00000000">
        <w:rPr>
          <w:color w:val="1f1f1f"/>
          <w:rtl w:val="0"/>
        </w:rPr>
        <w:t xml:space="preserve"> they speak, and </w:t>
      </w:r>
      <w:r w:rsidDel="00000000" w:rsidR="00000000" w:rsidRPr="00000000">
        <w:rPr>
          <w:i w:val="1"/>
          <w:iCs w:val="1"/>
          <w:color w:val="1f1f1f"/>
          <w:rtl w:val="0"/>
        </w:rPr>
        <w:t xml:space="preserve">what</w:t>
      </w:r>
      <w:r w:rsidDel="00000000" w:rsidR="00000000" w:rsidRPr="00000000">
        <w:rPr>
          <w:color w:val="1f1f1f"/>
          <w:rtl w:val="0"/>
        </w:rPr>
        <w:t xml:space="preserve"> tasks they physically execute on a daily basis.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j81e4aqd6ke" w:id="2"/>
      <w:bookmarkEnd w:id="2"/>
      <w:r w:rsidDel="00000000" w:rsidR="00000000" w:rsidRPr="00000000">
        <w:rPr>
          <w:b w:val="1"/>
          <w:bCs w:val="1"/>
          <w:color w:val="1f1f1f"/>
          <w:sz w:val="26"/>
          <w:szCs w:val="26"/>
          <w:rtl w:val="0"/>
        </w:rPr>
        <w:t xml:space="preserve">1.1 The "Jarvis" Paradigm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core philosophy treats the twin as an infinite-scale "Jarvis" for the expert. It serves as an omnipresent frontline proxy that:</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Handles 100% of routine interactions, inquiries, and repetitive workflow assignments.</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Operates completely transparently, logging every action in an immutable ledger.</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Immediately suspends its own operation and steps aside the moment it detects a scenario requiring human nuance, escalation, or explicit expert intervention.</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nhefcrzcgw7o" w:id="3"/>
      <w:bookmarkEnd w:id="3"/>
      <w:r w:rsidDel="00000000" w:rsidR="00000000" w:rsidRPr="00000000">
        <w:rPr>
          <w:b w:val="1"/>
          <w:bCs w:val="1"/>
          <w:color w:val="1f1f1f"/>
          <w:sz w:val="34"/>
          <w:szCs w:val="34"/>
          <w:rtl w:val="0"/>
        </w:rPr>
        <w:t xml:space="preserve">2. Core System Capabilities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h3t1ngp1ptb" w:id="4"/>
      <w:bookmarkEnd w:id="4"/>
      <w:r w:rsidDel="00000000" w:rsidR="00000000" w:rsidRPr="00000000">
        <w:rPr>
          <w:b w:val="1"/>
          <w:bCs w:val="1"/>
          <w:color w:val="1f1f1f"/>
          <w:sz w:val="26"/>
          <w:szCs w:val="26"/>
          <w:rtl w:val="0"/>
        </w:rPr>
        <w:t xml:space="preserve">2.1 Behavioral and Tone Cloning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ensure end-users feel they are interacting with the authentic expert, the system employs advanced stylistic mirroring. During the ingestion and configuration phase, the AI Journalist agent interrogates the human expert to extract their specific cadence, vocabulary, bedside manner (in healthcare), or instructional tone (in education).</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Stylistic Persistence:</w:t>
      </w:r>
      <w:r w:rsidDel="00000000" w:rsidR="00000000" w:rsidRPr="00000000">
        <w:rPr>
          <w:color w:val="1f1f1f"/>
          <w:rtl w:val="0"/>
        </w:rPr>
        <w:t xml:space="preserve"> The twin's output generator bypasses generic LLM phrasing, mapping its responses directly to the expert's recorded communication matrix.</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Contextual Adaptation:</w:t>
      </w:r>
      <w:r w:rsidDel="00000000" w:rsidR="00000000" w:rsidRPr="00000000">
        <w:rPr>
          <w:color w:val="1f1f1f"/>
          <w:rtl w:val="0"/>
        </w:rPr>
        <w:t xml:space="preserve"> The tone dynamically shifts based on the workflow state. A twin will use an encouraging, explanatory tone when guiding a student through a concept, but switch to a direct, clinical precision when summarizing OCR lab results for a medical file.</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wpi63o6vntp" w:id="5"/>
      <w:bookmarkEnd w:id="5"/>
      <w:r w:rsidDel="00000000" w:rsidR="00000000" w:rsidRPr="00000000">
        <w:rPr>
          <w:b w:val="1"/>
          <w:bCs w:val="1"/>
          <w:color w:val="1f1f1f"/>
          <w:sz w:val="26"/>
          <w:szCs w:val="26"/>
          <w:rtl w:val="0"/>
        </w:rPr>
        <w:t xml:space="preserve">2.2 Active Workflow Execution (The "Doing" Layer)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twin is equipped with agency. It transitions from a "reading" state to a "doing" state via the orchestration of LangGraph Action and Skill nodes, allowing it to manipulate its environment using external integrations.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Deterministic Tool Calling:</w:t>
      </w:r>
      <w:r w:rsidDel="00000000" w:rsidR="00000000" w:rsidRPr="00000000">
        <w:rPr>
          <w:color w:val="1f1f1f"/>
          <w:rtl w:val="0"/>
        </w:rPr>
        <w:t xml:space="preserve"> The twin executes Python-driven logic to perform tasks traditionally reserved for human operators.</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Automated Webhooks:</w:t>
      </w:r>
      <w:r w:rsidDel="00000000" w:rsidR="00000000" w:rsidRPr="00000000">
        <w:rPr>
          <w:color w:val="1f1f1f"/>
          <w:rtl w:val="0"/>
        </w:rPr>
        <w:t xml:space="preserve"> Utilizing n8n orchestration, the system can fire off emails, update Jira tickets, or alter calendar schedules autonomously.</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Document Processing:</w:t>
      </w:r>
      <w:r w:rsidDel="00000000" w:rsidR="00000000" w:rsidRPr="00000000">
        <w:rPr>
          <w:color w:val="1f1f1f"/>
          <w:rtl w:val="0"/>
        </w:rPr>
        <w:t xml:space="preserve"> The twin actively ingests external files, utilizing OCR and data extraction tools to "read" user-submitted content (e.g., student homework or patient blood panels) and process them against the expert's validated baseline.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099brcxz2sp" w:id="6"/>
      <w:bookmarkEnd w:id="6"/>
      <w:r w:rsidDel="00000000" w:rsidR="00000000" w:rsidRPr="00000000">
        <w:rPr>
          <w:b w:val="1"/>
          <w:bCs w:val="1"/>
          <w:color w:val="1f1f1f"/>
          <w:sz w:val="26"/>
          <w:szCs w:val="26"/>
          <w:rtl w:val="0"/>
        </w:rPr>
        <w:t xml:space="preserve">2.3 Strict Epistemic Fencing (Zero-Hallucination Boundary)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high-stakes enterprise environments, hallucination is a critical liability. The digital twin operates within an absolute epistemic fence. Its knowledge is aggressively bounded by the expert's explicit Chain of Thought (CoT) stored within the Supabase Single Source of Truth (SSOT).</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Rejection Protocol:</w:t>
      </w:r>
      <w:r w:rsidDel="00000000" w:rsidR="00000000" w:rsidRPr="00000000">
        <w:rPr>
          <w:color w:val="1f1f1f"/>
          <w:rtl w:val="0"/>
        </w:rPr>
        <w:t xml:space="preserve"> If a user submits a query that falls outside the specific domain of the twin (e.g., asking a cardiology twin about mechanical engineering, or a math tutor twin about legal advice), the bimodal routing engine instantly intercepts the payload.</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 Speculation:</w:t>
      </w:r>
      <w:r w:rsidDel="00000000" w:rsidR="00000000" w:rsidRPr="00000000">
        <w:rPr>
          <w:color w:val="1f1f1f"/>
          <w:rtl w:val="0"/>
        </w:rPr>
        <w:t xml:space="preserve"> The twin is mathematically prevented from guessing. It will gracefully deflect the inquiry, explicitly stating the boundaries of its expertise, and offer to escalate to the human if the context is borderline.</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cx1adw8v0p4" w:id="7"/>
      <w:bookmarkEnd w:id="7"/>
      <w:r w:rsidDel="00000000" w:rsidR="00000000" w:rsidRPr="00000000">
        <w:rPr>
          <w:b w:val="1"/>
          <w:bCs w:val="1"/>
          <w:color w:val="1f1f1f"/>
          <w:sz w:val="26"/>
          <w:szCs w:val="26"/>
          <w:rtl w:val="0"/>
        </w:rPr>
        <w:t xml:space="preserve">2.4 Seamless Escalation Protocol (Human Intercept)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architecture acknowledges that the twin is a proxy, not a replacement. The Human-in-the-Loop (HITL) protocol is a first-class feature built directly into the state machine.</w:t>
      </w:r>
    </w:p>
    <w:p w:rsidR="00000000" w:rsidDel="00000000" w:rsidP="00000000" w:rsidRDefault="00000000" w:rsidRPr="00000000" w14:paraId="0000001E">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Thread Freezing:</w:t>
      </w:r>
      <w:r w:rsidDel="00000000" w:rsidR="00000000" w:rsidRPr="00000000">
        <w:rPr>
          <w:color w:val="1f1f1f"/>
          <w:rtl w:val="0"/>
        </w:rPr>
        <w:t xml:space="preserve"> If the LangGraph execution engine encounters an edge-case anomaly, an unmapped workflow, or a direct user request for the human, it triggers the Human Intercept state. The active thread is instantly frozen using a checkpointer.</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Silent Handoff:</w:t>
      </w:r>
      <w:r w:rsidDel="00000000" w:rsidR="00000000" w:rsidRPr="00000000">
        <w:rPr>
          <w:color w:val="1f1f1f"/>
          <w:rtl w:val="0"/>
        </w:rPr>
        <w:t xml:space="preserve"> The expert is alerted via their control dashboard (designed with a distraction-free, minimalist glassmorphism interface). The expert drops directly into the live chat thread, taking manual control.</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Continuous Learning:</w:t>
      </w:r>
      <w:r w:rsidDel="00000000" w:rsidR="00000000" w:rsidRPr="00000000">
        <w:rPr>
          <w:color w:val="1f1f1f"/>
          <w:rtl w:val="0"/>
        </w:rPr>
        <w:t xml:space="preserve"> Once the human resolves the interaction, the transaction is logged. The twin analyzes the human's exact resolution path to propose new topological connections in the underlying Obsidian/Supabase knowledge graph, turning an exception into a future automated workflow.</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sa1zns0zc4o" w:id="8"/>
      <w:bookmarkEnd w:id="8"/>
      <w:r w:rsidDel="00000000" w:rsidR="00000000" w:rsidRPr="00000000">
        <w:rPr>
          <w:b w:val="1"/>
          <w:bCs w:val="1"/>
          <w:color w:val="1f1f1f"/>
          <w:sz w:val="34"/>
          <w:szCs w:val="34"/>
          <w:rtl w:val="0"/>
        </w:rPr>
        <w:t xml:space="preserve">3. Vertical-Specific Deployment Blueprints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core engine remains static, but the runtime execution adapts heavily based on the instantiated domain. Below are the operational blueprints for the two primary target verticals.</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jyryivfwjre" w:id="9"/>
      <w:bookmarkEnd w:id="9"/>
      <w:r w:rsidDel="00000000" w:rsidR="00000000" w:rsidRPr="00000000">
        <w:rPr>
          <w:b w:val="1"/>
          <w:bCs w:val="1"/>
          <w:color w:val="1f1f1f"/>
          <w:sz w:val="26"/>
          <w:szCs w:val="26"/>
          <w:rtl w:val="0"/>
        </w:rPr>
        <w:t xml:space="preserve">3.1 The Clinical Engine (Healthcare Blueprint)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the expert is a medical professional (e.g., a specialist doctor), the twin acts as an advanced clinical triage and patient management proxy.</w:t>
      </w:r>
    </w:p>
    <w:tbl>
      <w:tblPr>
        <w:tblStyle w:val="Table1"/>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010"/>
        <w:tblGridChange w:id="0">
          <w:tblGrid>
            <w:gridCol w:w="2205"/>
            <w:gridCol w:w="20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Functionality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Digital Twin Execution</w:t>
            </w:r>
            <w:r w:rsidDel="00000000" w:rsidR="00000000" w:rsidRPr="00000000">
              <w:rPr>
                <w:rtl w:val="0"/>
              </w:rPr>
            </w:r>
          </w:p>
        </w:tc>
      </w:tr>
      <w:tr>
        <w:trPr>
          <w:cantSplit w:val="0"/>
          <w:trHeight w:val="34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Communication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Responds with clinical empathy, mirroring the doctor's exact bedside manner and communication protocols.</w:t>
            </w:r>
          </w:p>
        </w:tc>
      </w:tr>
      <w:tr>
        <w:trPr>
          <w:cantSplit w:val="0"/>
          <w:trHeight w:val="37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Data Ingestion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Actively scans and processes patient-uploaded documents (e.g., OCR on lab reports, intake forms, discharge summaries).</w:t>
            </w:r>
          </w:p>
        </w:tc>
      </w:tr>
      <w:tr>
        <w:trPr>
          <w:cantSplit w:val="0"/>
          <w:trHeight w:val="48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Clinical Assessment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Cross-references extracted patient data against the doctor's specific diagnostic baseline and protocols stored in the knowledge graph.</w:t>
            </w:r>
          </w:p>
        </w:tc>
      </w:tr>
      <w:tr>
        <w:trPr>
          <w:cantSplit w:val="0"/>
          <w:trHeight w:val="48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Task Assignment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Automatically dispatches pre-care instructions, schedules follow-ups, and triggers pharmacy notification webhooks based on deterministic clinical rules.</w:t>
            </w:r>
          </w:p>
        </w:tc>
      </w:tr>
      <w:tr>
        <w:trPr>
          <w:cantSplit w:val="0"/>
          <w:trHeight w:val="48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Escalation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Flags any metric anomaly (e.g., out-of-bounds blood pressure readings) and instantly routes the session to the human doctor's immediate attention queue.</w:t>
            </w:r>
          </w:p>
        </w:tc>
      </w:tr>
    </w:tbl>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oa06nyvf6p7" w:id="10"/>
      <w:bookmarkEnd w:id="10"/>
      <w:r w:rsidDel="00000000" w:rsidR="00000000" w:rsidRPr="00000000">
        <w:rPr>
          <w:b w:val="1"/>
          <w:bCs w:val="1"/>
          <w:color w:val="1f1f1f"/>
          <w:sz w:val="26"/>
          <w:szCs w:val="26"/>
          <w:rtl w:val="0"/>
        </w:rPr>
        <w:t xml:space="preserve">3.2 The Academic Engine (Education Blueprint)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the expert is an educator or tutor, the twin functions as an omnipresent teaching assistant and academic auditor.</w:t>
      </w:r>
    </w:p>
    <w:tbl>
      <w:tblPr>
        <w:tblStyle w:val="Table2"/>
        <w:tblW w:w="3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785"/>
        <w:tblGridChange w:id="0">
          <w:tblGrid>
            <w:gridCol w:w="2205"/>
            <w:gridCol w:w="17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Functionality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Digital Twin Execution</w:t>
            </w:r>
            <w:r w:rsidDel="00000000" w:rsidR="00000000" w:rsidRPr="00000000">
              <w:rPr>
                <w:rtl w:val="0"/>
              </w:rPr>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Communication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Utilizes the Socratic method, guiding students toward the answer rather than simply providing it, mirroring the tutor's pedagogical style.</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Workflow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Assigns classwork, dynamically generates homework based on the student's current progression level, and manages submission deadlines.</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Validation &amp; Grading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Validates student submissions (e.g., code compilation checks, essay structure analysis) against the tutor's exact grading rubrics.</w:t>
            </w:r>
          </w:p>
        </w:tc>
      </w:tr>
      <w:tr>
        <w:trPr>
          <w:cantSplit w:val="0"/>
          <w:trHeight w:val="4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Proactive Outreach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Monitors student progression states. If a student falls behind the cohort baseline, the twin automatically composes and sends a customized intervention email via n8n integrations.</w:t>
            </w:r>
          </w:p>
        </w:tc>
      </w:tr>
      <w:tr>
        <w:trPr>
          <w:cantSplit w:val="0"/>
          <w:trHeight w:val="4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Escalation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If a student repeatedly fails a validation check despite hints, the twin pauses the assessment and escalates the specific conceptual blocker to the human tutor.</w:t>
            </w:r>
          </w:p>
        </w:tc>
      </w:tr>
    </w:tbl>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287ew8cd3o9" w:id="11"/>
      <w:bookmarkEnd w:id="11"/>
      <w:r w:rsidDel="00000000" w:rsidR="00000000" w:rsidRPr="00000000">
        <w:rPr>
          <w:b w:val="1"/>
          <w:bCs w:val="1"/>
          <w:color w:val="1f1f1f"/>
          <w:sz w:val="34"/>
          <w:szCs w:val="34"/>
          <w:rtl w:val="0"/>
        </w:rPr>
        <w:t xml:space="preserve">4. The Four Pillars of the Underlying Architecture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achieve the operational capabilities outlined above, the system relies on four foundational, synchronized architectural pillars (which will be detailed extensively in subsequent low-level documentation).</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Synchronized Brain (Knowledge Graph Command Center):</w:t>
      </w:r>
      <w:r w:rsidDel="00000000" w:rsidR="00000000" w:rsidRPr="00000000">
        <w:rPr>
          <w:color w:val="1f1f1f"/>
          <w:rtl w:val="0"/>
        </w:rPr>
        <w:t xml:space="preserve"> Utilizing Supabase as the SSOT and Obsidian markdown for visual projection, the system maps tacit knowledge as an interconnected network ecosystem rather than isolated text.</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Nervous System (Agentic Routing):</w:t>
      </w:r>
      <w:r w:rsidDel="00000000" w:rsidR="00000000" w:rsidRPr="00000000">
        <w:rPr>
          <w:color w:val="1f1f1f"/>
          <w:rtl w:val="0"/>
        </w:rPr>
        <w:t xml:space="preserve"> A high-performance Python backend that executes bimodal routing, splitting traffic between smooth informational retrieval and active, state-based workflow execution.</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Control Plane:</w:t>
      </w:r>
      <w:r w:rsidDel="00000000" w:rsidR="00000000" w:rsidRPr="00000000">
        <w:rPr>
          <w:color w:val="1f1f1f"/>
          <w:rtl w:val="0"/>
        </w:rPr>
        <w:t xml:space="preserve"> A React Flow-driven workspace allowing the human expert to drag, drop, and configure their digital twin's logic in real-time, feeding directly into the database.</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Enterprise Guardrails (The Unlearning State Machine):</w:t>
      </w:r>
      <w:r w:rsidDel="00000000" w:rsidR="00000000" w:rsidRPr="00000000">
        <w:rPr>
          <w:color w:val="1f1f1f"/>
          <w:rtl w:val="0"/>
        </w:rPr>
        <w:t xml:space="preserve"> A strict deprecation and vector tombstoning system that ensures outdated or incorrect logic is safely quarantined with its unlearning rationale permanently logged for compliance and liability auditing.</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End of Document 001-CSO.</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