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cm442488wef" w:id="0"/>
      <w:bookmarkEnd w:id="0"/>
      <w:r w:rsidDel="00000000" w:rsidR="00000000" w:rsidRPr="00000000">
        <w:rPr>
          <w:b w:val="1"/>
          <w:bCs w:val="1"/>
          <w:color w:val="1f1f1f"/>
          <w:sz w:val="46"/>
          <w:szCs w:val="46"/>
          <w:rtl w:val="0"/>
        </w:rPr>
        <w:t xml:space="preserve">Enterprise Architecture &amp; Product Vision Document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Document ID: 002-HLA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Title: High-Level Architecture (HLA) Document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Phase: 2 of 4</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Target System: Digital Twin Framework (Autonomous Expert Proxy)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dve7i6dfwod" w:id="1"/>
      <w:bookmarkEnd w:id="1"/>
      <w:r w:rsidDel="00000000" w:rsidR="00000000" w:rsidRPr="00000000">
        <w:rPr>
          <w:b w:val="1"/>
          <w:bCs w:val="1"/>
          <w:color w:val="1f1f1f"/>
          <w:sz w:val="34"/>
          <w:szCs w:val="34"/>
          <w:rtl w:val="0"/>
        </w:rPr>
        <w:t xml:space="preserve">1. Architectural Topology Overview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Digital Twin framework is built on a distributed, synchronized topology that separates the visual control plane from the execution logic and the underlying knowledge graph. To ensure uncompromised data integrity, Supabase (PostgreSQL) operates as the absolute Single Source of Truth (SSOT).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architecture guarantees that any modification to the expert's logic on the visual canvas instantly propagates down to the database and laterally to the physical markdown files used for auditability.</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bookmarkStart w:colFirst="0" w:colLast="0" w:name="_dolo9an3t3pw" w:id="2"/>
      <w:bookmarkEnd w:id="2"/>
      <w:r w:rsidDel="00000000" w:rsidR="00000000" w:rsidRPr="00000000">
        <w:rPr>
          <w:b w:val="1"/>
          <w:bCs w:val="1"/>
          <w:color w:val="1f1f1f"/>
          <w:sz w:val="26"/>
          <w:szCs w:val="26"/>
          <w:rtl w:val="0"/>
        </w:rPr>
        <w:t xml:space="preserve">1.1 Core System Diagram</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User / Patient Interface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(Web / Chat / Voice / Document Upload via OCR)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(Sanitized Payload)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Intent Routing Engine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(Bimodal Router: Smooth Read Path vs. Active Action Path)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(Informational)                                    │ (Actionable)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Knowledge Retrieval    │                 │ LangGraph Execution Core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(Semantic Search)      │                 │ (Python State Machine)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 Human Intercept Layer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 (Thread Freezing)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Unified Knowledge Graph (SSOT)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Supabase PostgreSQL Master ]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(knowledge_nodes, knowledge_edges, pgvector, ltree)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(Row Webhooks)                                     │ (On-Demand Hydration)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File Projection Plane   │                 │ Expert Control Plane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 Obsidian Vault ]      │                 │ [ React Flow Canvas ]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 (Physical .md tracking) │                 │ (Glassmorphism Dashboard)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vltox239vn0" w:id="3"/>
      <w:bookmarkEnd w:id="3"/>
      <w:r w:rsidDel="00000000" w:rsidR="00000000" w:rsidRPr="00000000">
        <w:rPr>
          <w:b w:val="1"/>
          <w:bCs w:val="1"/>
          <w:color w:val="1f1f1f"/>
          <w:sz w:val="34"/>
          <w:szCs w:val="34"/>
          <w:rtl w:val="0"/>
        </w:rPr>
        <w:t xml:space="preserve">2. Component Layer Specifications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i270mwjen28" w:id="4"/>
      <w:bookmarkEnd w:id="4"/>
      <w:r w:rsidDel="00000000" w:rsidR="00000000" w:rsidRPr="00000000">
        <w:rPr>
          <w:b w:val="1"/>
          <w:bCs w:val="1"/>
          <w:color w:val="1f1f1f"/>
          <w:sz w:val="26"/>
          <w:szCs w:val="26"/>
          <w:rtl w:val="0"/>
        </w:rPr>
        <w:t xml:space="preserve">2.1 The Visual Control Plane (Frontend)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control plane is the primary interface for the human expert to design, validate, and alter the twin's cognitive pathways. To prevent visual fatigue and cognitive overload when managing millions of data points, the UI utilizes a strict minimalist, glassmorphism aesthetic.</w:t>
      </w:r>
    </w:p>
    <w:p w:rsidR="00000000" w:rsidDel="00000000" w:rsidP="00000000" w:rsidRDefault="00000000" w:rsidRPr="00000000" w14:paraId="00000031">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Rendering Engine: React Flow drives node-edge rendering, canvas interactions, and drag-and-drop mechanics.</w:t>
      </w:r>
    </w:p>
    <w:p w:rsidR="00000000" w:rsidDel="00000000" w:rsidP="00000000" w:rsidRDefault="00000000" w:rsidRPr="00000000" w14:paraId="00000032">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State Management: Zustand manages local, near-instantaneous graph states to deliver sub-100ms UI feedback loop rendering. This optimistic UI ensures smooth performance before database commits.</w:t>
      </w:r>
    </w:p>
    <w:p w:rsidR="00000000" w:rsidDel="00000000" w:rsidP="00000000" w:rsidRDefault="00000000" w:rsidRPr="00000000" w14:paraId="00000033">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Data Fetching: The system utilizes an On-Demand Hydration Strategy. Instead of loading the entire graph, it fetches root structures and immediate descendants up to Depth +2 using Recursive Common Table Expressions (CTEs).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hjdc8ch0key" w:id="5"/>
      <w:bookmarkEnd w:id="5"/>
      <w:r w:rsidDel="00000000" w:rsidR="00000000" w:rsidRPr="00000000">
        <w:rPr>
          <w:b w:val="1"/>
          <w:bCs w:val="1"/>
          <w:color w:val="1f1f1f"/>
          <w:sz w:val="26"/>
          <w:szCs w:val="26"/>
          <w:rtl w:val="0"/>
        </w:rPr>
        <w:t xml:space="preserve">2.2 The Intelligence &amp; Orchestration Layer (Backend)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backend intelligence layer is strictly engineered in Python to leverage advanced AI orchestration frameworks, explicitly avoiding Node.js for these specific cognitive and routing layers to ensure maximum compatibility with semantic processing libraries.</w:t>
      </w:r>
    </w:p>
    <w:p w:rsidR="00000000" w:rsidDel="00000000" w:rsidP="00000000" w:rsidRDefault="00000000" w:rsidRPr="00000000" w14:paraId="00000036">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API Gateway: FastAPI orchestrates recursive graph traversals, triggers automated AI Journalist onboarding, and validates payload modifications.</w:t>
      </w:r>
    </w:p>
    <w:p w:rsidR="00000000" w:rsidDel="00000000" w:rsidP="00000000" w:rsidRDefault="00000000" w:rsidRPr="00000000" w14:paraId="00000037">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Execution State Machine: LangGraph serves as the runtime engine for dynamic tasks. It manages the four core execution nodes (Data Gathering, Processing, Human Intercept, and Action/Skills) and controls thread-locking mechanisms.</w:t>
      </w:r>
    </w:p>
    <w:p w:rsidR="00000000" w:rsidDel="00000000" w:rsidP="00000000" w:rsidRDefault="00000000" w:rsidRPr="00000000" w14:paraId="00000038">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Automation Dispatcher: Deterministic workflows, such as sending emails, updating records, or initiating external OCR tools, are handed off to n8n webhooks.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yu9scqjm9a8" w:id="6"/>
      <w:bookmarkEnd w:id="6"/>
      <w:r w:rsidDel="00000000" w:rsidR="00000000" w:rsidRPr="00000000">
        <w:rPr>
          <w:b w:val="1"/>
          <w:bCs w:val="1"/>
          <w:color w:val="1f1f1f"/>
          <w:sz w:val="26"/>
          <w:szCs w:val="26"/>
          <w:rtl w:val="0"/>
        </w:rPr>
        <w:t xml:space="preserve">2.3 The Knowledge Graph Command Center (Storage Plane)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The storage plane maps clinical and operational protocols as an interconnected network ecosystem.</w:t>
      </w:r>
    </w:p>
    <w:p w:rsidR="00000000" w:rsidDel="00000000" w:rsidP="00000000" w:rsidRDefault="00000000" w:rsidRPr="00000000" w14:paraId="0000003B">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Master Database: Supabase (Postgres) persists core records.</w:t>
      </w:r>
    </w:p>
    <w:p w:rsidR="00000000" w:rsidDel="00000000" w:rsidP="00000000" w:rsidRDefault="00000000" w:rsidRPr="00000000" w14:paraId="0000003C">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Data Schema: The graph utilizes an explicit adjacency matrix via two primary tables: </w:t>
      </w:r>
      <w:r w:rsidDel="00000000" w:rsidR="00000000" w:rsidRPr="00000000">
        <w:rPr>
          <w:color w:val="188038"/>
          <w:sz w:val="23"/>
          <w:szCs w:val="23"/>
          <w:shd w:fill="f2f0f0" w:val="clear"/>
          <w:rtl w:val="0"/>
        </w:rPr>
        <w:t xml:space="preserve">knowledge_nodes</w:t>
      </w:r>
      <w:r w:rsidDel="00000000" w:rsidR="00000000" w:rsidRPr="00000000">
        <w:rPr>
          <w:b w:val="1"/>
          <w:bCs w:val="1"/>
          <w:color w:val="1f1f1f"/>
          <w:rtl w:val="0"/>
        </w:rPr>
        <w:t xml:space="preserve"> (housing IDs, content, vector embeddings, and JSONB Chain of Thought metadata) and </w:t>
      </w:r>
      <w:r w:rsidDel="00000000" w:rsidR="00000000" w:rsidRPr="00000000">
        <w:rPr>
          <w:color w:val="188038"/>
          <w:sz w:val="23"/>
          <w:szCs w:val="23"/>
          <w:shd w:fill="f2f0f0" w:val="clear"/>
          <w:rtl w:val="0"/>
        </w:rPr>
        <w:t xml:space="preserve">knowledge_edges</w:t>
      </w:r>
      <w:r w:rsidDel="00000000" w:rsidR="00000000" w:rsidRPr="00000000">
        <w:rPr>
          <w:b w:val="1"/>
          <w:bCs w:val="1"/>
          <w:color w:val="1f1f1f"/>
          <w:rtl w:val="0"/>
        </w:rPr>
        <w:t xml:space="preserve"> (housing cross-reference links).</w:t>
      </w:r>
    </w:p>
    <w:p w:rsidR="00000000" w:rsidDel="00000000" w:rsidP="00000000" w:rsidRDefault="00000000" w:rsidRPr="00000000" w14:paraId="0000003D">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Indexing: The architecture employs </w:t>
      </w:r>
      <w:r w:rsidDel="00000000" w:rsidR="00000000" w:rsidRPr="00000000">
        <w:rPr>
          <w:color w:val="188038"/>
          <w:sz w:val="23"/>
          <w:szCs w:val="23"/>
          <w:shd w:fill="f2f0f0" w:val="clear"/>
          <w:rtl w:val="0"/>
        </w:rPr>
        <w:t xml:space="preserve">pgvector</w:t>
      </w:r>
      <w:r w:rsidDel="00000000" w:rsidR="00000000" w:rsidRPr="00000000">
        <w:rPr>
          <w:b w:val="1"/>
          <w:bCs w:val="1"/>
          <w:color w:val="1f1f1f"/>
          <w:rtl w:val="0"/>
        </w:rPr>
        <w:t xml:space="preserve"> for similarity search and mathematical vector tombstones, alongside indexing for recursive parent-child indexing (</w:t>
      </w:r>
      <w:r w:rsidDel="00000000" w:rsidR="00000000" w:rsidRPr="00000000">
        <w:rPr>
          <w:color w:val="188038"/>
          <w:sz w:val="23"/>
          <w:szCs w:val="23"/>
          <w:shd w:fill="f2f0f0" w:val="clear"/>
          <w:rtl w:val="0"/>
        </w:rPr>
        <w:t xml:space="preserve">idx_knowledge_nodes_parent_id</w:t>
      </w:r>
      <w:r w:rsidDel="00000000" w:rsidR="00000000" w:rsidRPr="00000000">
        <w:rPr>
          <w:b w:val="1"/>
          <w:bCs w:val="1"/>
          <w:color w:val="1f1f1f"/>
          <w:rtl w:val="0"/>
        </w:rPr>
        <w:t xml:space="preserve">).</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uiam1s52t6m" w:id="7"/>
      <w:bookmarkEnd w:id="7"/>
      <w:r w:rsidDel="00000000" w:rsidR="00000000" w:rsidRPr="00000000">
        <w:rPr>
          <w:b w:val="1"/>
          <w:bCs w:val="1"/>
          <w:color w:val="1f1f1f"/>
          <w:sz w:val="26"/>
          <w:szCs w:val="26"/>
          <w:rtl w:val="0"/>
        </w:rPr>
        <w:t xml:space="preserve">2.4 The File Projection Plane (Audit Layer)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To maintain enterprise compliance, database records are mirrored into a human-readable format.</w:t>
      </w:r>
    </w:p>
    <w:p w:rsidR="00000000" w:rsidDel="00000000" w:rsidP="00000000" w:rsidRDefault="00000000" w:rsidRPr="00000000" w14:paraId="00000040">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Obsidian Synchronization: A physical directory of Markdown files (Obsidian Vault) sits downstream from Supabase, updated automatically via database triggers.</w:t>
      </w:r>
    </w:p>
    <w:p w:rsidR="00000000" w:rsidDel="00000000" w:rsidP="00000000" w:rsidRDefault="00000000" w:rsidRPr="00000000" w14:paraId="00000041">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Metadata Injection: Extracted expert reasoning is injected directly into the YAML frontmatter of each </w:t>
      </w:r>
      <w:r w:rsidDel="00000000" w:rsidR="00000000" w:rsidRPr="00000000">
        <w:rPr>
          <w:color w:val="188038"/>
          <w:sz w:val="23"/>
          <w:szCs w:val="23"/>
          <w:shd w:fill="f2f0f0" w:val="clear"/>
          <w:rtl w:val="0"/>
        </w:rPr>
        <w:t xml:space="preserve">.md</w:t>
      </w:r>
      <w:r w:rsidDel="00000000" w:rsidR="00000000" w:rsidRPr="00000000">
        <w:rPr>
          <w:b w:val="1"/>
          <w:bCs w:val="1"/>
          <w:color w:val="1f1f1f"/>
          <w:rtl w:val="0"/>
        </w:rPr>
        <w:t xml:space="preserve"> document, ensuring an auditable visual network that mirrors the database.</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7oto9bjzgoz" w:id="8"/>
      <w:bookmarkEnd w:id="8"/>
      <w:r w:rsidDel="00000000" w:rsidR="00000000" w:rsidRPr="00000000">
        <w:rPr>
          <w:b w:val="1"/>
          <w:bCs w:val="1"/>
          <w:color w:val="1f1f1f"/>
          <w:sz w:val="34"/>
          <w:szCs w:val="34"/>
          <w:rtl w:val="0"/>
        </w:rPr>
        <w:t xml:space="preserve">3. Structural Synchronization Lifecycles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To maintain harmony across the React Flow Canvas, the Python backend, the Supabase database, and the Obsidian vault, the system enforces strict synchronization lifecycles.</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oj7rt2z3i3e" w:id="9"/>
      <w:bookmarkEnd w:id="9"/>
      <w:r w:rsidDel="00000000" w:rsidR="00000000" w:rsidRPr="00000000">
        <w:rPr>
          <w:b w:val="1"/>
          <w:bCs w:val="1"/>
          <w:color w:val="1f1f1f"/>
          <w:sz w:val="26"/>
          <w:szCs w:val="26"/>
          <w:rtl w:val="0"/>
        </w:rPr>
        <w:t xml:space="preserve">3.1 The Modification Loop</w:t>
      </w:r>
    </w:p>
    <w:p w:rsidR="00000000" w:rsidDel="00000000" w:rsidP="00000000" w:rsidRDefault="00000000" w:rsidRPr="00000000" w14:paraId="00000045">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Local UI Phase: The expert links two concepts on the glassmorphic canvas. Zustand updates the UI instantaneously.</w:t>
      </w:r>
    </w:p>
    <w:p w:rsidR="00000000" w:rsidDel="00000000" w:rsidP="00000000" w:rsidRDefault="00000000" w:rsidRPr="00000000" w14:paraId="00000046">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Database Verification Phase: A background API request hits the Python backend. Database triggers validate the hierarchy to prevent circular dependencies.</w:t>
      </w:r>
    </w:p>
    <w:p w:rsidR="00000000" w:rsidDel="00000000" w:rsidP="00000000" w:rsidRDefault="00000000" w:rsidRPr="00000000" w14:paraId="00000047">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Commit Phase: The nodes and edges are updated in Supabase.</w:t>
      </w:r>
    </w:p>
    <w:p w:rsidR="00000000" w:rsidDel="00000000" w:rsidP="00000000" w:rsidRDefault="00000000" w:rsidRPr="00000000" w14:paraId="00000048">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Downstream Sync Phase: A database row webhook fires, triggering a worker that rebuilds the corresponding Obsidian </w:t>
      </w:r>
      <w:r w:rsidDel="00000000" w:rsidR="00000000" w:rsidRPr="00000000">
        <w:rPr>
          <w:color w:val="188038"/>
          <w:sz w:val="23"/>
          <w:szCs w:val="23"/>
          <w:shd w:fill="f2f0f0" w:val="clear"/>
          <w:rtl w:val="0"/>
        </w:rPr>
        <w:t xml:space="preserve">.md</w:t>
      </w:r>
      <w:r w:rsidDel="00000000" w:rsidR="00000000" w:rsidRPr="00000000">
        <w:rPr>
          <w:b w:val="1"/>
          <w:bCs w:val="1"/>
          <w:color w:val="1f1f1f"/>
          <w:rtl w:val="0"/>
        </w:rPr>
        <w:t xml:space="preserve"> file, injecting the new logic into the YAML frontmatter. If the DB rejects the change, the UI snaps the node back to its original position.</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oj8mbap9u2u" w:id="10"/>
      <w:bookmarkEnd w:id="10"/>
      <w:r w:rsidDel="00000000" w:rsidR="00000000" w:rsidRPr="00000000">
        <w:rPr>
          <w:b w:val="1"/>
          <w:bCs w:val="1"/>
          <w:color w:val="1f1f1f"/>
          <w:sz w:val="26"/>
          <w:szCs w:val="26"/>
          <w:rtl w:val="0"/>
        </w:rPr>
        <w:t xml:space="preserve">3.2 The "Mom and Child" Unlearning Workflow</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When an expert dictates that a protocol must be forgotten, destructive deletion is bypassed in favor of a compliant deprecation state machine.</w:t>
      </w:r>
    </w:p>
    <w:p w:rsidR="00000000" w:rsidDel="00000000" w:rsidP="00000000" w:rsidRDefault="00000000" w:rsidRPr="00000000" w14:paraId="0000004B">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Quarantine: The expert drags the node into a designated UI drop-zone.</w:t>
      </w:r>
    </w:p>
    <w:p w:rsidR="00000000" w:rsidDel="00000000" w:rsidP="00000000" w:rsidRDefault="00000000" w:rsidRPr="00000000" w14:paraId="0000004C">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Tacit Interrogation: The twin intercepts the action and prompts the expert for the specific unlearning rationale.</w:t>
      </w:r>
    </w:p>
    <w:p w:rsidR="00000000" w:rsidDel="00000000" w:rsidP="00000000" w:rsidRDefault="00000000" w:rsidRPr="00000000" w14:paraId="0000004D">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Vector Nullification: The </w:t>
      </w:r>
      <w:r w:rsidDel="00000000" w:rsidR="00000000" w:rsidRPr="00000000">
        <w:rPr>
          <w:color w:val="188038"/>
          <w:sz w:val="23"/>
          <w:szCs w:val="23"/>
          <w:shd w:fill="f2f0f0" w:val="clear"/>
          <w:rtl w:val="0"/>
        </w:rPr>
        <w:t xml:space="preserve">embedding</w:t>
      </w:r>
      <w:r w:rsidDel="00000000" w:rsidR="00000000" w:rsidRPr="00000000">
        <w:rPr>
          <w:b w:val="1"/>
          <w:bCs w:val="1"/>
          <w:color w:val="1f1f1f"/>
          <w:rtl w:val="0"/>
        </w:rPr>
        <w:t xml:space="preserve"> column in Supabase is set to </w:t>
      </w:r>
      <w:r w:rsidDel="00000000" w:rsidR="00000000" w:rsidRPr="00000000">
        <w:rPr>
          <w:color w:val="188038"/>
          <w:sz w:val="23"/>
          <w:szCs w:val="23"/>
          <w:shd w:fill="f2f0f0" w:val="clear"/>
          <w:rtl w:val="0"/>
        </w:rPr>
        <w:t xml:space="preserve">NULL</w:t>
      </w:r>
      <w:r w:rsidDel="00000000" w:rsidR="00000000" w:rsidRPr="00000000">
        <w:rPr>
          <w:b w:val="1"/>
          <w:bCs w:val="1"/>
          <w:color w:val="1f1f1f"/>
          <w:rtl w:val="0"/>
        </w:rPr>
        <w:t xml:space="preserve">, instantly removing the node from semantic recall capabilities.</w:t>
      </w:r>
    </w:p>
    <w:p w:rsidR="00000000" w:rsidDel="00000000" w:rsidP="00000000" w:rsidRDefault="00000000" w:rsidRPr="00000000" w14:paraId="0000004E">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Metadata Injection: The rationale text is permanently written into the node's JSONB metadata, retaining the </w:t>
      </w:r>
      <w:r w:rsidDel="00000000" w:rsidR="00000000" w:rsidRPr="00000000">
        <w:rPr>
          <w:color w:val="188038"/>
          <w:sz w:val="23"/>
          <w:szCs w:val="23"/>
          <w:shd w:fill="f2f0f0" w:val="clear"/>
          <w:rtl w:val="0"/>
        </w:rPr>
        <w:t xml:space="preserve">node_id</w:t>
      </w:r>
      <w:r w:rsidDel="00000000" w:rsidR="00000000" w:rsidRPr="00000000">
        <w:rPr>
          <w:b w:val="1"/>
          <w:bCs w:val="1"/>
          <w:color w:val="1f1f1f"/>
          <w:rtl w:val="0"/>
        </w:rPr>
        <w:t xml:space="preserve"> and </w:t>
      </w:r>
      <w:r w:rsidDel="00000000" w:rsidR="00000000" w:rsidRPr="00000000">
        <w:rPr>
          <w:color w:val="188038"/>
          <w:sz w:val="23"/>
          <w:szCs w:val="23"/>
          <w:shd w:fill="f2f0f0" w:val="clear"/>
          <w:rtl w:val="0"/>
        </w:rPr>
        <w:t xml:space="preserve">parent_id</w:t>
      </w:r>
      <w:r w:rsidDel="00000000" w:rsidR="00000000" w:rsidRPr="00000000">
        <w:rPr>
          <w:b w:val="1"/>
          <w:bCs w:val="1"/>
          <w:color w:val="1f1f1f"/>
          <w:rtl w:val="0"/>
        </w:rPr>
        <w:t xml:space="preserve"> for compliance tracing.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End of Document 002-HLA.</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