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House Price Prediction - Project Summary</w:t>
      </w:r>
    </w:p>
    <w:p>
      <w:pPr>
        <w:pStyle w:val="Heading1"/>
      </w:pPr>
      <w:r>
        <w:t>1. Executive Summary</w:t>
      </w:r>
    </w:p>
    <w:p>
      <w:r>
        <w:t>This report outlines the findings from the House Price Prediction machine learning model. Two models, Linear Regression and Random Forest, were evaluated to determine the best approach for estimating property values based on historical data.</w:t>
      </w:r>
    </w:p>
    <w:p>
      <w:pPr>
        <w:pStyle w:val="Heading1"/>
      </w:pPr>
      <w:r>
        <w:t>2. Model Performance</w:t>
      </w:r>
    </w:p>
    <w:p>
      <w:r>
        <w:t>The Linear Regression model outperformed the Random Forest model. It demonstrated a lower Mean Absolute Error (MAE) and a higher R² score (65.3%). The results suggest that the primary drivers of housing prices in this dataset have a strict linear relationship, and the simpler model avoided overfitting the relatively small dataset.</w:t>
      </w:r>
    </w:p>
    <w:p>
      <w:pPr>
        <w:pStyle w:val="Heading1"/>
      </w:pPr>
      <w:r>
        <w:t>3. Key Insights</w:t>
      </w:r>
    </w:p>
    <w:p>
      <w:r>
        <w:t>• Primary Value Drivers: Total square area, number of bathrooms, and air conditioning.</w:t>
        <w:br/>
        <w:t>• Secondary Features: Guest rooms and basements showed lesser direct impact on the final sale price.</w:t>
      </w:r>
    </w:p>
    <w:p>
      <w:pPr>
        <w:pStyle w:val="Heading1"/>
      </w:pPr>
      <w:r>
        <w:t>4. Business Recommendation</w:t>
      </w:r>
    </w:p>
    <w:p>
      <w:r>
        <w:t>Real estate investors should focus renovation budgets on bathroom additions and HVAC/air conditioning improvements, as these yield higher predictive impacts on final home prices compared to non-essential room additions.</w:t>
      </w:r>
    </w:p>
    <w:p>
      <w:pPr>
        <w:pStyle w:val="Heading1"/>
      </w:pPr>
      <w:r>
        <w:t>5. Visual Evidence</w:t>
      </w:r>
    </w:p>
    <w:p>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price_distribution.png"/>
                    <pic:cNvPicPr/>
                  </pic:nvPicPr>
                  <pic:blipFill>
                    <a:blip r:embed="rId9"/>
                    <a:stretch>
                      <a:fillRect/>
                    </a:stretch>
                  </pic:blipFill>
                  <pic:spPr>
                    <a:xfrm>
                      <a:off x="0" y="0"/>
                      <a:ext cx="4572000" cy="2743200"/>
                    </a:xfrm>
                    <a:prstGeom prst="rect"/>
                  </pic:spPr>
                </pic:pic>
              </a:graphicData>
            </a:graphic>
          </wp:inline>
        </w:drawing>
      </w:r>
    </w:p>
    <w:p/>
    <w:p>
      <w:r>
        <w:drawing>
          <wp:inline xmlns:a="http://schemas.openxmlformats.org/drawingml/2006/main" xmlns:pic="http://schemas.openxmlformats.org/drawingml/2006/picture">
            <wp:extent cx="4572000" cy="2743200"/>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4572000" cy="27432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