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Arial" w:cs="Arial" w:eastAsia="Arial" w:hAnsi="Arial"/>
          <w:b/>
          <w:bCs/>
          <w:color w:val="1E3A5F"/>
          <w:sz w:val="40"/>
          <w:szCs w:val="40"/>
        </w:rPr>
        <w:t xml:space="preserve">VIT BHOPAL UNIVERSITY</w:t>
      </w:r>
    </w:p>
    <w:p>
      <w:pPr>
        <w:spacing w:after="480"/>
        <w:jc w:val="center"/>
      </w:pPr>
      <w:r>
        <w:rPr>
          <w:rFonts w:ascii="Arial" w:cs="Arial" w:eastAsia="Arial" w:hAnsi="Arial"/>
          <w:color w:val="374151"/>
          <w:sz w:val="26"/>
          <w:szCs w:val="26"/>
        </w:rPr>
        <w:t xml:space="preserve">VITyarthi E-Learning Platform</w:t>
      </w:r>
    </w:p>
    <w:p>
      <w:pPr>
        <w:spacing w:after="160"/>
        <w:jc w:val="center"/>
      </w:pPr>
      <w:r>
        <w:rPr>
          <w:rFonts w:ascii="Arial" w:cs="Arial" w:eastAsia="Arial" w:hAnsi="Arial"/>
          <w:b/>
          <w:bCs/>
          <w:color w:val="1E40AF"/>
          <w:sz w:val="34"/>
          <w:szCs w:val="34"/>
        </w:rPr>
        <w:t xml:space="preserve">CSE0001 – Digital Literacy</w:t>
      </w:r>
    </w:p>
    <w:p>
      <w:pPr>
        <w:spacing w:after="960"/>
        <w:jc w:val="center"/>
      </w:pPr>
      <w:r>
        <w:rPr>
          <w:rFonts w:ascii="Arial" w:cs="Arial" w:eastAsia="Arial" w:hAnsi="Arial"/>
          <w:i/>
          <w:iCs/>
          <w:color w:val="374151"/>
          <w:sz w:val="28"/>
          <w:szCs w:val="28"/>
        </w:rPr>
        <w:t xml:space="preserve">Digital Literacy Portfolio — Project Report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sz w:val="24"/>
                <w:szCs w:val="24"/>
              </w:rPr>
              <w:t xml:space="preserve">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4"/>
                <w:szCs w:val="24"/>
              </w:rPr>
              <w:t xml:space="preserve">Aditya Raj</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sz w:val="24"/>
                <w:szCs w:val="24"/>
              </w:rPr>
              <w:t xml:space="preserve">Registration No.</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4"/>
                <w:szCs w:val="24"/>
              </w:rPr>
              <w:t xml:space="preserve">25BAI10708</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sz w:val="24"/>
                <w:szCs w:val="24"/>
              </w:rPr>
              <w:t xml:space="preserve">Branch</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4"/>
                <w:szCs w:val="24"/>
              </w:rPr>
              <w:t xml:space="preserve">B.Tech Artificial Intelligence</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sz w:val="24"/>
                <w:szCs w:val="24"/>
              </w:rPr>
              <w:t xml:space="preserve">Year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4"/>
                <w:szCs w:val="24"/>
              </w:rPr>
              <w:t xml:space="preserve">First Year B.Tech</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sz w:val="24"/>
                <w:szCs w:val="24"/>
              </w:rPr>
              <w:t xml:space="preserve">Course Code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4"/>
                <w:szCs w:val="24"/>
              </w:rPr>
              <w:t xml:space="preserve">CSE0001</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Arial" w:cs="Arial" w:eastAsia="Arial" w:hAnsi="Arial"/>
                <w:b/>
                <w:bCs/>
                <w:sz w:val="24"/>
                <w:szCs w:val="24"/>
              </w:rPr>
              <w:t xml:space="preserve">Date of Submission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4"/>
                <w:szCs w:val="24"/>
              </w:rPr>
              <w:t xml:space="preserve">23 March 2026</w:t>
            </w:r>
          </w:p>
        </w:tc>
      </w:tr>
    </w:tbl>
    <w:p>
      <w:r>
        <w:br w:type="page"/>
      </w:r>
    </w:p>
    <w:p>
      <w:pPr>
        <w:pStyle w:val="Heading1"/>
        <w:pBdr>
          <w:bottom w:val="single" w:color="1E3A5F" w:sz="6" w:space="1"/>
        </w:pBdr>
        <w:spacing w:before="360" w:after="160"/>
      </w:pPr>
      <w:r>
        <w:rPr>
          <w:rFonts w:ascii="Arial" w:cs="Arial" w:eastAsia="Arial" w:hAnsi="Arial"/>
          <w:b/>
          <w:bCs/>
          <w:color w:val="1E3A5F"/>
          <w:sz w:val="32"/>
          <w:szCs w:val="32"/>
        </w:rPr>
        <w:t xml:space="preserve">Introduction</w:t>
      </w:r>
    </w:p>
    <w:p>
      <w:pPr>
        <w:spacing w:after="160" w:line="360"/>
        <w:jc w:val="both"/>
      </w:pPr>
      <w:r>
        <w:rPr>
          <w:rFonts w:ascii="Arial" w:cs="Arial" w:eastAsia="Arial" w:hAnsi="Arial"/>
          <w:sz w:val="24"/>
          <w:szCs w:val="24"/>
        </w:rPr>
        <w:t xml:space="preserve">This project report documents the completion of the CSE0001 Digital Literacy course project at VIT Bhopal University. As part of the Student Digital Ambassador scenario, I worked through five structured tasks — each corresponding to a module of the course — to build a comprehensive Digital Literacy Portfolio.</w:t>
      </w:r>
    </w:p>
    <w:p>
      <w:pPr>
        <w:spacing w:after="160" w:line="360"/>
        <w:jc w:val="both"/>
      </w:pPr>
      <w:r>
        <w:rPr>
          <w:rFonts w:ascii="Arial" w:cs="Arial" w:eastAsia="Arial" w:hAnsi="Arial"/>
          <w:sz w:val="24"/>
          <w:szCs w:val="24"/>
        </w:rPr>
        <w:t xml:space="preserve">The project required no prior coding knowledge and relied entirely on free, browser-based tools. Through this work, I gained hands-on experience with digital design tools, professional networking platforms, coding practice sites, cloud collaboration tools, professional email writing, and cybercrime awareness. All deliverables are organised in a single public GitHub repository, which itself serves as a permanent digital portfolio.</w:t>
      </w:r>
    </w:p>
    <w:p>
      <w:pPr>
        <w:spacing w:after="160" w:line="360"/>
        <w:jc w:val="both"/>
      </w:pPr>
      <w:r>
        <w:rPr>
          <w:rFonts w:ascii="Arial" w:cs="Arial" w:eastAsia="Arial" w:hAnsi="Arial"/>
          <w:sz w:val="24"/>
          <w:szCs w:val="24"/>
        </w:rPr>
        <w:t xml:space="preserve">The five tasks covered: creating a Digital Literacy Awareness Infographic (Task 1), building a Student Digital Portfolio across key platforms (Task 2), exploring coding and collaboration platforms (Task 3), drafting professional emails and an etiquette guide (Task 4), and producing a cybercrime awareness case study and prevention checklist (Task 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4"/>
                <w:szCs w:val="24"/>
              </w:rPr>
              <w:t xml:space="preserve">Task 1</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4"/>
                <w:szCs w:val="24"/>
              </w:rPr>
              <w:t xml:space="preserve">Digital Literacy Awareness Infographic</w:t>
            </w:r>
          </w:p>
        </w:tc>
        <w:tc>
          <w:tcPr>
            <w:tcW w:type="dxa" w:w="120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color w:val="FFFFFF"/>
                <w:sz w:val="22"/>
                <w:szCs w:val="22"/>
              </w:rPr>
              <w:t xml:space="preserve">Module 1</w:t>
            </w:r>
          </w:p>
        </w:tc>
        <w:tc>
          <w:tcPr>
            <w:tcW w:type="dxa" w:w="120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20 Marks</w:t>
            </w:r>
          </w:p>
        </w:tc>
      </w:tr>
    </w:tbl>
    <w:p>
      <w:pPr>
        <w:spacing w:after="200"/>
      </w:pPr>
    </w:p>
    <w:p>
      <w:pPr>
        <w:spacing w:after="160" w:line="360"/>
        <w:jc w:val="both"/>
      </w:pPr>
      <w:r>
        <w:rPr>
          <w:rFonts w:ascii="Arial" w:cs="Arial" w:eastAsia="Arial" w:hAnsi="Arial"/>
          <w:sz w:val="24"/>
          <w:szCs w:val="24"/>
        </w:rPr>
        <w:t xml:space="preserve">For Task 1, I used Canva (canva.com) to design a one-page Digital Literacy Awareness Infographic aimed at first-year B.Tech students. Canva was chosen because it offers a wide range of free templates and an intuitive drag-and-drop interface that requires no prior design experience.</w:t>
      </w:r>
    </w:p>
    <w:p>
      <w:pPr>
        <w:spacing w:after="160" w:line="360"/>
        <w:jc w:val="both"/>
      </w:pPr>
      <w:r>
        <w:rPr>
          <w:rFonts w:ascii="Arial" w:cs="Arial" w:eastAsia="Arial" w:hAnsi="Arial"/>
          <w:sz w:val="24"/>
          <w:szCs w:val="24"/>
        </w:rPr>
        <w:t xml:space="preserve">The infographic covers four key topics. First, it defines digital literacy as the ability to find, evaluate, create, and communicate using digital tools safely and confidently. Second, it highlights safe internet practices such as using strong passwords, never sharing personal information online, and thinking before clicking links. Third, it covers email etiquette — including do's like using a clear subject line and proper greeting, and don'ts like using slang or replying-all unnecessarily. Finally, it showcases useful digital tools for students including Google Docs, Canva, Notion, Google Drive, LinkedIn, ChatGPT, and Kaggle.</w:t>
      </w:r>
    </w:p>
    <w:p>
      <w:pPr>
        <w:spacing w:after="160" w:line="360"/>
        <w:jc w:val="both"/>
      </w:pPr>
      <w:r>
        <w:rPr>
          <w:rFonts w:ascii="Arial" w:cs="Arial" w:eastAsia="Arial" w:hAnsi="Arial"/>
          <w:sz w:val="24"/>
          <w:szCs w:val="24"/>
        </w:rPr>
        <w:t xml:space="preserve">The most interesting challenge was fitting all four topics into a single page without making it look cluttered. I had to prioritise key points and use a two-column layout to organise the content clearly while keeping the design visually appealing.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4"/>
                <w:szCs w:val="24"/>
              </w:rPr>
              <w:t xml:space="preserve">Task 2</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4"/>
                <w:szCs w:val="24"/>
              </w:rPr>
              <w:t xml:space="preserve">Student Digital Portfolio</w:t>
            </w:r>
          </w:p>
        </w:tc>
        <w:tc>
          <w:tcPr>
            <w:tcW w:type="dxa" w:w="120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color w:val="FFFFFF"/>
                <w:sz w:val="22"/>
                <w:szCs w:val="22"/>
              </w:rPr>
              <w:t xml:space="preserve">Module 2</w:t>
            </w:r>
          </w:p>
        </w:tc>
        <w:tc>
          <w:tcPr>
            <w:tcW w:type="dxa" w:w="120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20 Marks</w:t>
            </w:r>
          </w:p>
        </w:tc>
      </w:tr>
    </w:tbl>
    <w:p>
      <w:pPr>
        <w:spacing w:after="200"/>
      </w:pPr>
    </w:p>
    <w:p>
      <w:pPr>
        <w:spacing w:after="160" w:line="360"/>
        <w:jc w:val="both"/>
      </w:pPr>
      <w:r>
        <w:rPr>
          <w:rFonts w:ascii="Arial" w:cs="Arial" w:eastAsia="Arial" w:hAnsi="Arial"/>
          <w:sz w:val="24"/>
          <w:szCs w:val="24"/>
        </w:rPr>
        <w:t xml:space="preserve">For Task 2, I set up and configured accounts on three platforms: GitHub, LinkedIn, and Kaggle.</w:t>
      </w:r>
    </w:p>
    <w:p>
      <w:pPr>
        <w:spacing w:after="160" w:line="360"/>
        <w:jc w:val="both"/>
      </w:pPr>
      <w:r>
        <w:rPr>
          <w:rFonts w:ascii="Arial" w:cs="Arial" w:eastAsia="Arial" w:hAnsi="Arial"/>
          <w:sz w:val="24"/>
          <w:szCs w:val="24"/>
        </w:rPr>
        <w:t xml:space="preserve">GitHub is the world's leading code hosting and version control platform. I created a profile README repository displaying my name, branch, year, and learning goals. This will serve as a live portfolio of every project I build throughout my degree.</w:t>
      </w:r>
    </w:p>
    <w:p>
      <w:pPr>
        <w:spacing w:after="160" w:line="360"/>
        <w:jc w:val="both"/>
      </w:pPr>
      <w:r>
        <w:rPr>
          <w:rFonts w:ascii="Arial" w:cs="Arial" w:eastAsia="Arial" w:hAnsi="Arial"/>
          <w:sz w:val="24"/>
          <w:szCs w:val="24"/>
        </w:rPr>
        <w:t xml:space="preserve">LinkedIn is the leading professional networking platform used by recruiters, internship coordinators, and industry professionals worldwide. My profile includes my current B.Tech in Artificial Intelligence at VIT Bhopal University (2025–2029), my club memberships at Bit By Bit and PranSpanda, and certifications in Data Analytics and Cyber Security from Deloitte Australia simulations.</w:t>
      </w:r>
    </w:p>
    <w:p>
      <w:pPr>
        <w:spacing w:after="160" w:line="360"/>
        <w:jc w:val="both"/>
      </w:pPr>
      <w:r>
        <w:rPr>
          <w:rFonts w:ascii="Arial" w:cs="Arial" w:eastAsia="Arial" w:hAnsi="Arial"/>
          <w:sz w:val="24"/>
          <w:szCs w:val="24"/>
        </w:rPr>
        <w:t xml:space="preserve">Kaggle is a data science and machine learning community where students can practise on real datasets and enter competitions. Given my interest in AI and ML, this platform is particularly relevant to my specialisation.</w:t>
      </w:r>
    </w:p>
    <w:p>
      <w:pPr>
        <w:spacing w:after="160" w:line="360"/>
        <w:jc w:val="both"/>
      </w:pPr>
      <w:r>
        <w:rPr>
          <w:rFonts w:ascii="Arial" w:cs="Arial" w:eastAsia="Arial" w:hAnsi="Arial"/>
          <w:sz w:val="24"/>
          <w:szCs w:val="24"/>
        </w:rPr>
        <w:t xml:space="preserve">Over the next four years, I plan to use GitHub to document all my projects, LinkedIn to connect with professionals and find internships, and Kaggle to practise machine learning as my coursework advances.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4"/>
                <w:szCs w:val="24"/>
              </w:rPr>
              <w:t xml:space="preserve">Task 3</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4"/>
                <w:szCs w:val="24"/>
              </w:rPr>
              <w:t xml:space="preserve">Coding &amp; Collaboration Platforms</w:t>
            </w:r>
          </w:p>
        </w:tc>
        <w:tc>
          <w:tcPr>
            <w:tcW w:type="dxa" w:w="120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color w:val="FFFFFF"/>
                <w:sz w:val="22"/>
                <w:szCs w:val="22"/>
              </w:rPr>
              <w:t xml:space="preserve">Module 3</w:t>
            </w:r>
          </w:p>
        </w:tc>
        <w:tc>
          <w:tcPr>
            <w:tcW w:type="dxa" w:w="120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20 Marks</w:t>
            </w:r>
          </w:p>
        </w:tc>
      </w:tr>
    </w:tbl>
    <w:p>
      <w:pPr>
        <w:spacing w:after="200"/>
      </w:pPr>
    </w:p>
    <w:p>
      <w:pPr>
        <w:pStyle w:val="Heading2"/>
        <w:spacing w:before="240" w:after="120"/>
      </w:pPr>
      <w:r>
        <w:rPr>
          <w:rFonts w:ascii="Arial" w:cs="Arial" w:eastAsia="Arial" w:hAnsi="Arial"/>
          <w:b/>
          <w:bCs/>
          <w:color w:val="1E40AF"/>
          <w:sz w:val="26"/>
          <w:szCs w:val="26"/>
        </w:rPr>
        <w:t xml:space="preserve">Part A – HackerRank</w:t>
      </w:r>
    </w:p>
    <w:p>
      <w:pPr>
        <w:spacing w:after="160" w:line="360"/>
        <w:jc w:val="both"/>
      </w:pPr>
      <w:r>
        <w:rPr>
          <w:rFonts w:ascii="Arial" w:cs="Arial" w:eastAsia="Arial" w:hAnsi="Arial"/>
          <w:sz w:val="24"/>
          <w:szCs w:val="24"/>
        </w:rPr>
        <w:t xml:space="preserve">For Part A, I created an account on HackerRank (hackerrank.com) and completed the 'Say Hello, World! With Python' beginner challenge in the Python Introduction domain. This challenge introduced the basic input/output structure on the platform, requiring the correct use of Python's print function with precise formatting.</w:t>
      </w:r>
    </w:p>
    <w:p>
      <w:pPr>
        <w:spacing w:after="160" w:line="360"/>
        <w:jc w:val="both"/>
      </w:pPr>
      <w:r>
        <w:rPr>
          <w:rFonts w:ascii="Arial" w:cs="Arial" w:eastAsia="Arial" w:hAnsi="Arial"/>
          <w:sz w:val="24"/>
          <w:szCs w:val="24"/>
        </w:rPr>
        <w:t xml:space="preserve">HackerRank is particularly valuable because many top technology companies use it directly for their online hiring assessments. Familiarity with the platform's interface, time limits, and submission process before sitting a real company test is a significant practical advantage.</w:t>
      </w:r>
    </w:p>
    <w:p>
      <w:pPr>
        <w:pStyle w:val="Heading2"/>
        <w:spacing w:before="240" w:after="120"/>
      </w:pPr>
      <w:r>
        <w:rPr>
          <w:rFonts w:ascii="Arial" w:cs="Arial" w:eastAsia="Arial" w:hAnsi="Arial"/>
          <w:b/>
          <w:bCs/>
          <w:color w:val="1E40AF"/>
          <w:sz w:val="26"/>
          <w:szCs w:val="26"/>
        </w:rPr>
        <w:t xml:space="preserve">Part B – Google Forms</w:t>
      </w:r>
    </w:p>
    <w:p>
      <w:pPr>
        <w:spacing w:after="160" w:line="360"/>
        <w:jc w:val="both"/>
      </w:pPr>
      <w:r>
        <w:rPr>
          <w:rFonts w:ascii="Arial" w:cs="Arial" w:eastAsia="Arial" w:hAnsi="Arial"/>
          <w:sz w:val="24"/>
          <w:szCs w:val="24"/>
        </w:rPr>
        <w:t xml:space="preserve">For Part B, I built a Digital Literacy Awareness Quiz using Google Forms with five questions covering the definition of digital literacy, safe password practices, phishing awareness, professional platforms, and safe internet habits. The linked Google Sheet for response collection was also configured.</w:t>
      </w:r>
    </w:p>
    <w:p>
      <w:pPr>
        <w:spacing w:after="160" w:line="360"/>
        <w:jc w:val="both"/>
      </w:pPr>
      <w:r>
        <w:rPr>
          <w:rFonts w:ascii="Arial" w:cs="Arial" w:eastAsia="Arial" w:hAnsi="Arial"/>
          <w:sz w:val="24"/>
          <w:szCs w:val="24"/>
        </w:rPr>
        <w:t xml:space="preserve">This task demonstrated how powerful cloud-based tools are for academic collaboration. The Google Form exercise showed how easily a digital resource can be created and distributed to hundreds of students at zero cost. These tools will help me academically by enabling efficient data collection, peer quizzes, and collaborative document editing throughout my degree.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4"/>
                <w:szCs w:val="24"/>
              </w:rPr>
              <w:t xml:space="preserve">Task 4</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4"/>
                <w:szCs w:val="24"/>
              </w:rPr>
              <w:t xml:space="preserve">Professional Email &amp; Etiquette Guide</w:t>
            </w:r>
          </w:p>
        </w:tc>
        <w:tc>
          <w:tcPr>
            <w:tcW w:type="dxa" w:w="120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color w:val="FFFFFF"/>
                <w:sz w:val="22"/>
                <w:szCs w:val="22"/>
              </w:rPr>
              <w:t xml:space="preserve">Module 4</w:t>
            </w:r>
          </w:p>
        </w:tc>
        <w:tc>
          <w:tcPr>
            <w:tcW w:type="dxa" w:w="120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20 Marks</w:t>
            </w:r>
          </w:p>
        </w:tc>
      </w:tr>
    </w:tbl>
    <w:p>
      <w:pPr>
        <w:spacing w:after="200"/>
      </w:pPr>
    </w:p>
    <w:p>
      <w:pPr>
        <w:spacing w:after="160" w:line="360"/>
        <w:jc w:val="both"/>
      </w:pPr>
      <w:r>
        <w:rPr>
          <w:rFonts w:ascii="Arial" w:cs="Arial" w:eastAsia="Arial" w:hAnsi="Arial"/>
          <w:sz w:val="24"/>
          <w:szCs w:val="24"/>
        </w:rPr>
        <w:t xml:space="preserve">A well-known example of poor digital communication involved a university student who posted a frustrated complaint about their professor on a public Twitter account, not realising the professor was following them. The post went viral among classmates, causing significant embarrassment and damaging the student-teacher relationship for the rest of the semester. The student faced an informal disciplinary conversation and nearly lost marks for professionalism in a group project assessment.</w:t>
      </w:r>
    </w:p>
    <w:p>
      <w:pPr>
        <w:spacing w:after="160" w:line="360"/>
        <w:jc w:val="both"/>
      </w:pPr>
      <w:r>
        <w:rPr>
          <w:rFonts w:ascii="Arial" w:cs="Arial" w:eastAsia="Arial" w:hAnsi="Arial"/>
          <w:sz w:val="24"/>
          <w:szCs w:val="24"/>
        </w:rPr>
        <w:t xml:space="preserve">This situation could have been avoided entirely with one simple habit — pausing before posting and asking: 'Is this public? Could this affect my academic or professional reputation?' The student could have addressed the frustration privately, either by emailing the professor directly or speaking to a classmate. Digital communication leaves a permanent record, and college students must treat every public post with the same care as a formal letter.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4"/>
                <w:szCs w:val="24"/>
              </w:rPr>
              <w:t xml:space="preserve">Task 5</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4"/>
                <w:szCs w:val="24"/>
              </w:rPr>
              <w:t xml:space="preserve">Cybercrime Awareness Case Study &amp; Prevention Guide</w:t>
            </w:r>
          </w:p>
        </w:tc>
        <w:tc>
          <w:tcPr>
            <w:tcW w:type="dxa" w:w="120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color w:val="FFFFFF"/>
                <w:sz w:val="22"/>
                <w:szCs w:val="22"/>
              </w:rPr>
              <w:t xml:space="preserve">Module 5</w:t>
            </w:r>
          </w:p>
        </w:tc>
        <w:tc>
          <w:tcPr>
            <w:tcW w:type="dxa" w:w="120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20 Marks</w:t>
            </w:r>
          </w:p>
        </w:tc>
      </w:tr>
    </w:tbl>
    <w:p>
      <w:pPr>
        <w:spacing w:after="200"/>
      </w:pPr>
    </w:p>
    <w:p>
      <w:pPr>
        <w:spacing w:after="160" w:line="360"/>
        <w:jc w:val="both"/>
      </w:pPr>
      <w:r>
        <w:rPr>
          <w:rFonts w:ascii="Arial" w:cs="Arial" w:eastAsia="Arial" w:hAnsi="Arial"/>
          <w:sz w:val="24"/>
          <w:szCs w:val="24"/>
        </w:rPr>
        <w:t xml:space="preserve">The most surprising thing I discovered while researching UPI fraud was how technically simple the scam actually is. The fraudster does not hack any system or use sophisticated malware — they simply exploit the victim's misunderstanding of how UPI collect requests work. The entire attack relies on one gap in knowledge: that entering a UPI PIN always sends money out, never receives it. This showed me that the biggest cybersecurity vulnerability is often human awareness, not software.</w:t>
      </w:r>
    </w:p>
    <w:p>
      <w:pPr>
        <w:spacing w:after="160" w:line="360"/>
        <w:jc w:val="both"/>
      </w:pPr>
      <w:r>
        <w:rPr>
          <w:rFonts w:ascii="Arial" w:cs="Arial" w:eastAsia="Arial" w:hAnsi="Arial"/>
          <w:sz w:val="24"/>
          <w:szCs w:val="24"/>
        </w:rPr>
        <w:t xml:space="preserve">The one habit I will personally change as a result of this research is to never act under urgency when money is involved online. Fraudsters deliberately create panic and time pressure to stop victims from thinking clearly. Taking even 30 seconds to verify a request through an official channel can prevent significant financial loss.</w:t>
      </w:r>
    </w:p>
    <w:p>
      <w:r>
        <w:br w:type="page"/>
      </w:r>
    </w:p>
    <w:p>
      <w:pPr>
        <w:pStyle w:val="Heading1"/>
        <w:pBdr>
          <w:bottom w:val="single" w:color="1E3A5F" w:sz="6" w:space="1"/>
        </w:pBdr>
        <w:spacing w:before="360" w:after="160"/>
      </w:pPr>
      <w:r>
        <w:rPr>
          <w:rFonts w:ascii="Arial" w:cs="Arial" w:eastAsia="Arial" w:hAnsi="Arial"/>
          <w:b/>
          <w:bCs/>
          <w:color w:val="1E3A5F"/>
          <w:sz w:val="32"/>
          <w:szCs w:val="32"/>
        </w:rPr>
        <w:t xml:space="preserve">Conclusion</w:t>
      </w:r>
    </w:p>
    <w:p>
      <w:pPr>
        <w:spacing w:after="160" w:line="360"/>
        <w:jc w:val="both"/>
      </w:pPr>
      <w:r>
        <w:rPr>
          <w:rFonts w:ascii="Arial" w:cs="Arial" w:eastAsia="Arial" w:hAnsi="Arial"/>
          <w:sz w:val="24"/>
          <w:szCs w:val="24"/>
        </w:rPr>
        <w:t xml:space="preserve">This project has been an effective, practical introduction to digital literacy — covering design, professional branding, collaboration tools, communication, and online safety within a single structured assignment. The most valuable outcome is the GitHub repository itself, which now serves as the starting point for a four-year digital portfolio.</w:t>
      </w:r>
    </w:p>
    <w:p>
      <w:pPr>
        <w:spacing w:after="160" w:line="360"/>
        <w:jc w:val="both"/>
      </w:pPr>
      <w:r>
        <w:rPr>
          <w:rFonts w:ascii="Arial" w:cs="Arial" w:eastAsia="Arial" w:hAnsi="Arial"/>
          <w:sz w:val="24"/>
          <w:szCs w:val="24"/>
        </w:rPr>
        <w:t xml:space="preserve">Each task reinforced a key idea: the digital world rewards preparation and intentionality. A well-structured email, a clean GitHub profile, and the knowledge to recognise a payment fraud are not optional extras — they are foundational professional skills for any engineer. I look forward to applying and expanding these skills throughout my degree at VIT Bhopal University.</w:t>
      </w:r>
    </w:p>
    <w:p>
      <w:r>
        <w:br w:type="page"/>
      </w:r>
    </w:p>
    <w:p>
      <w:pPr>
        <w:pStyle w:val="Heading1"/>
        <w:pBdr>
          <w:bottom w:val="single" w:color="1E3A5F" w:sz="6" w:space="1"/>
        </w:pBdr>
        <w:spacing w:before="360" w:after="160"/>
      </w:pPr>
      <w:r>
        <w:rPr>
          <w:rFonts w:ascii="Arial" w:cs="Arial" w:eastAsia="Arial" w:hAnsi="Arial"/>
          <w:b/>
          <w:bCs/>
          <w:color w:val="1E3A5F"/>
          <w:sz w:val="32"/>
          <w:szCs w:val="32"/>
        </w:rPr>
        <w:t xml:space="preserve">References</w:t>
      </w:r>
    </w:p>
    <w:p>
      <w:pPr>
        <w:pStyle w:val="ListParagraph"/>
        <w:numPr>
          <w:ilvl w:val="0"/>
          <w:numId w:val="2"/>
        </w:numPr>
        <w:spacing w:after="80" w:line="360"/>
      </w:pPr>
      <w:r>
        <w:rPr>
          <w:rFonts w:ascii="Arial" w:cs="Arial" w:eastAsia="Arial" w:hAnsi="Arial"/>
          <w:sz w:val="24"/>
          <w:szCs w:val="24"/>
        </w:rPr>
        <w:t xml:space="preserve">Canva — Free Online Design Tool. canva.com</w:t>
      </w:r>
    </w:p>
    <w:p>
      <w:pPr>
        <w:pStyle w:val="ListParagraph"/>
        <w:numPr>
          <w:ilvl w:val="0"/>
          <w:numId w:val="2"/>
        </w:numPr>
        <w:spacing w:after="80" w:line="360"/>
      </w:pPr>
      <w:r>
        <w:rPr>
          <w:rFonts w:ascii="Arial" w:cs="Arial" w:eastAsia="Arial" w:hAnsi="Arial"/>
          <w:sz w:val="24"/>
          <w:szCs w:val="24"/>
        </w:rPr>
        <w:t xml:space="preserve">GitHub — Where the World Builds Software. github.com</w:t>
      </w:r>
    </w:p>
    <w:p>
      <w:pPr>
        <w:pStyle w:val="ListParagraph"/>
        <w:numPr>
          <w:ilvl w:val="0"/>
          <w:numId w:val="2"/>
        </w:numPr>
        <w:spacing w:after="80" w:line="360"/>
      </w:pPr>
      <w:r>
        <w:rPr>
          <w:rFonts w:ascii="Arial" w:cs="Arial" w:eastAsia="Arial" w:hAnsi="Arial"/>
          <w:sz w:val="24"/>
          <w:szCs w:val="24"/>
        </w:rPr>
        <w:t xml:space="preserve">LinkedIn — Professional Network. linkedin.com</w:t>
      </w:r>
    </w:p>
    <w:p>
      <w:pPr>
        <w:pStyle w:val="ListParagraph"/>
        <w:numPr>
          <w:ilvl w:val="0"/>
          <w:numId w:val="2"/>
        </w:numPr>
        <w:spacing w:after="80" w:line="360"/>
      </w:pPr>
      <w:r>
        <w:rPr>
          <w:rFonts w:ascii="Arial" w:cs="Arial" w:eastAsia="Arial" w:hAnsi="Arial"/>
          <w:sz w:val="24"/>
          <w:szCs w:val="24"/>
        </w:rPr>
        <w:t xml:space="preserve">Kaggle — Data Science Community. kaggle.com</w:t>
      </w:r>
    </w:p>
    <w:p>
      <w:pPr>
        <w:pStyle w:val="ListParagraph"/>
        <w:numPr>
          <w:ilvl w:val="0"/>
          <w:numId w:val="2"/>
        </w:numPr>
        <w:spacing w:after="80" w:line="360"/>
      </w:pPr>
      <w:r>
        <w:rPr>
          <w:rFonts w:ascii="Arial" w:cs="Arial" w:eastAsia="Arial" w:hAnsi="Arial"/>
          <w:sz w:val="24"/>
          <w:szCs w:val="24"/>
        </w:rPr>
        <w:t xml:space="preserve">HackerRank — Coding Practice Platform. hackerrank.com</w:t>
      </w:r>
    </w:p>
    <w:p>
      <w:pPr>
        <w:pStyle w:val="ListParagraph"/>
        <w:numPr>
          <w:ilvl w:val="0"/>
          <w:numId w:val="2"/>
        </w:numPr>
        <w:spacing w:after="80" w:line="360"/>
      </w:pPr>
      <w:r>
        <w:rPr>
          <w:rFonts w:ascii="Arial" w:cs="Arial" w:eastAsia="Arial" w:hAnsi="Arial"/>
          <w:sz w:val="24"/>
          <w:szCs w:val="24"/>
        </w:rPr>
        <w:t xml:space="preserve">Google Forms — Free Online Form Builder. forms.google.com</w:t>
      </w:r>
    </w:p>
    <w:p>
      <w:pPr>
        <w:pStyle w:val="ListParagraph"/>
        <w:numPr>
          <w:ilvl w:val="0"/>
          <w:numId w:val="2"/>
        </w:numPr>
        <w:spacing w:after="80" w:line="360"/>
      </w:pPr>
      <w:r>
        <w:rPr>
          <w:rFonts w:ascii="Arial" w:cs="Arial" w:eastAsia="Arial" w:hAnsi="Arial"/>
          <w:sz w:val="24"/>
          <w:szCs w:val="24"/>
        </w:rPr>
        <w:t xml:space="preserve">National Cyber Crime Reporting Portal, Government of India. cybercrime.gov.in</w:t>
      </w:r>
    </w:p>
    <w:p>
      <w:pPr>
        <w:pStyle w:val="ListParagraph"/>
        <w:numPr>
          <w:ilvl w:val="0"/>
          <w:numId w:val="2"/>
        </w:numPr>
        <w:spacing w:after="80" w:line="360"/>
      </w:pPr>
      <w:r>
        <w:rPr>
          <w:rFonts w:ascii="Arial" w:cs="Arial" w:eastAsia="Arial" w:hAnsi="Arial"/>
          <w:sz w:val="24"/>
          <w:szCs w:val="24"/>
        </w:rPr>
        <w:t xml:space="preserve">National Payments Corporation of India — UPI Safety Guidelines. npci.org.in</w:t>
      </w:r>
    </w:p>
    <w:p>
      <w:pPr>
        <w:pStyle w:val="ListParagraph"/>
        <w:numPr>
          <w:ilvl w:val="0"/>
          <w:numId w:val="2"/>
        </w:numPr>
        <w:spacing w:after="80" w:line="360"/>
      </w:pPr>
      <w:r>
        <w:rPr>
          <w:rFonts w:ascii="Arial" w:cs="Arial" w:eastAsia="Arial" w:hAnsi="Arial"/>
          <w:sz w:val="24"/>
          <w:szCs w:val="24"/>
        </w:rPr>
        <w:t xml:space="preserve">Cyber Crime Helpline — 1930 (24x7 toll-free, Government of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40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2026-03-23T11:42:10.078Z</dcterms:created>
  <dcterms:modified xsi:type="dcterms:W3CDTF">2026-03-23T11:42:10.078Z</dcterms:modified>
</cp:coreProperties>
</file>

<file path=docProps/custom.xml><?xml version="1.0" encoding="utf-8"?>
<Properties xmlns="http://schemas.openxmlformats.org/officeDocument/2006/custom-properties" xmlns:vt="http://schemas.openxmlformats.org/officeDocument/2006/docPropsVTypes"/>
</file>