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Facility Safety Manual: Hazardous Materials Handling</w:t>
      </w:r>
    </w:p>
    <w:p>
      <w:pPr>
        <w:pStyle w:val="Heading2"/>
      </w:pPr>
      <w:r>
        <w:t>1. Policy Statement</w:t>
      </w:r>
    </w:p>
    <w:p>
      <w:r>
        <w:t xml:space="preserve">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w:t>
      </w:r>
    </w:p>
    <w:p>
      <w:r>
        <w:t xml:space="preserve">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w:t>
      </w:r>
    </w:p>
    <w:p>
      <w:r>
        <w:t xml:space="preserve">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w:t>
      </w:r>
    </w:p>
    <w:p>
      <w:r>
        <w:t xml:space="preserve">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w:t>
      </w:r>
    </w:p>
    <w:p>
      <w:r>
        <w:t xml:space="preserve">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w:t>
      </w:r>
    </w:p>
    <w:p>
      <w:r>
        <w:t xml:space="preserve">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w:t>
      </w:r>
    </w:p>
    <w:p>
      <w:r>
        <w:t xml:space="preserve">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w:t>
      </w:r>
    </w:p>
    <w:p>
      <w:r>
        <w:t xml:space="preserve">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w:t>
      </w:r>
    </w:p>
    <w:p>
      <w:r>
        <w:t xml:space="preserve">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w:t>
      </w:r>
    </w:p>
    <w:p>
      <w:r>
        <w:t xml:space="preserve">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w:t>
      </w:r>
    </w:p>
    <w:p>
      <w:r>
        <w:t xml:space="preserve">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w:t>
      </w:r>
    </w:p>
    <w:p>
      <w:r>
        <w:t xml:space="preserve">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w:t>
      </w:r>
    </w:p>
    <w:p>
      <w:r>
        <w:t xml:space="preserve">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w:t>
      </w:r>
    </w:p>
    <w:p>
      <w:r>
        <w:t xml:space="preserve">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w:t>
      </w:r>
    </w:p>
    <w:p>
      <w:r>
        <w:t xml:space="preserve">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The facility is committed to the safe handling, storage, and disposal of all hazardous materials in accordance with OSHA and EPA regulations. </w:t>
      </w:r>
    </w:p>
    <w:p>
      <w:pPr>
        <w:pStyle w:val="Heading2"/>
      </w:pPr>
      <w:r>
        <w:t>2. Chemical Storage</w:t>
      </w:r>
    </w:p>
    <w:p>
      <w:r>
        <w:t xml:space="preserve">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w:t>
      </w:r>
    </w:p>
    <w:p>
      <w:r>
        <w:t xml:space="preserve">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w:t>
      </w:r>
    </w:p>
    <w:p>
      <w:r>
        <w:t xml:space="preserve">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w:t>
      </w:r>
    </w:p>
    <w:p>
      <w:r>
        <w:t xml:space="preserve">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w:t>
      </w:r>
    </w:p>
    <w:p>
      <w:r>
        <w:t xml:space="preserve">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w:t>
      </w:r>
    </w:p>
    <w:p>
      <w:r>
        <w:t xml:space="preserve">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w:t>
      </w:r>
    </w:p>
    <w:p>
      <w:r>
        <w:t xml:space="preserve">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w:t>
      </w:r>
    </w:p>
    <w:p>
      <w:r>
        <w:t xml:space="preserve">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w:t>
      </w:r>
    </w:p>
    <w:p>
      <w:r>
        <w:t xml:space="preserve">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w:t>
      </w:r>
    </w:p>
    <w:p>
      <w:r>
        <w:t xml:space="preserve">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w:t>
      </w:r>
    </w:p>
    <w:p>
      <w:r>
        <w:t xml:space="preserve">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w:t>
      </w:r>
    </w:p>
    <w:p>
      <w:r>
        <w:t xml:space="preserve">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w:t>
      </w:r>
    </w:p>
    <w:p>
      <w:r>
        <w:t xml:space="preserve">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w:t>
      </w:r>
    </w:p>
    <w:p>
      <w:r>
        <w:t xml:space="preserve">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w:t>
      </w:r>
    </w:p>
    <w:p>
      <w:r>
        <w:t xml:space="preserve">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Incompatible chemicals must be stored in separate containment zones. Flammable liquids must be stored in grounding-equipped explosion-proof cabinets. </w:t>
      </w:r>
    </w:p>
    <w:p>
      <w:pPr>
        <w:pStyle w:val="Heading2"/>
      </w:pPr>
      <w:r>
        <w:t>3. Spill Response</w:t>
      </w:r>
    </w:p>
    <w:p>
      <w:r>
        <w:t xml:space="preserve">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w:t>
      </w:r>
    </w:p>
    <w:p>
      <w:r>
        <w:t xml:space="preserve">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w:t>
      </w:r>
    </w:p>
    <w:p>
      <w:r>
        <w:t xml:space="preserve">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w:t>
      </w:r>
    </w:p>
    <w:p>
      <w:r>
        <w:t xml:space="preserve">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w:t>
      </w:r>
    </w:p>
    <w:p>
      <w:r>
        <w:t xml:space="preserve">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w:t>
      </w:r>
    </w:p>
    <w:p>
      <w:r>
        <w:t xml:space="preserve">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w:t>
      </w:r>
    </w:p>
    <w:p>
      <w:r>
        <w:t xml:space="preserve">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w:t>
      </w:r>
    </w:p>
    <w:p>
      <w:r>
        <w:t xml:space="preserve">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w:t>
      </w:r>
    </w:p>
    <w:p>
      <w:r>
        <w:t xml:space="preserve">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w:t>
      </w:r>
    </w:p>
    <w:p>
      <w:r>
        <w:t xml:space="preserve">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w:t>
      </w:r>
    </w:p>
    <w:p>
      <w:r>
        <w:t xml:space="preserve">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w:t>
      </w:r>
    </w:p>
    <w:p>
      <w:r>
        <w:t xml:space="preserve">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w:t>
      </w:r>
    </w:p>
    <w:p>
      <w:r>
        <w:t xml:space="preserve">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w:t>
      </w:r>
    </w:p>
    <w:p>
      <w:r>
        <w:t xml:space="preserve">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w:t>
      </w:r>
    </w:p>
    <w:p>
      <w:r>
        <w:t xml:space="preserve">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In the event of a spill, immediately isolate the area. Use the universal absorbent pads located at Spill Station 4. Do not attempt to clean spills larger than 50 gallons without the HAZMAT team. </w:t>
      </w:r>
    </w:p>
    <w:p>
      <w:pPr>
        <w:pStyle w:val="Heading2"/>
      </w:pPr>
      <w:r>
        <w:t>4. Personal Protective Equipment (PPE)</w:t>
      </w:r>
    </w:p>
    <w:p>
      <w:r>
        <w:t xml:space="preserve">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w:t>
      </w:r>
    </w:p>
    <w:p>
      <w:r>
        <w:t xml:space="preserve">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w:t>
      </w:r>
    </w:p>
    <w:p>
      <w:r>
        <w:t xml:space="preserve">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w:t>
      </w:r>
    </w:p>
    <w:p>
      <w:r>
        <w:t xml:space="preserve">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w:t>
      </w:r>
    </w:p>
    <w:p>
      <w:r>
        <w:t xml:space="preserve">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w:t>
      </w:r>
    </w:p>
    <w:p>
      <w:r>
        <w:t xml:space="preserve">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w:t>
      </w:r>
    </w:p>
    <w:p>
      <w:r>
        <w:t xml:space="preserve">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w:t>
      </w:r>
    </w:p>
    <w:p>
      <w:r>
        <w:t xml:space="preserve">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w:t>
      </w:r>
    </w:p>
    <w:p>
      <w:r>
        <w:t xml:space="preserve">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w:t>
      </w:r>
    </w:p>
    <w:p>
      <w:r>
        <w:t xml:space="preserve">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w:t>
      </w:r>
    </w:p>
    <w:p>
      <w:r>
        <w:t xml:space="preserve">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w:t>
      </w:r>
    </w:p>
    <w:p>
      <w:r>
        <w:t xml:space="preserve">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w:t>
      </w:r>
    </w:p>
    <w:p>
      <w:r>
        <w:t xml:space="preserve">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w:t>
      </w:r>
    </w:p>
    <w:p>
      <w:r>
        <w:t xml:space="preserve">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w:t>
      </w:r>
    </w:p>
    <w:p>
      <w:r>
        <w:t xml:space="preserve">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Chemical splash goggles and nitrile gloves are mandatory when handling Class 3 flammable liquids or Class 8 corrosives. </w:t>
      </w:r>
    </w:p>
    <w:p>
      <w:pPr>
        <w:pStyle w:val="Heading2"/>
      </w:pPr>
      <w:r>
        <w:t>5. Training Requirements</w:t>
      </w:r>
    </w:p>
    <w:p>
      <w:r>
        <w:t xml:space="preserve">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w:t>
      </w:r>
    </w:p>
    <w:p>
      <w:r>
        <w:t xml:space="preserve">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w:t>
      </w:r>
    </w:p>
    <w:p>
      <w:r>
        <w:t xml:space="preserve">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w:t>
      </w:r>
    </w:p>
    <w:p>
      <w:r>
        <w:t xml:space="preserve">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w:t>
      </w:r>
    </w:p>
    <w:p>
      <w:r>
        <w:t xml:space="preserve">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w:t>
      </w:r>
    </w:p>
    <w:p>
      <w:r>
        <w:t xml:space="preserve">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w:t>
      </w:r>
    </w:p>
    <w:p>
      <w:r>
        <w:t xml:space="preserve">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w:t>
      </w:r>
    </w:p>
    <w:p>
      <w:r>
        <w:t xml:space="preserve">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w:t>
      </w:r>
    </w:p>
    <w:p>
      <w:r>
        <w:t xml:space="preserve">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w:t>
      </w:r>
    </w:p>
    <w:p>
      <w:r>
        <w:t xml:space="preserve">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w:t>
      </w:r>
    </w:p>
    <w:p>
      <w:r>
        <w:t xml:space="preserve">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w:t>
      </w:r>
    </w:p>
    <w:p>
      <w:r>
        <w:t xml:space="preserve">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w:t>
      </w:r>
    </w:p>
    <w:p>
      <w:r>
        <w:t xml:space="preserve">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w:t>
      </w:r>
    </w:p>
    <w:p>
      <w:r>
        <w:t xml:space="preserve">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w:t>
      </w:r>
    </w:p>
    <w:p>
      <w:r>
        <w:t xml:space="preserve">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All operators must complete the Hazardous Materials Handling Certification annually.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