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 Safety Standard</w:t>
      </w:r>
    </w:p>
    <w:p>
      <w:pPr>
        <w:pStyle w:val="Heading2"/>
      </w:pPr>
      <w:r>
        <w:t>Section 1</w:t>
      </w:r>
    </w:p>
    <w:p>
      <w:r>
        <w:t>All pressure vessels must be painted blue and inspected every 6 months. Operational pressure must not exceed 500 PSI.</w:t>
      </w:r>
    </w:p>
    <w:p>
      <w:pPr>
        <w:pStyle w:val="Heading2"/>
      </w:pPr>
      <w:r>
        <w:t>Section 2</w:t>
      </w:r>
    </w:p>
    <w:p>
      <w:r>
        <w:t>All operators must wear safety goggles and heavy gloves during manual operation.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