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SGB Digital Marketplace &amp; Partner Ecosystem Platform</w:t>
      </w:r>
    </w:p>
    <w:p>
      <w:pPr/>
      <w:r>
        <w:rPr>
          <w:b/>
        </w:rPr>
        <w:t xml:space="preserve">Theme Exploration, Business Workflow Analysis and Problem Statement</w:t>
      </w:r>
    </w:p>
    <w:p>
      <w:pPr/>
      <w:r>
        <w:t xml:space="preserve">Domain: Strategy, Growth &amp; Business (SGB) | Document type: Business and Solution Discovery Document | Version 1.0 | Status: Draft for Review</w:t>
      </w:r>
    </w:p>
    <w:p>
      <w:pPr/>
      <w:r>
        <w:t xml:space="preserve">Proposed technology stack: Angular, TypeScript, Spring Boot, PostgreSQL</w:t>
      </w:r>
    </w:p>
    <w:p>
      <w:pPr>
        <w:pStyle w:val="Heading2"/>
      </w:pPr>
      <w:r>
        <w:t xml:space="preserve">1. Document Purpose and Scope</w:t>
      </w:r>
    </w:p>
    <w:p>
      <w:pPr/>
      <w:r>
        <w:t xml:space="preserve">This document captures the discovery work for a digital marketplace and partner ecosystem platform in the Strategy, Growth &amp; Business (SGB) domain. It defines the theme, the business workflow, the roles involved, the target markets and end users, a set of candidate problem statements, a recommended primary problem statement, and a glossary of terms.</w:t>
      </w:r>
    </w:p>
    <w:p>
      <w:pPr/>
      <w:r>
        <w:t xml:space="preserve">It is intended as the foundation for requirements gathering, solution architecture, and project planning. It is deliberately technology-light: the stack is stated only to frame feasibility and architectural direction.</w:t>
      </w:r>
    </w:p>
    <w:p>
      <w:pPr/>
      <w:r>
        <w:rPr>
          <w:b/>
        </w:rPr>
        <w:t xml:space="preserve">In scope:</w:t>
      </w:r>
      <w:r>
        <w:t xml:space="preserve"> partner onboarding and lifecycle, digital catalog and listings, marketplace transactions, revenue sharing and settlement, partner performance and growth analytics, and platform governance.</w:t>
      </w:r>
    </w:p>
    <w:p>
      <w:pPr/>
      <w:r>
        <w:rPr>
          <w:b/>
        </w:rPr>
        <w:t xml:space="preserve">Out of scope (for this version):</w:t>
      </w:r>
      <w:r>
        <w:t xml:space="preserve"> physical logistics execution, proprietary payment gateway development (third-party gateways are integrated), and native mobile applications.</w:t>
      </w:r>
    </w:p>
    <w:p>
      <w:pPr>
        <w:pStyle w:val="Heading2"/>
      </w:pPr>
      <w:r>
        <w:t xml:space="preserve">2. Executive Summary</w:t>
      </w:r>
    </w:p>
    <w:p>
      <w:pPr/>
      <w:r>
        <w:t xml:space="preserve">Organizations pursuing growth increasingly rely on partners (resellers, system integrators, independent software vendors, referral partners and service providers) rather than direct sales alone. Partner-led growth expands reach and lowers customer acquisition cost, but it is typically managed through spreadsheets, email threads and disconnected tools. The result is slow onboarding, opaque commissions, weak visibility into partner performance and limited ability to steer strategy with data.</w:t>
      </w:r>
    </w:p>
    <w:p>
      <w:pPr/>
      <w:r>
        <w:t xml:space="preserve">The proposed platform is a unified, multi-tenant digital marketplace and partner ecosystem hub. It lets an organization (the Platform Owner) onboard and enable partners, publish and govern offerings, run transactions through a single marketplace, automate revenue sharing, and measure ecosystem health through strategy-grade analytics.</w:t>
      </w:r>
    </w:p>
    <w:p>
      <w:pPr>
        <w:pStyle w:val="Heading2"/>
      </w:pPr>
      <w:r>
        <w:t xml:space="preserve">3. Theme Overview</w:t>
      </w:r>
    </w:p>
    <w:p>
      <w:pPr>
        <w:pStyle w:val="Heading3"/>
      </w:pPr>
      <w:r>
        <w:t xml:space="preserve">3.1 Theme Statement</w:t>
      </w:r>
    </w:p>
    <w:p>
      <w:pPr/>
      <w:r>
        <w:rPr>
          <w:i/>
        </w:rPr>
        <w:t xml:space="preserve">Enable sustainable, partner-led business growth by providing a governed digital marketplace where partners, customers and the platform owner transact, collaborate and are measured on a single source of truth.</w:t>
      </w:r>
    </w:p>
    <w:p>
      <w:pPr>
        <w:pStyle w:val="Heading3"/>
      </w:pPr>
      <w:r>
        <w:t xml:space="preserve">3.2 Strategic Drivers</w:t>
      </w:r>
    </w:p>
    <w:p>
      <w:pPr>
        <w:pStyle w:val="ListParagraph"/>
        <w:numPr>
          <w:ilvl w:val="0"/>
          <w:numId w:val="2"/>
        </w:numPr>
      </w:pPr>
      <w:r>
        <w:rPr>
          <w:b/>
        </w:rPr>
        <w:t xml:space="preserve">Growth leverage:</w:t>
      </w:r>
      <w:r>
        <w:t xml:space="preserve"> reach new segments and geographies through partner networks without proportional headcount growth.</w:t>
      </w:r>
    </w:p>
    <w:p>
      <w:pPr>
        <w:pStyle w:val="ListParagraph"/>
        <w:numPr>
          <w:ilvl w:val="0"/>
          <w:numId w:val="2"/>
        </w:numPr>
      </w:pPr>
      <w:r>
        <w:rPr>
          <w:b/>
        </w:rPr>
        <w:t xml:space="preserve">Revenue diversification:</w:t>
      </w:r>
      <w:r>
        <w:t xml:space="preserve"> add third-party and co-sold offerings alongside first-party products.</w:t>
      </w:r>
    </w:p>
    <w:p>
      <w:pPr>
        <w:pStyle w:val="ListParagraph"/>
        <w:numPr>
          <w:ilvl w:val="0"/>
          <w:numId w:val="2"/>
        </w:numPr>
      </w:pPr>
      <w:r>
        <w:rPr>
          <w:b/>
        </w:rPr>
        <w:t xml:space="preserve">Operational efficiency:</w:t>
      </w:r>
      <w:r>
        <w:t xml:space="preserve"> replace manual partner administration with automated, auditable workflows.</w:t>
      </w:r>
    </w:p>
    <w:p>
      <w:pPr>
        <w:pStyle w:val="ListParagraph"/>
        <w:numPr>
          <w:ilvl w:val="0"/>
          <w:numId w:val="2"/>
        </w:numPr>
      </w:pPr>
      <w:r>
        <w:rPr>
          <w:b/>
        </w:rPr>
        <w:t xml:space="preserve">Strategic visibility:</w:t>
      </w:r>
      <w:r>
        <w:t xml:space="preserve"> give leadership real-time insight into which partners, products and regions drive growth.</w:t>
      </w:r>
    </w:p>
    <w:p>
      <w:pPr>
        <w:pStyle w:val="ListParagraph"/>
        <w:numPr>
          <w:ilvl w:val="0"/>
          <w:numId w:val="2"/>
        </w:numPr>
      </w:pPr>
      <w:r>
        <w:rPr>
          <w:b/>
        </w:rPr>
        <w:t xml:space="preserve">Ecosystem stickiness:</w:t>
      </w:r>
      <w:r>
        <w:t xml:space="preserve"> raise partner loyalty through transparent incentives, tiering and enablement.</w:t>
      </w:r>
    </w:p>
    <w:p>
      <w:pPr>
        <w:pStyle w:val="Heading3"/>
      </w:pPr>
      <w:r>
        <w:t xml:space="preserve">3.3 Theme Pillars</w:t>
      </w:r>
    </w:p>
    <w:tbl>
      <w:tblPr>
        <w:tblStyle w:val="TableGrid"/>
        <w:tblW w:w="0" w:type="auto"/>
        <w:tblLayout w:type="fixed"/>
        <w:tblLook w:val="04A0" w:firstRow="1" w:lastRow="0" w:firstColumn="0" w:lastColumn="0" w:noHBand="0" w:noVBand="1"/>
      </w:tblPr>
      <w:tblGrid>
        <w:gridCol w:w="2974"/>
        <w:gridCol w:w="3804"/>
        <w:gridCol w:w="2581"/>
      </w:tblGrid>
      <w:tr>
        <w:trPr>
          <w:tblHeader/>
        </w:trPr>
        <w:tc>
          <w:tcPr>
            <w:tcW w:w="2974" w:type="dxa"/>
            <w:shd w:val="clear" w:color="auto" w:fill="F2F2F2"/>
          </w:tcPr>
          <w:p>
            <w:pPr/>
            <w:r>
              <w:t xml:space="preserve">Pillar</w:t>
            </w:r>
          </w:p>
        </w:tc>
        <w:tc>
          <w:tcPr>
            <w:tcW w:w="3804" w:type="dxa"/>
            <w:shd w:val="clear" w:color="auto" w:fill="F2F2F2"/>
          </w:tcPr>
          <w:p>
            <w:pPr/>
            <w:r>
              <w:t xml:space="preserve">Description</w:t>
            </w:r>
          </w:p>
        </w:tc>
        <w:tc>
          <w:tcPr>
            <w:tcW w:w="2581" w:type="dxa"/>
            <w:shd w:val="clear" w:color="auto" w:fill="F2F2F2"/>
          </w:tcPr>
          <w:p>
            <w:pPr/>
            <w:r>
              <w:t xml:space="preserve">Outcome</w:t>
            </w:r>
          </w:p>
        </w:tc>
      </w:tr>
      <w:tr>
        <w:tc>
          <w:tcPr>
            <w:tcW w:w="2974" w:type="dxa"/>
          </w:tcPr>
          <w:p>
            <w:pPr/>
            <w:r>
              <w:t xml:space="preserve">Partner Lifecycle</w:t>
            </w:r>
          </w:p>
        </w:tc>
        <w:tc>
          <w:tcPr>
            <w:tcW w:w="3804" w:type="dxa"/>
          </w:tcPr>
          <w:p>
            <w:pPr/>
            <w:r>
              <w:t xml:space="preserve">Recruit, onboard, certify, tier and retain partners</w:t>
            </w:r>
          </w:p>
        </w:tc>
        <w:tc>
          <w:tcPr>
            <w:tcW w:w="2581" w:type="dxa"/>
          </w:tcPr>
          <w:p>
            <w:pPr/>
            <w:r>
              <w:t xml:space="preserve">Faster time-to-first-sale</w:t>
            </w:r>
          </w:p>
        </w:tc>
      </w:tr>
      <w:tr>
        <w:tc>
          <w:tcPr>
            <w:tcW w:w="2974" w:type="dxa"/>
          </w:tcPr>
          <w:p>
            <w:pPr/>
            <w:r>
              <w:t xml:space="preserve">Digital Marketplace</w:t>
            </w:r>
          </w:p>
        </w:tc>
        <w:tc>
          <w:tcPr>
            <w:tcW w:w="3804" w:type="dxa"/>
          </w:tcPr>
          <w:p>
            <w:pPr/>
            <w:r>
              <w:t xml:space="preserve">Unified catalog, listings, pricing and ordering</w:t>
            </w:r>
          </w:p>
        </w:tc>
        <w:tc>
          <w:tcPr>
            <w:tcW w:w="2581" w:type="dxa"/>
          </w:tcPr>
          <w:p>
            <w:pPr/>
            <w:r>
              <w:t xml:space="preserve">Single storefront for the ecosystem</w:t>
            </w:r>
          </w:p>
        </w:tc>
      </w:tr>
      <w:tr>
        <w:tc>
          <w:tcPr>
            <w:tcW w:w="2974" w:type="dxa"/>
          </w:tcPr>
          <w:p>
            <w:pPr/>
            <w:r>
              <w:t xml:space="preserve">Incentives and Settlement</w:t>
            </w:r>
          </w:p>
        </w:tc>
        <w:tc>
          <w:tcPr>
            <w:tcW w:w="3804" w:type="dxa"/>
          </w:tcPr>
          <w:p>
            <w:pPr/>
            <w:r>
              <w:t xml:space="preserve">Commissions, rebates, MDF, revenue share, payouts</w:t>
            </w:r>
          </w:p>
        </w:tc>
        <w:tc>
          <w:tcPr>
            <w:tcW w:w="2581" w:type="dxa"/>
          </w:tcPr>
          <w:p>
            <w:pPr/>
            <w:r>
              <w:t xml:space="preserve">Transparent, accurate partner payments</w:t>
            </w:r>
          </w:p>
        </w:tc>
      </w:tr>
      <w:tr>
        <w:tc>
          <w:tcPr>
            <w:tcW w:w="2974" w:type="dxa"/>
          </w:tcPr>
          <w:p>
            <w:pPr/>
            <w:r>
              <w:t xml:space="preserve">Growth Intelligence</w:t>
            </w:r>
          </w:p>
        </w:tc>
        <w:tc>
          <w:tcPr>
            <w:tcW w:w="3804" w:type="dxa"/>
          </w:tcPr>
          <w:p>
            <w:pPr/>
            <w:r>
              <w:t xml:space="preserve">KPIs, forecasting, segmentation, health scoring</w:t>
            </w:r>
          </w:p>
        </w:tc>
        <w:tc>
          <w:tcPr>
            <w:tcW w:w="2581" w:type="dxa"/>
          </w:tcPr>
          <w:p>
            <w:pPr/>
            <w:r>
              <w:t xml:space="preserve">Data-driven strategic decisions</w:t>
            </w:r>
          </w:p>
        </w:tc>
      </w:tr>
      <w:tr>
        <w:tc>
          <w:tcPr>
            <w:tcW w:w="2974" w:type="dxa"/>
          </w:tcPr>
          <w:p>
            <w:pPr/>
            <w:r>
              <w:t xml:space="preserve">Governance and Trust</w:t>
            </w:r>
          </w:p>
        </w:tc>
        <w:tc>
          <w:tcPr>
            <w:tcW w:w="3804" w:type="dxa"/>
          </w:tcPr>
          <w:p>
            <w:pPr/>
            <w:r>
              <w:t xml:space="preserve">Compliance, contracts, audit, access control</w:t>
            </w:r>
          </w:p>
        </w:tc>
        <w:tc>
          <w:tcPr>
            <w:tcW w:w="2581" w:type="dxa"/>
          </w:tcPr>
          <w:p>
            <w:pPr/>
            <w:r>
              <w:t xml:space="preserve">Reduced risk and disputes</w:t>
            </w:r>
          </w:p>
        </w:tc>
      </w:tr>
    </w:tbl>
    <w:p>
      <w:pPr>
        <w:pStyle w:val="Heading3"/>
      </w:pPr>
      <w:r>
        <w:t xml:space="preserve">3.4 Business Value Hypotheses</w:t>
      </w:r>
    </w:p>
    <w:p>
      <w:pPr>
        <w:pStyle w:val="ListParagraph"/>
        <w:numPr>
          <w:ilvl w:val="0"/>
          <w:numId w:val="3"/>
        </w:numPr>
      </w:pPr>
      <w:r>
        <w:t xml:space="preserve">Reducing partner onboarding from weeks to days increases active partners within the first two quarters.</w:t>
      </w:r>
    </w:p>
    <w:p>
      <w:pPr>
        <w:pStyle w:val="ListParagraph"/>
        <w:numPr>
          <w:ilvl w:val="0"/>
          <w:numId w:val="3"/>
        </w:numPr>
      </w:pPr>
      <w:r>
        <w:t xml:space="preserve">Automated commission calculation removes the majority of payout disputes and finance reconciliation effort.</w:t>
      </w:r>
    </w:p>
    <w:p>
      <w:pPr>
        <w:pStyle w:val="ListParagraph"/>
        <w:numPr>
          <w:ilvl w:val="0"/>
          <w:numId w:val="3"/>
        </w:numPr>
      </w:pPr>
      <w:r>
        <w:t xml:space="preserve">Performance-based tiering raises partner engagement and average partner-sourced revenue.</w:t>
      </w:r>
    </w:p>
    <w:p>
      <w:pPr>
        <w:pStyle w:val="ListParagraph"/>
        <w:numPr>
          <w:ilvl w:val="0"/>
          <w:numId w:val="3"/>
        </w:numPr>
      </w:pPr>
      <w:r>
        <w:t xml:space="preserve">A single catalog and pricing authority lowers listing errors and channel conflict.</w:t>
      </w:r>
    </w:p>
    <w:p>
      <w:pPr>
        <w:pStyle w:val="Heading2"/>
      </w:pPr>
      <w:r>
        <w:t xml:space="preserve">4. Core Functions, Products and Business Workflow</w:t>
      </w:r>
    </w:p>
    <w:p>
      <w:pPr>
        <w:pStyle w:val="Heading3"/>
      </w:pPr>
      <w:r>
        <w:t xml:space="preserve">4.1 Functional Domains</w:t>
      </w:r>
    </w:p>
    <w:p>
      <w:pPr/>
      <w:r>
        <w:rPr>
          <w:b/>
        </w:rPr>
        <w:t xml:space="preserve">A. Partner Management</w:t>
      </w:r>
    </w:p>
    <w:p>
      <w:pPr>
        <w:pStyle w:val="ListParagraph"/>
        <w:numPr>
          <w:ilvl w:val="0"/>
          <w:numId w:val="4"/>
        </w:numPr>
      </w:pPr>
      <w:r>
        <w:t xml:space="preserve">Partner registration, KYC and due-diligence capture</w:t>
      </w:r>
    </w:p>
    <w:p>
      <w:pPr>
        <w:pStyle w:val="ListParagraph"/>
        <w:numPr>
          <w:ilvl w:val="0"/>
          <w:numId w:val="4"/>
        </w:numPr>
      </w:pPr>
      <w:r>
        <w:t xml:space="preserve">Contract and agreement management with e-acceptance</w:t>
      </w:r>
    </w:p>
    <w:p>
      <w:pPr>
        <w:pStyle w:val="ListParagraph"/>
        <w:numPr>
          <w:ilvl w:val="0"/>
          <w:numId w:val="4"/>
        </w:numPr>
      </w:pPr>
      <w:r>
        <w:t xml:space="preserve">Partner programs, tiers and benefits configuration</w:t>
      </w:r>
    </w:p>
    <w:p>
      <w:pPr>
        <w:pStyle w:val="ListParagraph"/>
        <w:numPr>
          <w:ilvl w:val="0"/>
          <w:numId w:val="4"/>
        </w:numPr>
      </w:pPr>
      <w:r>
        <w:t xml:space="preserve">Enablement: training, certification tracking, resource library</w:t>
      </w:r>
    </w:p>
    <w:p>
      <w:pPr>
        <w:pStyle w:val="ListParagraph"/>
        <w:numPr>
          <w:ilvl w:val="0"/>
          <w:numId w:val="4"/>
        </w:numPr>
      </w:pPr>
      <w:r>
        <w:t xml:space="preserve">Partner profile, territory and capability tagging</w:t>
      </w:r>
    </w:p>
    <w:p>
      <w:pPr/>
      <w:r>
        <w:rPr>
          <w:b/>
        </w:rPr>
        <w:t xml:space="preserve">B. Marketplace and Catalog</w:t>
      </w:r>
    </w:p>
    <w:p>
      <w:pPr>
        <w:pStyle w:val="ListParagraph"/>
        <w:numPr>
          <w:ilvl w:val="0"/>
          <w:numId w:val="5"/>
        </w:numPr>
      </w:pPr>
      <w:r>
        <w:t xml:space="preserve">Product and service catalog with versioning and approval workflow</w:t>
      </w:r>
    </w:p>
    <w:p>
      <w:pPr>
        <w:pStyle w:val="ListParagraph"/>
        <w:numPr>
          <w:ilvl w:val="0"/>
          <w:numId w:val="5"/>
        </w:numPr>
      </w:pPr>
      <w:r>
        <w:t xml:space="preserve">Partner-submitted listings with moderation</w:t>
      </w:r>
    </w:p>
    <w:p>
      <w:pPr>
        <w:pStyle w:val="ListParagraph"/>
        <w:numPr>
          <w:ilvl w:val="0"/>
          <w:numId w:val="5"/>
        </w:numPr>
      </w:pPr>
      <w:r>
        <w:t xml:space="preserve">Pricing rules: list price, partner price, volume discounts, regional pricing</w:t>
      </w:r>
    </w:p>
    <w:p>
      <w:pPr>
        <w:pStyle w:val="ListParagraph"/>
        <w:numPr>
          <w:ilvl w:val="0"/>
          <w:numId w:val="5"/>
        </w:numPr>
      </w:pPr>
      <w:r>
        <w:t xml:space="preserve">Search, filtering, comparison and recommendation</w:t>
      </w:r>
    </w:p>
    <w:p>
      <w:pPr>
        <w:pStyle w:val="ListParagraph"/>
        <w:numPr>
          <w:ilvl w:val="0"/>
          <w:numId w:val="5"/>
        </w:numPr>
      </w:pPr>
      <w:r>
        <w:t xml:space="preserve">Bundles and co-sell offers</w:t>
      </w:r>
    </w:p>
    <w:p>
      <w:pPr/>
      <w:r>
        <w:rPr>
          <w:b/>
        </w:rPr>
        <w:t xml:space="preserve">C. Opportunity and Order Management</w:t>
      </w:r>
    </w:p>
    <w:p>
      <w:pPr>
        <w:pStyle w:val="ListParagraph"/>
        <w:numPr>
          <w:ilvl w:val="0"/>
          <w:numId w:val="6"/>
        </w:numPr>
      </w:pPr>
      <w:r>
        <w:t xml:space="preserve">Lead and opportunity registration with deal protection rules</w:t>
      </w:r>
    </w:p>
    <w:p>
      <w:pPr>
        <w:pStyle w:val="ListParagraph"/>
        <w:numPr>
          <w:ilvl w:val="0"/>
          <w:numId w:val="6"/>
        </w:numPr>
      </w:pPr>
      <w:r>
        <w:t xml:space="preserve">Quotation, order placement, approval and fulfillment tracking</w:t>
      </w:r>
    </w:p>
    <w:p>
      <w:pPr>
        <w:pStyle w:val="ListParagraph"/>
        <w:numPr>
          <w:ilvl w:val="0"/>
          <w:numId w:val="6"/>
        </w:numPr>
      </w:pPr>
      <w:r>
        <w:t xml:space="preserve">Subscription and renewal handling</w:t>
      </w:r>
    </w:p>
    <w:p>
      <w:pPr>
        <w:pStyle w:val="ListParagraph"/>
        <w:numPr>
          <w:ilvl w:val="0"/>
          <w:numId w:val="6"/>
        </w:numPr>
      </w:pPr>
      <w:r>
        <w:t xml:space="preserve">Returns, cancellations and amendments</w:t>
      </w:r>
    </w:p>
    <w:p>
      <w:pPr/>
      <w:r>
        <w:rPr>
          <w:b/>
        </w:rPr>
        <w:t xml:space="preserve">D. Incentives, Commission and Settlement</w:t>
      </w:r>
    </w:p>
    <w:p>
      <w:pPr>
        <w:pStyle w:val="ListParagraph"/>
        <w:numPr>
          <w:ilvl w:val="0"/>
          <w:numId w:val="7"/>
        </w:numPr>
      </w:pPr>
      <w:r>
        <w:t xml:space="preserve">Configurable commission and rebate rules by tier, product and region</w:t>
      </w:r>
    </w:p>
    <w:p>
      <w:pPr>
        <w:pStyle w:val="ListParagraph"/>
        <w:numPr>
          <w:ilvl w:val="0"/>
          <w:numId w:val="7"/>
        </w:numPr>
      </w:pPr>
      <w:r>
        <w:t xml:space="preserve">Revenue-share computation and statements</w:t>
      </w:r>
    </w:p>
    <w:p>
      <w:pPr>
        <w:pStyle w:val="ListParagraph"/>
        <w:numPr>
          <w:ilvl w:val="0"/>
          <w:numId w:val="7"/>
        </w:numPr>
      </w:pPr>
      <w:r>
        <w:t xml:space="preserve">Market Development Fund (MDF) requests, approvals and claims</w:t>
      </w:r>
    </w:p>
    <w:p>
      <w:pPr>
        <w:pStyle w:val="ListParagraph"/>
        <w:numPr>
          <w:ilvl w:val="0"/>
          <w:numId w:val="7"/>
        </w:numPr>
      </w:pPr>
      <w:r>
        <w:t xml:space="preserve">Invoicing, payout scheduling and reconciliation with finance systems</w:t>
      </w:r>
    </w:p>
    <w:p>
      <w:pPr/>
      <w:r>
        <w:rPr>
          <w:b/>
        </w:rPr>
        <w:t xml:space="preserve">E. Analytics and Strategy</w:t>
      </w:r>
    </w:p>
    <w:p>
      <w:pPr>
        <w:pStyle w:val="ListParagraph"/>
        <w:numPr>
          <w:ilvl w:val="0"/>
          <w:numId w:val="8"/>
        </w:numPr>
      </w:pPr>
      <w:r>
        <w:t xml:space="preserve">Partner performance scorecards and health index</w:t>
      </w:r>
    </w:p>
    <w:p>
      <w:pPr>
        <w:pStyle w:val="ListParagraph"/>
        <w:numPr>
          <w:ilvl w:val="0"/>
          <w:numId w:val="8"/>
        </w:numPr>
      </w:pPr>
      <w:r>
        <w:t xml:space="preserve">Pipeline, conversion and revenue dashboards</w:t>
      </w:r>
    </w:p>
    <w:p>
      <w:pPr>
        <w:pStyle w:val="ListParagraph"/>
        <w:numPr>
          <w:ilvl w:val="0"/>
          <w:numId w:val="8"/>
        </w:numPr>
      </w:pPr>
      <w:r>
        <w:t xml:space="preserve">Segment, region and product growth analysis</w:t>
      </w:r>
    </w:p>
    <w:p>
      <w:pPr>
        <w:pStyle w:val="ListParagraph"/>
        <w:numPr>
          <w:ilvl w:val="0"/>
          <w:numId w:val="8"/>
        </w:numPr>
      </w:pPr>
      <w:r>
        <w:t xml:space="preserve">Forecasting and what-if scenarios for incentive design</w:t>
      </w:r>
    </w:p>
    <w:p>
      <w:pPr/>
      <w:r>
        <w:rPr>
          <w:b/>
        </w:rPr>
        <w:t xml:space="preserve">F. Platform Administration and Governance</w:t>
      </w:r>
    </w:p>
    <w:p>
      <w:pPr>
        <w:pStyle w:val="ListParagraph"/>
        <w:numPr>
          <w:ilvl w:val="0"/>
          <w:numId w:val="9"/>
        </w:numPr>
      </w:pPr>
      <w:r>
        <w:t xml:space="preserve">Role-based access control and tenant configuration</w:t>
      </w:r>
    </w:p>
    <w:p>
      <w:pPr>
        <w:pStyle w:val="ListParagraph"/>
        <w:numPr>
          <w:ilvl w:val="0"/>
          <w:numId w:val="9"/>
        </w:numPr>
      </w:pPr>
      <w:r>
        <w:t xml:space="preserve">Workflow and approval engine</w:t>
      </w:r>
    </w:p>
    <w:p>
      <w:pPr>
        <w:pStyle w:val="ListParagraph"/>
        <w:numPr>
          <w:ilvl w:val="0"/>
          <w:numId w:val="9"/>
        </w:numPr>
      </w:pPr>
      <w:r>
        <w:t xml:space="preserve">Notifications, audit trail and compliance reporting</w:t>
      </w:r>
    </w:p>
    <w:p>
      <w:pPr>
        <w:pStyle w:val="ListParagraph"/>
        <w:numPr>
          <w:ilvl w:val="0"/>
          <w:numId w:val="9"/>
        </w:numPr>
      </w:pPr>
      <w:r>
        <w:t xml:space="preserve">Integration layer: CRM, ERP, payment gateways, identity providers</w:t>
      </w:r>
    </w:p>
    <w:p>
      <w:pPr>
        <w:pStyle w:val="Heading3"/>
      </w:pPr>
      <w:r>
        <w:t xml:space="preserve">4.2 End-to-End Business Workflow</w:t>
      </w:r>
    </w:p>
    <w:p>
      <w:pPr/>
      <w:r>
        <w:t xml:space="preserve">The primary value chain runs through seven stages:</w:t>
      </w:r>
    </w:p>
    <w:p>
      <w:pPr>
        <w:pStyle w:val="ListParagraph"/>
        <w:numPr>
          <w:ilvl w:val="0"/>
          <w:numId w:val="10"/>
        </w:numPr>
      </w:pPr>
      <w:r>
        <w:rPr>
          <w:b/>
        </w:rPr>
        <w:t xml:space="preserve">Recruit and Apply.</w:t>
      </w:r>
      <w:r>
        <w:t xml:space="preserve"> A prospective partner discovers the program and submits an application with business details and documents.</w:t>
      </w:r>
    </w:p>
    <w:p>
      <w:pPr>
        <w:pStyle w:val="ListParagraph"/>
        <w:numPr>
          <w:ilvl w:val="0"/>
          <w:numId w:val="10"/>
        </w:numPr>
      </w:pPr>
      <w:r>
        <w:rPr>
          <w:b/>
        </w:rPr>
        <w:t xml:space="preserve">Evaluate and Approve.</w:t>
      </w:r>
      <w:r>
        <w:t xml:space="preserve"> The Partner Manager reviews due diligence results; Compliance validates; the partner is approved, rejected or sent back for information.</w:t>
      </w:r>
    </w:p>
    <w:p>
      <w:pPr>
        <w:pStyle w:val="ListParagraph"/>
        <w:numPr>
          <w:ilvl w:val="0"/>
          <w:numId w:val="10"/>
        </w:numPr>
      </w:pPr>
      <w:r>
        <w:rPr>
          <w:b/>
        </w:rPr>
        <w:t xml:space="preserve">Onboard and Enable.</w:t>
      </w:r>
      <w:r>
        <w:t xml:space="preserve"> The partner accepts the agreement, completes profile setup and mandatory training, and is assigned a tier and territory.</w:t>
      </w:r>
    </w:p>
    <w:p>
      <w:pPr>
        <w:pStyle w:val="ListParagraph"/>
        <w:numPr>
          <w:ilvl w:val="0"/>
          <w:numId w:val="10"/>
        </w:numPr>
      </w:pPr>
      <w:r>
        <w:rPr>
          <w:b/>
        </w:rPr>
        <w:t xml:space="preserve">List and Publish.</w:t>
      </w:r>
      <w:r>
        <w:t xml:space="preserve"> The partner submits offerings or selects products to resell; the Catalog Manager reviews and approves; listings go live on the marketplace.</w:t>
      </w:r>
    </w:p>
    <w:p>
      <w:pPr>
        <w:pStyle w:val="ListParagraph"/>
        <w:numPr>
          <w:ilvl w:val="0"/>
          <w:numId w:val="10"/>
        </w:numPr>
      </w:pPr>
      <w:r>
        <w:rPr>
          <w:b/>
        </w:rPr>
        <w:t xml:space="preserve">Sell and Transact.</w:t>
      </w:r>
      <w:r>
        <w:t xml:space="preserve"> Customers browse, request quotes or purchase. Partners register opportunities, generate quotes and process orders. Approvals trigger for non-standard discounts.</w:t>
      </w:r>
    </w:p>
    <w:p>
      <w:pPr>
        <w:pStyle w:val="ListParagraph"/>
        <w:numPr>
          <w:ilvl w:val="0"/>
          <w:numId w:val="10"/>
        </w:numPr>
      </w:pPr>
      <w:r>
        <w:rPr>
          <w:b/>
        </w:rPr>
        <w:t xml:space="preserve">Fulfill and Settle.</w:t>
      </w:r>
      <w:r>
        <w:t xml:space="preserve"> Orders are fulfilled; the system computes commissions and revenue share, generates statements, and Finance releases payouts.</w:t>
      </w:r>
    </w:p>
    <w:p>
      <w:pPr>
        <w:pStyle w:val="ListParagraph"/>
        <w:numPr>
          <w:ilvl w:val="0"/>
          <w:numId w:val="10"/>
        </w:numPr>
      </w:pPr>
      <w:r>
        <w:rPr>
          <w:b/>
        </w:rPr>
        <w:t xml:space="preserve">Measure and Optimize.</w:t>
      </w:r>
      <w:r>
        <w:t xml:space="preserve"> Analytics feed quarterly business reviews. Strategy teams adjust tiers, incentives and focus segments; underperforming partners enter improvement plans.</w:t>
      </w:r>
    </w:p>
    <w:p>
      <w:pPr>
        <w:pStyle w:val="Heading3"/>
      </w:pPr>
      <w:r>
        <w:t xml:space="preserve">4.3 Key Business Rules (Illustrative)</w:t>
      </w:r>
    </w:p>
    <w:p>
      <w:pPr>
        <w:pStyle w:val="ListParagraph"/>
        <w:numPr>
          <w:ilvl w:val="0"/>
          <w:numId w:val="11"/>
        </w:numPr>
      </w:pPr>
      <w:r>
        <w:t xml:space="preserve">A partner may sell only products within its approved categories and territories.</w:t>
      </w:r>
    </w:p>
    <w:p>
      <w:pPr>
        <w:pStyle w:val="ListParagraph"/>
        <w:numPr>
          <w:ilvl w:val="0"/>
          <w:numId w:val="11"/>
        </w:numPr>
      </w:pPr>
      <w:r>
        <w:t xml:space="preserve">Deal registration grants a protection window; conflicting registrations are escalated to the Channel Manager.</w:t>
      </w:r>
    </w:p>
    <w:p>
      <w:pPr>
        <w:pStyle w:val="ListParagraph"/>
        <w:numPr>
          <w:ilvl w:val="0"/>
          <w:numId w:val="11"/>
        </w:numPr>
      </w:pPr>
      <w:r>
        <w:t xml:space="preserve">Discounts above a configured threshold require multi-level approval.</w:t>
      </w:r>
    </w:p>
    <w:p>
      <w:pPr>
        <w:pStyle w:val="ListParagraph"/>
        <w:numPr>
          <w:ilvl w:val="0"/>
          <w:numId w:val="11"/>
        </w:numPr>
      </w:pPr>
      <w:r>
        <w:t xml:space="preserve">Commission is calculated on net recognized revenue and is reversed on cancellation or refund within the clawback period.</w:t>
      </w:r>
    </w:p>
    <w:p>
      <w:pPr>
        <w:pStyle w:val="ListParagraph"/>
        <w:numPr>
          <w:ilvl w:val="0"/>
          <w:numId w:val="11"/>
        </w:numPr>
      </w:pPr>
      <w:r>
        <w:t xml:space="preserve">Partner tier is re-evaluated each quarter against configured performance criteria.</w:t>
      </w:r>
    </w:p>
    <w:p>
      <w:pPr>
        <w:pStyle w:val="ListParagraph"/>
        <w:numPr>
          <w:ilvl w:val="0"/>
          <w:numId w:val="11"/>
        </w:numPr>
      </w:pPr>
      <w:r>
        <w:t xml:space="preserve">All financial and contractual changes are recorded in an immutable audit trail.</w:t>
      </w:r>
    </w:p>
    <w:p>
      <w:pPr>
        <w:pStyle w:val="Heading3"/>
      </w:pPr>
      <w:r>
        <w:t xml:space="preserve">4.4 Indicative Solution Architecture</w:t>
      </w:r>
    </w:p>
    <w:tbl>
      <w:tblPr>
        <w:tblStyle w:val="TableGrid"/>
        <w:tblW w:w="0" w:type="auto"/>
        <w:tblLayout w:type="fixed"/>
        <w:tblLook w:val="04A0" w:firstRow="1" w:lastRow="0" w:firstColumn="0" w:lastColumn="0" w:noHBand="0" w:noVBand="1"/>
      </w:tblPr>
      <w:tblGrid>
        <w:gridCol w:w="2766"/>
        <w:gridCol w:w="2144"/>
        <w:gridCol w:w="4450"/>
      </w:tblGrid>
      <w:tr>
        <w:trPr>
          <w:tblHeader/>
        </w:trPr>
        <w:tc>
          <w:tcPr>
            <w:tcW w:w="2766" w:type="dxa"/>
            <w:shd w:val="clear" w:color="auto" w:fill="F2F2F2"/>
          </w:tcPr>
          <w:p>
            <w:pPr/>
            <w:r>
              <w:t xml:space="preserve">Layer</w:t>
            </w:r>
          </w:p>
        </w:tc>
        <w:tc>
          <w:tcPr>
            <w:tcW w:w="2144" w:type="dxa"/>
            <w:shd w:val="clear" w:color="auto" w:fill="F2F2F2"/>
          </w:tcPr>
          <w:p>
            <w:pPr/>
            <w:r>
              <w:t xml:space="preserve">Technology</w:t>
            </w:r>
          </w:p>
        </w:tc>
        <w:tc>
          <w:tcPr>
            <w:tcW w:w="4450" w:type="dxa"/>
            <w:shd w:val="clear" w:color="auto" w:fill="F2F2F2"/>
          </w:tcPr>
          <w:p>
            <w:pPr/>
            <w:r>
              <w:t xml:space="preserve">Responsibility</w:t>
            </w:r>
          </w:p>
        </w:tc>
      </w:tr>
      <w:tr>
        <w:tc>
          <w:tcPr>
            <w:tcW w:w="2766" w:type="dxa"/>
          </w:tcPr>
          <w:p>
            <w:pPr/>
            <w:r>
              <w:t xml:space="preserve">Presentation</w:t>
            </w:r>
          </w:p>
        </w:tc>
        <w:tc>
          <w:tcPr>
            <w:tcW w:w="2144" w:type="dxa"/>
          </w:tcPr>
          <w:p>
            <w:pPr/>
            <w:r>
              <w:t xml:space="preserve">Angular with TypeScript</w:t>
            </w:r>
          </w:p>
        </w:tc>
        <w:tc>
          <w:tcPr>
            <w:tcW w:w="4450" w:type="dxa"/>
          </w:tcPr>
          <w:p>
            <w:pPr/>
            <w:r>
              <w:t xml:space="preserve">Role-aware portals for partners, customers, internal teams; reactive forms; state management; dashboards</w:t>
            </w:r>
          </w:p>
        </w:tc>
      </w:tr>
      <w:tr>
        <w:tc>
          <w:tcPr>
            <w:tcW w:w="2766" w:type="dxa"/>
          </w:tcPr>
          <w:p>
            <w:pPr/>
            <w:r>
              <w:t xml:space="preserve">API and Business Logic</w:t>
            </w:r>
          </w:p>
        </w:tc>
        <w:tc>
          <w:tcPr>
            <w:tcW w:w="2144" w:type="dxa"/>
          </w:tcPr>
          <w:p>
            <w:pPr/>
            <w:r>
              <w:t xml:space="preserve">Spring Boot (REST, Spring Security, Spring Data JPA)</w:t>
            </w:r>
          </w:p>
        </w:tc>
        <w:tc>
          <w:tcPr>
            <w:tcW w:w="4450" w:type="dxa"/>
          </w:tcPr>
          <w:p>
            <w:pPr/>
            <w:r>
              <w:t xml:space="preserve">Domain services, workflow engine, pricing and commission engines, validation</w:t>
            </w:r>
          </w:p>
        </w:tc>
      </w:tr>
      <w:tr>
        <w:tc>
          <w:tcPr>
            <w:tcW w:w="2766" w:type="dxa"/>
          </w:tcPr>
          <w:p>
            <w:pPr/>
            <w:r>
              <w:t xml:space="preserve">Data</w:t>
            </w:r>
          </w:p>
        </w:tc>
        <w:tc>
          <w:tcPr>
            <w:tcW w:w="2144" w:type="dxa"/>
          </w:tcPr>
          <w:p>
            <w:pPr/>
            <w:r>
              <w:t xml:space="preserve">PostgreSQL</w:t>
            </w:r>
          </w:p>
        </w:tc>
        <w:tc>
          <w:tcPr>
            <w:tcW w:w="4450" w:type="dxa"/>
          </w:tcPr>
          <w:p>
            <w:pPr/>
            <w:r>
              <w:t xml:space="preserve">Transactional store, JSONB for flexible attributes, row-level tenant isolation, reporting views</w:t>
            </w:r>
          </w:p>
        </w:tc>
      </w:tr>
      <w:tr>
        <w:tc>
          <w:tcPr>
            <w:tcW w:w="2766" w:type="dxa"/>
          </w:tcPr>
          <w:p>
            <w:pPr/>
            <w:r>
              <w:t xml:space="preserve">Security</w:t>
            </w:r>
          </w:p>
        </w:tc>
        <w:tc>
          <w:tcPr>
            <w:tcW w:w="2144" w:type="dxa"/>
          </w:tcPr>
          <w:p>
            <w:pPr/>
            <w:r>
              <w:t xml:space="preserve">OAuth2 / OIDC, JWT, RBAC</w:t>
            </w:r>
          </w:p>
        </w:tc>
        <w:tc>
          <w:tcPr>
            <w:tcW w:w="4450" w:type="dxa"/>
          </w:tcPr>
          <w:p>
            <w:pPr/>
            <w:r>
              <w:t xml:space="preserve">Authentication, authorization, session control</w:t>
            </w:r>
          </w:p>
        </w:tc>
      </w:tr>
      <w:tr>
        <w:tc>
          <w:tcPr>
            <w:tcW w:w="2766" w:type="dxa"/>
          </w:tcPr>
          <w:p>
            <w:pPr/>
            <w:r>
              <w:t xml:space="preserve">Integration</w:t>
            </w:r>
          </w:p>
        </w:tc>
        <w:tc>
          <w:tcPr>
            <w:tcW w:w="2144" w:type="dxa"/>
          </w:tcPr>
          <w:p>
            <w:pPr/>
            <w:r>
              <w:t xml:space="preserve">REST, webhooks, message queue</w:t>
            </w:r>
          </w:p>
        </w:tc>
        <w:tc>
          <w:tcPr>
            <w:tcW w:w="4450" w:type="dxa"/>
          </w:tcPr>
          <w:p>
            <w:pPr/>
            <w:r>
              <w:t xml:space="preserve">CRM, ERP, payment gateway, email and notification services</w:t>
            </w:r>
          </w:p>
        </w:tc>
      </w:tr>
      <w:tr>
        <w:tc>
          <w:tcPr>
            <w:tcW w:w="2766" w:type="dxa"/>
          </w:tcPr>
          <w:p>
            <w:pPr/>
            <w:r>
              <w:t xml:space="preserve">Operations</w:t>
            </w:r>
          </w:p>
        </w:tc>
        <w:tc>
          <w:tcPr>
            <w:tcW w:w="2144" w:type="dxa"/>
          </w:tcPr>
          <w:p>
            <w:pPr/>
            <w:r>
              <w:t xml:space="preserve">Docker, CI/CD, observability stack</w:t>
            </w:r>
          </w:p>
        </w:tc>
        <w:tc>
          <w:tcPr>
            <w:tcW w:w="4450" w:type="dxa"/>
          </w:tcPr>
          <w:p>
            <w:pPr/>
            <w:r>
              <w:t xml:space="preserve">Deployment, monitoring, logging, audit</w:t>
            </w:r>
          </w:p>
        </w:tc>
      </w:tr>
    </w:tbl>
    <w:p>
      <w:pPr>
        <w:pStyle w:val="Heading2"/>
      </w:pPr>
      <w:r>
        <w:t xml:space="preserve">5. Roles in the Workflow</w:t>
      </w:r>
    </w:p>
    <w:tbl>
      <w:tblPr>
        <w:tblStyle w:val="TableGrid"/>
        <w:tblW w:w="0" w:type="auto"/>
        <w:tblLayout w:type="fixed"/>
        <w:tblLook w:val="04A0" w:firstRow="1" w:lastRow="0" w:firstColumn="0" w:lastColumn="0" w:noHBand="0" w:noVBand="1"/>
      </w:tblPr>
      <w:tblGrid>
        <w:gridCol w:w="1782"/>
        <w:gridCol w:w="1107"/>
        <w:gridCol w:w="4639"/>
        <w:gridCol w:w="1832"/>
      </w:tblGrid>
      <w:tr>
        <w:trPr>
          <w:tblHeader/>
        </w:trPr>
        <w:tc>
          <w:tcPr>
            <w:tcW w:w="1782" w:type="dxa"/>
            <w:shd w:val="clear" w:color="auto" w:fill="F2F2F2"/>
          </w:tcPr>
          <w:p>
            <w:pPr/>
            <w:r>
              <w:t xml:space="preserve">Role</w:t>
            </w:r>
          </w:p>
        </w:tc>
        <w:tc>
          <w:tcPr>
            <w:tcW w:w="1107" w:type="dxa"/>
            <w:shd w:val="clear" w:color="auto" w:fill="F2F2F2"/>
          </w:tcPr>
          <w:p>
            <w:pPr/>
            <w:r>
              <w:t xml:space="preserve">Type</w:t>
            </w:r>
          </w:p>
        </w:tc>
        <w:tc>
          <w:tcPr>
            <w:tcW w:w="4639" w:type="dxa"/>
            <w:shd w:val="clear" w:color="auto" w:fill="F2F2F2"/>
          </w:tcPr>
          <w:p>
            <w:pPr/>
            <w:r>
              <w:t xml:space="preserve">Primary Responsibilities</w:t>
            </w:r>
          </w:p>
        </w:tc>
        <w:tc>
          <w:tcPr>
            <w:tcW w:w="1832" w:type="dxa"/>
            <w:shd w:val="clear" w:color="auto" w:fill="F2F2F2"/>
          </w:tcPr>
          <w:p>
            <w:pPr/>
            <w:r>
              <w:t xml:space="preserve">Key Interactions</w:t>
            </w:r>
          </w:p>
        </w:tc>
      </w:tr>
      <w:tr>
        <w:tc>
          <w:tcPr>
            <w:tcW w:w="1782" w:type="dxa"/>
          </w:tcPr>
          <w:p>
            <w:pPr/>
            <w:r>
              <w:t xml:space="preserve">Platform Administrator</w:t>
            </w:r>
          </w:p>
        </w:tc>
        <w:tc>
          <w:tcPr>
            <w:tcW w:w="1107" w:type="dxa"/>
          </w:tcPr>
          <w:p>
            <w:pPr/>
            <w:r>
              <w:t xml:space="preserve">Internal</w:t>
            </w:r>
          </w:p>
        </w:tc>
        <w:tc>
          <w:tcPr>
            <w:tcW w:w="4639" w:type="dxa"/>
          </w:tcPr>
          <w:p>
            <w:pPr/>
            <w:r>
              <w:t xml:space="preserve">Tenant setup, user and role management, configuration, integrations</w:t>
            </w:r>
          </w:p>
        </w:tc>
        <w:tc>
          <w:tcPr>
            <w:tcW w:w="1832" w:type="dxa"/>
          </w:tcPr>
          <w:p>
            <w:pPr/>
            <w:r>
              <w:t xml:space="preserve">All modules (configuration level)</w:t>
            </w:r>
          </w:p>
        </w:tc>
      </w:tr>
      <w:tr>
        <w:tc>
          <w:tcPr>
            <w:tcW w:w="1782" w:type="dxa"/>
          </w:tcPr>
          <w:p>
            <w:pPr/>
            <w:r>
              <w:t xml:space="preserve">Channel / Partner Manager</w:t>
            </w:r>
          </w:p>
        </w:tc>
        <w:tc>
          <w:tcPr>
            <w:tcW w:w="1107" w:type="dxa"/>
          </w:tcPr>
          <w:p>
            <w:pPr/>
            <w:r>
              <w:t xml:space="preserve">Internal</w:t>
            </w:r>
          </w:p>
        </w:tc>
        <w:tc>
          <w:tcPr>
            <w:tcW w:w="4639" w:type="dxa"/>
          </w:tcPr>
          <w:p>
            <w:pPr/>
            <w:r>
              <w:t xml:space="preserve">Recruit and manage partners, approve applications, run business reviews, resolve conflicts</w:t>
            </w:r>
          </w:p>
        </w:tc>
        <w:tc>
          <w:tcPr>
            <w:tcW w:w="1832" w:type="dxa"/>
          </w:tcPr>
          <w:p>
            <w:pPr/>
            <w:r>
              <w:t xml:space="preserve">Partner management, deal registration, analytics</w:t>
            </w:r>
          </w:p>
        </w:tc>
      </w:tr>
      <w:tr>
        <w:tc>
          <w:tcPr>
            <w:tcW w:w="1782" w:type="dxa"/>
          </w:tcPr>
          <w:p>
            <w:pPr/>
            <w:r>
              <w:t xml:space="preserve">Catalog Manager</w:t>
            </w:r>
          </w:p>
        </w:tc>
        <w:tc>
          <w:tcPr>
            <w:tcW w:w="1107" w:type="dxa"/>
          </w:tcPr>
          <w:p>
            <w:pPr/>
            <w:r>
              <w:t xml:space="preserve">Internal</w:t>
            </w:r>
          </w:p>
        </w:tc>
        <w:tc>
          <w:tcPr>
            <w:tcW w:w="4639" w:type="dxa"/>
          </w:tcPr>
          <w:p>
            <w:pPr/>
            <w:r>
              <w:t xml:space="preserve">Maintain catalog, approve partner listings, manage pricing rules</w:t>
            </w:r>
          </w:p>
        </w:tc>
        <w:tc>
          <w:tcPr>
            <w:tcW w:w="1832" w:type="dxa"/>
          </w:tcPr>
          <w:p>
            <w:pPr/>
            <w:r>
              <w:t xml:space="preserve">Catalog, pricing</w:t>
            </w:r>
          </w:p>
        </w:tc>
      </w:tr>
      <w:tr>
        <w:tc>
          <w:tcPr>
            <w:tcW w:w="1782" w:type="dxa"/>
          </w:tcPr>
          <w:p>
            <w:pPr/>
            <w:r>
              <w:t xml:space="preserve">Compliance Officer</w:t>
            </w:r>
          </w:p>
        </w:tc>
        <w:tc>
          <w:tcPr>
            <w:tcW w:w="1107" w:type="dxa"/>
          </w:tcPr>
          <w:p>
            <w:pPr/>
            <w:r>
              <w:t xml:space="preserve">Internal</w:t>
            </w:r>
          </w:p>
        </w:tc>
        <w:tc>
          <w:tcPr>
            <w:tcW w:w="4639" w:type="dxa"/>
          </w:tcPr>
          <w:p>
            <w:pPr/>
            <w:r>
              <w:t xml:space="preserve">Due diligence, contract review, policy enforcement, audit review</w:t>
            </w:r>
          </w:p>
        </w:tc>
        <w:tc>
          <w:tcPr>
            <w:tcW w:w="1832" w:type="dxa"/>
          </w:tcPr>
          <w:p>
            <w:pPr/>
            <w:r>
              <w:t xml:space="preserve">Onboarding, audit trail</w:t>
            </w:r>
          </w:p>
        </w:tc>
      </w:tr>
      <w:tr>
        <w:tc>
          <w:tcPr>
            <w:tcW w:w="1782" w:type="dxa"/>
          </w:tcPr>
          <w:p>
            <w:pPr/>
            <w:r>
              <w:t xml:space="preserve">Finance Manager</w:t>
            </w:r>
          </w:p>
        </w:tc>
        <w:tc>
          <w:tcPr>
            <w:tcW w:w="1107" w:type="dxa"/>
          </w:tcPr>
          <w:p>
            <w:pPr/>
            <w:r>
              <w:t xml:space="preserve">Internal</w:t>
            </w:r>
          </w:p>
        </w:tc>
        <w:tc>
          <w:tcPr>
            <w:tcW w:w="4639" w:type="dxa"/>
          </w:tcPr>
          <w:p>
            <w:pPr/>
            <w:r>
              <w:t xml:space="preserve">Validate settlements, release payouts, reconcile with ERP, manage MDF budgets</w:t>
            </w:r>
          </w:p>
        </w:tc>
        <w:tc>
          <w:tcPr>
            <w:tcW w:w="1832" w:type="dxa"/>
          </w:tcPr>
          <w:p>
            <w:pPr/>
            <w:r>
              <w:t xml:space="preserve">Incentives, settlement</w:t>
            </w:r>
          </w:p>
        </w:tc>
      </w:tr>
      <w:tr>
        <w:tc>
          <w:tcPr>
            <w:tcW w:w="1782" w:type="dxa"/>
          </w:tcPr>
          <w:p>
            <w:pPr/>
            <w:r>
              <w:t xml:space="preserve">Strategy and Growth Analyst</w:t>
            </w:r>
          </w:p>
        </w:tc>
        <w:tc>
          <w:tcPr>
            <w:tcW w:w="1107" w:type="dxa"/>
          </w:tcPr>
          <w:p>
            <w:pPr/>
            <w:r>
              <w:t xml:space="preserve">Internal</w:t>
            </w:r>
          </w:p>
        </w:tc>
        <w:tc>
          <w:tcPr>
            <w:tcW w:w="4639" w:type="dxa"/>
          </w:tcPr>
          <w:p>
            <w:pPr/>
            <w:r>
              <w:t xml:space="preserve">Analyze ecosystem performance, design incentive models, forecast growth</w:t>
            </w:r>
          </w:p>
        </w:tc>
        <w:tc>
          <w:tcPr>
            <w:tcW w:w="1832" w:type="dxa"/>
          </w:tcPr>
          <w:p>
            <w:pPr/>
            <w:r>
              <w:t xml:space="preserve">Analytics, scenario modelling</w:t>
            </w:r>
          </w:p>
        </w:tc>
      </w:tr>
      <w:tr>
        <w:tc>
          <w:tcPr>
            <w:tcW w:w="1782" w:type="dxa"/>
          </w:tcPr>
          <w:p>
            <w:pPr/>
            <w:r>
              <w:t xml:space="preserve">Executive Sponsor</w:t>
            </w:r>
          </w:p>
        </w:tc>
        <w:tc>
          <w:tcPr>
            <w:tcW w:w="1107" w:type="dxa"/>
          </w:tcPr>
          <w:p>
            <w:pPr/>
            <w:r>
              <w:t xml:space="preserve">Internal</w:t>
            </w:r>
          </w:p>
        </w:tc>
        <w:tc>
          <w:tcPr>
            <w:tcW w:w="4639" w:type="dxa"/>
          </w:tcPr>
          <w:p>
            <w:pPr/>
            <w:r>
              <w:t xml:space="preserve">Review strategic KPIs and ecosystem health</w:t>
            </w:r>
          </w:p>
        </w:tc>
        <w:tc>
          <w:tcPr>
            <w:tcW w:w="1832" w:type="dxa"/>
          </w:tcPr>
          <w:p>
            <w:pPr/>
            <w:r>
              <w:t xml:space="preserve">Dashboards</w:t>
            </w:r>
          </w:p>
        </w:tc>
      </w:tr>
      <w:tr>
        <w:tc>
          <w:tcPr>
            <w:tcW w:w="1782" w:type="dxa"/>
          </w:tcPr>
          <w:p>
            <w:pPr/>
            <w:r>
              <w:t xml:space="preserve">Partner Administrator</w:t>
            </w:r>
          </w:p>
        </w:tc>
        <w:tc>
          <w:tcPr>
            <w:tcW w:w="1107" w:type="dxa"/>
          </w:tcPr>
          <w:p>
            <w:pPr/>
            <w:r>
              <w:t xml:space="preserve">Partner</w:t>
            </w:r>
          </w:p>
        </w:tc>
        <w:tc>
          <w:tcPr>
            <w:tcW w:w="4639" w:type="dxa"/>
          </w:tcPr>
          <w:p>
            <w:pPr/>
            <w:r>
              <w:t xml:space="preserve">Manage partner profile, users, contracts, listings and payouts</w:t>
            </w:r>
          </w:p>
        </w:tc>
        <w:tc>
          <w:tcPr>
            <w:tcW w:w="1832" w:type="dxa"/>
          </w:tcPr>
          <w:p>
            <w:pPr/>
            <w:r>
              <w:t xml:space="preserve">Partner portal</w:t>
            </w:r>
          </w:p>
        </w:tc>
      </w:tr>
      <w:tr>
        <w:tc>
          <w:tcPr>
            <w:tcW w:w="1782" w:type="dxa"/>
          </w:tcPr>
          <w:p>
            <w:pPr/>
            <w:r>
              <w:t xml:space="preserve">Partner Sales Representative</w:t>
            </w:r>
          </w:p>
        </w:tc>
        <w:tc>
          <w:tcPr>
            <w:tcW w:w="1107" w:type="dxa"/>
          </w:tcPr>
          <w:p>
            <w:pPr/>
            <w:r>
              <w:t xml:space="preserve">Partner</w:t>
            </w:r>
          </w:p>
        </w:tc>
        <w:tc>
          <w:tcPr>
            <w:tcW w:w="4639" w:type="dxa"/>
          </w:tcPr>
          <w:p>
            <w:pPr/>
            <w:r>
              <w:t xml:space="preserve">Register deals, create quotes, place orders, track commission</w:t>
            </w:r>
          </w:p>
        </w:tc>
        <w:tc>
          <w:tcPr>
            <w:tcW w:w="1832" w:type="dxa"/>
          </w:tcPr>
          <w:p>
            <w:pPr/>
            <w:r>
              <w:t xml:space="preserve">Opportunities, orders</w:t>
            </w:r>
          </w:p>
        </w:tc>
      </w:tr>
      <w:tr>
        <w:tc>
          <w:tcPr>
            <w:tcW w:w="1782" w:type="dxa"/>
          </w:tcPr>
          <w:p>
            <w:pPr/>
            <w:r>
              <w:t xml:space="preserve">Partner Technical / Delivery Resource</w:t>
            </w:r>
          </w:p>
        </w:tc>
        <w:tc>
          <w:tcPr>
            <w:tcW w:w="1107" w:type="dxa"/>
          </w:tcPr>
          <w:p>
            <w:pPr/>
            <w:r>
              <w:t xml:space="preserve">Partner</w:t>
            </w:r>
          </w:p>
        </w:tc>
        <w:tc>
          <w:tcPr>
            <w:tcW w:w="4639" w:type="dxa"/>
          </w:tcPr>
          <w:p>
            <w:pPr/>
            <w:r>
              <w:t xml:space="preserve">Complete certifications, manage fulfillment and support tasks</w:t>
            </w:r>
          </w:p>
        </w:tc>
        <w:tc>
          <w:tcPr>
            <w:tcW w:w="1832" w:type="dxa"/>
          </w:tcPr>
          <w:p>
            <w:pPr/>
            <w:r>
              <w:t xml:space="preserve">Enablement, fulfillment</w:t>
            </w:r>
          </w:p>
        </w:tc>
      </w:tr>
      <w:tr>
        <w:tc>
          <w:tcPr>
            <w:tcW w:w="1782" w:type="dxa"/>
          </w:tcPr>
          <w:p>
            <w:pPr/>
            <w:r>
              <w:t xml:space="preserve">Customer / Buyer</w:t>
            </w:r>
          </w:p>
        </w:tc>
        <w:tc>
          <w:tcPr>
            <w:tcW w:w="1107" w:type="dxa"/>
          </w:tcPr>
          <w:p>
            <w:pPr/>
            <w:r>
              <w:t xml:space="preserve">External</w:t>
            </w:r>
          </w:p>
        </w:tc>
        <w:tc>
          <w:tcPr>
            <w:tcW w:w="4639" w:type="dxa"/>
          </w:tcPr>
          <w:p>
            <w:pPr/>
            <w:r>
              <w:t xml:space="preserve">Discover offerings, request quotes, purchase, manage subscriptions</w:t>
            </w:r>
          </w:p>
        </w:tc>
        <w:tc>
          <w:tcPr>
            <w:tcW w:w="1832" w:type="dxa"/>
          </w:tcPr>
          <w:p>
            <w:pPr/>
            <w:r>
              <w:t xml:space="preserve">Marketplace storefront</w:t>
            </w:r>
          </w:p>
        </w:tc>
      </w:tr>
      <w:tr>
        <w:tc>
          <w:tcPr>
            <w:tcW w:w="1782" w:type="dxa"/>
          </w:tcPr>
          <w:p>
            <w:pPr/>
            <w:r>
              <w:t xml:space="preserve">Support Agent</w:t>
            </w:r>
          </w:p>
        </w:tc>
        <w:tc>
          <w:tcPr>
            <w:tcW w:w="1107" w:type="dxa"/>
          </w:tcPr>
          <w:p>
            <w:pPr/>
            <w:r>
              <w:t xml:space="preserve">Internal</w:t>
            </w:r>
          </w:p>
        </w:tc>
        <w:tc>
          <w:tcPr>
            <w:tcW w:w="4639" w:type="dxa"/>
          </w:tcPr>
          <w:p>
            <w:pPr/>
            <w:r>
              <w:t xml:space="preserve">Handle partner and customer issues and disputes</w:t>
            </w:r>
          </w:p>
        </w:tc>
        <w:tc>
          <w:tcPr>
            <w:tcW w:w="1832" w:type="dxa"/>
          </w:tcPr>
          <w:p>
            <w:pPr/>
            <w:r>
              <w:t xml:space="preserve">Ticketing, order records</w:t>
            </w:r>
          </w:p>
        </w:tc>
      </w:tr>
      <w:tr>
        <w:tc>
          <w:tcPr>
            <w:tcW w:w="1782" w:type="dxa"/>
          </w:tcPr>
          <w:p>
            <w:pPr/>
            <w:r>
              <w:t xml:space="preserve">Integration / System Actors</w:t>
            </w:r>
          </w:p>
        </w:tc>
        <w:tc>
          <w:tcPr>
            <w:tcW w:w="1107" w:type="dxa"/>
          </w:tcPr>
          <w:p>
            <w:pPr/>
            <w:r>
              <w:t xml:space="preserve">System</w:t>
            </w:r>
          </w:p>
        </w:tc>
        <w:tc>
          <w:tcPr>
            <w:tcW w:w="4639" w:type="dxa"/>
          </w:tcPr>
          <w:p>
            <w:pPr/>
            <w:r>
              <w:t xml:space="preserve">CRM, ERP, payment gateway, identity provider</w:t>
            </w:r>
          </w:p>
        </w:tc>
        <w:tc>
          <w:tcPr>
            <w:tcW w:w="1832" w:type="dxa"/>
          </w:tcPr>
          <w:p>
            <w:pPr/>
            <w:r>
              <w:t xml:space="preserve">API layer</w:t>
            </w:r>
          </w:p>
        </w:tc>
      </w:tr>
    </w:tbl>
    <w:p>
      <w:pPr>
        <w:pStyle w:val="Heading2"/>
      </w:pPr>
      <w:r>
        <w:t xml:space="preserve">6. Target Markets and End Users</w:t>
      </w:r>
    </w:p>
    <w:p>
      <w:pPr>
        <w:pStyle w:val="Heading3"/>
      </w:pPr>
      <w:r>
        <w:t xml:space="preserve">6.1 Target Markets</w:t>
      </w:r>
    </w:p>
    <w:tbl>
      <w:tblPr>
        <w:tblStyle w:val="TableGrid"/>
        <w:tblW w:w="0" w:type="auto"/>
        <w:tblLayout w:type="fixed"/>
        <w:tblLook w:val="04A0" w:firstRow="1" w:lastRow="0" w:firstColumn="0" w:lastColumn="0" w:noHBand="0" w:noVBand="1"/>
      </w:tblPr>
      <w:tblGrid>
        <w:gridCol w:w="2360"/>
        <w:gridCol w:w="3777"/>
        <w:gridCol w:w="3223"/>
      </w:tblGrid>
      <w:tr>
        <w:trPr>
          <w:tblHeader/>
        </w:trPr>
        <w:tc>
          <w:tcPr>
            <w:tcW w:w="2360" w:type="dxa"/>
            <w:shd w:val="clear" w:color="auto" w:fill="F2F2F2"/>
          </w:tcPr>
          <w:p>
            <w:pPr/>
            <w:r>
              <w:t xml:space="preserve">Market Segment</w:t>
            </w:r>
          </w:p>
        </w:tc>
        <w:tc>
          <w:tcPr>
            <w:tcW w:w="3777" w:type="dxa"/>
            <w:shd w:val="clear" w:color="auto" w:fill="F2F2F2"/>
          </w:tcPr>
          <w:p>
            <w:pPr/>
            <w:r>
              <w:t xml:space="preserve">Description</w:t>
            </w:r>
          </w:p>
        </w:tc>
        <w:tc>
          <w:tcPr>
            <w:tcW w:w="3223" w:type="dxa"/>
            <w:shd w:val="clear" w:color="auto" w:fill="F2F2F2"/>
          </w:tcPr>
          <w:p>
            <w:pPr/>
            <w:r>
              <w:t xml:space="preserve">Typical Need</w:t>
            </w:r>
          </w:p>
        </w:tc>
      </w:tr>
      <w:tr>
        <w:tc>
          <w:tcPr>
            <w:tcW w:w="2360" w:type="dxa"/>
          </w:tcPr>
          <w:p>
            <w:pPr/>
            <w:r>
              <w:t xml:space="preserve">Software and SaaS vendors</w:t>
            </w:r>
          </w:p>
        </w:tc>
        <w:tc>
          <w:tcPr>
            <w:tcW w:w="3777" w:type="dxa"/>
          </w:tcPr>
          <w:p>
            <w:pPr/>
            <w:r>
              <w:t xml:space="preserve">Companies scaling through resellers, integrators and app ecosystems</w:t>
            </w:r>
          </w:p>
        </w:tc>
        <w:tc>
          <w:tcPr>
            <w:tcW w:w="3223" w:type="dxa"/>
          </w:tcPr>
          <w:p>
            <w:pPr/>
            <w:r>
              <w:t xml:space="preserve">Partner program automation, app marketplace, revenue share</w:t>
            </w:r>
          </w:p>
        </w:tc>
      </w:tr>
      <w:tr>
        <w:tc>
          <w:tcPr>
            <w:tcW w:w="2360" w:type="dxa"/>
          </w:tcPr>
          <w:p>
            <w:pPr/>
            <w:r>
              <w:t xml:space="preserve">Telecom and connectivity providers</w:t>
            </w:r>
          </w:p>
        </w:tc>
        <w:tc>
          <w:tcPr>
            <w:tcW w:w="3777" w:type="dxa"/>
          </w:tcPr>
          <w:p>
            <w:pPr/>
            <w:r>
              <w:t xml:space="preserve">Operators with distributor and reseller networks</w:t>
            </w:r>
          </w:p>
        </w:tc>
        <w:tc>
          <w:tcPr>
            <w:tcW w:w="3223" w:type="dxa"/>
          </w:tcPr>
          <w:p>
            <w:pPr/>
            <w:r>
              <w:t xml:space="preserve">Multi-tier channel management, bundle offers</w:t>
            </w:r>
          </w:p>
        </w:tc>
      </w:tr>
      <w:tr>
        <w:tc>
          <w:tcPr>
            <w:tcW w:w="2360" w:type="dxa"/>
          </w:tcPr>
          <w:p>
            <w:pPr/>
            <w:r>
              <w:t xml:space="preserve">Financial services and fintech</w:t>
            </w:r>
          </w:p>
        </w:tc>
        <w:tc>
          <w:tcPr>
            <w:tcW w:w="3777" w:type="dxa"/>
          </w:tcPr>
          <w:p>
            <w:pPr/>
            <w:r>
              <w:t xml:space="preserve">Banks and platforms distributing products through partners and referrers</w:t>
            </w:r>
          </w:p>
        </w:tc>
        <w:tc>
          <w:tcPr>
            <w:tcW w:w="3223" w:type="dxa"/>
          </w:tcPr>
          <w:p>
            <w:pPr/>
            <w:r>
              <w:t xml:space="preserve">Compliant onboarding, referral commissions, audit</w:t>
            </w:r>
          </w:p>
        </w:tc>
      </w:tr>
      <w:tr>
        <w:tc>
          <w:tcPr>
            <w:tcW w:w="2360" w:type="dxa"/>
          </w:tcPr>
          <w:p>
            <w:pPr/>
            <w:r>
              <w:t xml:space="preserve">Manufacturing and industrial distribution</w:t>
            </w:r>
          </w:p>
        </w:tc>
        <w:tc>
          <w:tcPr>
            <w:tcW w:w="3777" w:type="dxa"/>
          </w:tcPr>
          <w:p>
            <w:pPr/>
            <w:r>
              <w:t xml:space="preserve">OEMs selling through dealers and distributors</w:t>
            </w:r>
          </w:p>
        </w:tc>
        <w:tc>
          <w:tcPr>
            <w:tcW w:w="3223" w:type="dxa"/>
          </w:tcPr>
          <w:p>
            <w:pPr/>
            <w:r>
              <w:t xml:space="preserve">Territory management, price governance, dealer performance</w:t>
            </w:r>
          </w:p>
        </w:tc>
      </w:tr>
      <w:tr>
        <w:tc>
          <w:tcPr>
            <w:tcW w:w="2360" w:type="dxa"/>
          </w:tcPr>
          <w:p>
            <w:pPr/>
            <w:r>
              <w:t xml:space="preserve">Professional services and consulting</w:t>
            </w:r>
          </w:p>
        </w:tc>
        <w:tc>
          <w:tcPr>
            <w:tcW w:w="3777" w:type="dxa"/>
          </w:tcPr>
          <w:p>
            <w:pPr/>
            <w:r>
              <w:t xml:space="preserve">Firms co-selling with technology and delivery partners</w:t>
            </w:r>
          </w:p>
        </w:tc>
        <w:tc>
          <w:tcPr>
            <w:tcW w:w="3223" w:type="dxa"/>
          </w:tcPr>
          <w:p>
            <w:pPr/>
            <w:r>
              <w:t xml:space="preserve">Co-sell workflows, opportunity sharing</w:t>
            </w:r>
          </w:p>
        </w:tc>
      </w:tr>
      <w:tr>
        <w:tc>
          <w:tcPr>
            <w:tcW w:w="2360" w:type="dxa"/>
          </w:tcPr>
          <w:p>
            <w:pPr/>
            <w:r>
              <w:t xml:space="preserve">Education and training providers</w:t>
            </w:r>
          </w:p>
        </w:tc>
        <w:tc>
          <w:tcPr>
            <w:tcW w:w="3777" w:type="dxa"/>
          </w:tcPr>
          <w:p>
            <w:pPr/>
            <w:r>
              <w:t xml:space="preserve">Institutions and ed-tech firms with affiliate and content partners</w:t>
            </w:r>
          </w:p>
        </w:tc>
        <w:tc>
          <w:tcPr>
            <w:tcW w:w="3223" w:type="dxa"/>
          </w:tcPr>
          <w:p>
            <w:pPr/>
            <w:r>
              <w:t xml:space="preserve">Content marketplace, affiliate payouts</w:t>
            </w:r>
          </w:p>
        </w:tc>
      </w:tr>
    </w:tbl>
    <w:p>
      <w:pPr/>
      <w:r>
        <w:rPr>
          <w:b/>
        </w:rPr>
        <w:t xml:space="preserve">Initial go-to-market focus (recommended):</w:t>
      </w:r>
      <w:r>
        <w:t xml:space="preserve"> mid-size to large B2B technology and services organizations with 50 to 5,000 partners, where partner-sourced revenue is a strategic growth lever.</w:t>
      </w:r>
    </w:p>
    <w:p>
      <w:pPr>
        <w:pStyle w:val="Heading3"/>
      </w:pPr>
      <w:r>
        <w:t xml:space="preserve">6.2 End User Personas</w:t>
      </w:r>
    </w:p>
    <w:p>
      <w:pPr>
        <w:pStyle w:val="ListParagraph"/>
        <w:numPr>
          <w:ilvl w:val="0"/>
          <w:numId w:val="12"/>
        </w:numPr>
      </w:pPr>
      <w:r>
        <w:rPr>
          <w:b/>
        </w:rPr>
        <w:t xml:space="preserve">Priya, Partner Manager:</w:t>
      </w:r>
      <w:r>
        <w:t xml:space="preserve"> needs a single view of pipeline, approvals and partner health to manage 100+ partners without spreadsheets.</w:t>
      </w:r>
    </w:p>
    <w:p>
      <w:pPr>
        <w:pStyle w:val="ListParagraph"/>
        <w:numPr>
          <w:ilvl w:val="0"/>
          <w:numId w:val="12"/>
        </w:numPr>
      </w:pPr>
      <w:r>
        <w:rPr>
          <w:b/>
        </w:rPr>
        <w:t xml:space="preserve">Marcus, Partner Sales Representative:</w:t>
      </w:r>
      <w:r>
        <w:t xml:space="preserve"> wants fast deal registration, instant quotes and clear commission visibility.</w:t>
      </w:r>
    </w:p>
    <w:p>
      <w:pPr>
        <w:pStyle w:val="ListParagraph"/>
        <w:numPr>
          <w:ilvl w:val="0"/>
          <w:numId w:val="12"/>
        </w:numPr>
      </w:pPr>
      <w:r>
        <w:rPr>
          <w:b/>
        </w:rPr>
        <w:t xml:space="preserve">Elena, Finance Manager:</w:t>
      </w:r>
      <w:r>
        <w:t xml:space="preserve"> needs accurate, explainable settlements and a clean reconciliation trail.</w:t>
      </w:r>
    </w:p>
    <w:p>
      <w:pPr>
        <w:pStyle w:val="ListParagraph"/>
        <w:numPr>
          <w:ilvl w:val="0"/>
          <w:numId w:val="12"/>
        </w:numPr>
      </w:pPr>
      <w:r>
        <w:rPr>
          <w:b/>
        </w:rPr>
        <w:t xml:space="preserve">Daniel, Strategy Analyst:</w:t>
      </w:r>
      <w:r>
        <w:t xml:space="preserve"> needs reliable segment-level growth data to model incentives and forecast.</w:t>
      </w:r>
    </w:p>
    <w:p>
      <w:pPr>
        <w:pStyle w:val="ListParagraph"/>
        <w:numPr>
          <w:ilvl w:val="0"/>
          <w:numId w:val="12"/>
        </w:numPr>
      </w:pPr>
      <w:r>
        <w:rPr>
          <w:b/>
        </w:rPr>
        <w:t xml:space="preserve">Sofia, Buyer:</w:t>
      </w:r>
      <w:r>
        <w:t xml:space="preserve"> expects a simple way to find certified offerings and transact with confidence.</w:t>
      </w:r>
    </w:p>
    <w:p>
      <w:pPr>
        <w:pStyle w:val="Heading2"/>
      </w:pPr>
      <w:r>
        <w:t xml:space="preserve">7. Candidate Problem Statements</w:t>
      </w:r>
    </w:p>
    <w:p>
      <w:pPr/>
      <w:r>
        <w:t xml:space="preserve">The following industry-grade problem statements were evaluated within the theme. Each can stand as an independent project, or serve as a module of the broader platform.</w:t>
      </w:r>
    </w:p>
    <w:p>
      <w:pPr>
        <w:pStyle w:val="Heading3"/>
      </w:pPr>
      <w:r>
        <w:t xml:space="preserve">PS-1: Partner Onboarding and Lifecycle Automation</w:t>
      </w:r>
    </w:p>
    <w:p>
      <w:pPr/>
      <w:r>
        <w:rPr>
          <w:b/>
        </w:rPr>
        <w:t xml:space="preserve">Problem:</w:t>
      </w:r>
      <w:r>
        <w:t xml:space="preserve"> Partner onboarding takes weeks because applications, due diligence, contracts and training are managed across email and documents, delaying first revenue and creating compliance gaps.</w:t>
      </w:r>
    </w:p>
    <w:p>
      <w:pPr/>
      <w:r>
        <w:rPr>
          <w:b/>
        </w:rPr>
        <w:t xml:space="preserve">Opportunity:</w:t>
      </w:r>
      <w:r>
        <w:t xml:space="preserve"> A workflow-driven onboarding engine with configurable approval stages, e-agreements and certification tracking.</w:t>
      </w:r>
    </w:p>
    <w:p>
      <w:pPr/>
      <w:r>
        <w:rPr>
          <w:b/>
        </w:rPr>
        <w:t xml:space="preserve">Primary users:</w:t>
      </w:r>
      <w:r>
        <w:t xml:space="preserve"> Partner Manager, Compliance Officer, Partner Administrator.</w:t>
      </w:r>
    </w:p>
    <w:p>
      <w:pPr>
        <w:pStyle w:val="Heading3"/>
      </w:pPr>
      <w:r>
        <w:t xml:space="preserve">PS-2: Unified Digital Marketplace with Governed Catalog and Pricing</w:t>
      </w:r>
    </w:p>
    <w:p>
      <w:pPr/>
      <w:r>
        <w:rPr>
          <w:b/>
        </w:rPr>
        <w:t xml:space="preserve">Problem:</w:t>
      </w:r>
      <w:r>
        <w:t xml:space="preserve"> Product information and pricing are inconsistent across partners and channels, causing listing errors, margin leakage and channel conflict.</w:t>
      </w:r>
    </w:p>
    <w:p>
      <w:pPr/>
      <w:r>
        <w:rPr>
          <w:b/>
        </w:rPr>
        <w:t xml:space="preserve">Opportunity:</w:t>
      </w:r>
      <w:r>
        <w:t xml:space="preserve"> A central catalog with approval workflows, rule-based pricing and partner-specific price books exposed through one marketplace.</w:t>
      </w:r>
    </w:p>
    <w:p>
      <w:pPr/>
      <w:r>
        <w:rPr>
          <w:b/>
        </w:rPr>
        <w:t xml:space="preserve">Primary users:</w:t>
      </w:r>
      <w:r>
        <w:t xml:space="preserve"> Catalog Manager, Partner Sales Representative, Customer.</w:t>
      </w:r>
    </w:p>
    <w:p>
      <w:pPr>
        <w:pStyle w:val="Heading3"/>
      </w:pPr>
      <w:r>
        <w:t xml:space="preserve">PS-3: Automated Commission, Revenue-Share and Settlement Engine</w:t>
      </w:r>
    </w:p>
    <w:p>
      <w:pPr/>
      <w:r>
        <w:rPr>
          <w:b/>
        </w:rPr>
        <w:t xml:space="preserve">Problem:</w:t>
      </w:r>
      <w:r>
        <w:t xml:space="preserve"> Commissions are calculated manually using complex, changing rules, leading to payment delays, disputes and low partner trust.</w:t>
      </w:r>
    </w:p>
    <w:p>
      <w:pPr/>
      <w:r>
        <w:rPr>
          <w:b/>
        </w:rPr>
        <w:t xml:space="preserve">Opportunity:</w:t>
      </w:r>
      <w:r>
        <w:t xml:space="preserve"> A configurable rules engine with transparent statements, clawback handling and finance reconciliation.</w:t>
      </w:r>
    </w:p>
    <w:p>
      <w:pPr/>
      <w:r>
        <w:rPr>
          <w:b/>
        </w:rPr>
        <w:t xml:space="preserve">Primary users:</w:t>
      </w:r>
      <w:r>
        <w:t xml:space="preserve"> Finance Manager, Partner Administrator.</w:t>
      </w:r>
    </w:p>
    <w:p>
      <w:pPr>
        <w:pStyle w:val="Heading3"/>
      </w:pPr>
      <w:r>
        <w:t xml:space="preserve">PS-4: Deal Registration and Channel Conflict Management</w:t>
      </w:r>
    </w:p>
    <w:p>
      <w:pPr/>
      <w:r>
        <w:rPr>
          <w:b/>
        </w:rPr>
        <w:t xml:space="preserve">Problem:</w:t>
      </w:r>
      <w:r>
        <w:t xml:space="preserve"> Overlapping partner and direct sales pursuits cause conflict, duplicated effort and partner attrition, with no objective rule enforcement.</w:t>
      </w:r>
    </w:p>
    <w:p>
      <w:pPr/>
      <w:r>
        <w:rPr>
          <w:b/>
        </w:rPr>
        <w:t xml:space="preserve">Opportunity:</w:t>
      </w:r>
      <w:r>
        <w:t xml:space="preserve"> Deal registration with protection windows, automated conflict detection and an escalation workflow.</w:t>
      </w:r>
    </w:p>
    <w:p>
      <w:pPr/>
      <w:r>
        <w:rPr>
          <w:b/>
        </w:rPr>
        <w:t xml:space="preserve">Primary users:</w:t>
      </w:r>
      <w:r>
        <w:t xml:space="preserve"> Partner Sales Representative, Channel Manager.</w:t>
      </w:r>
    </w:p>
    <w:p>
      <w:pPr>
        <w:pStyle w:val="Heading3"/>
      </w:pPr>
      <w:r>
        <w:t xml:space="preserve">PS-5: Partner Performance Intelligence and Growth Analytics</w:t>
      </w:r>
    </w:p>
    <w:p>
      <w:pPr/>
      <w:r>
        <w:rPr>
          <w:b/>
        </w:rPr>
        <w:t xml:space="preserve">Problem:</w:t>
      </w:r>
      <w:r>
        <w:t xml:space="preserve"> Leadership lacks timely, trustworthy insight into partner contribution, so tiering, incentives and investments are decided on intuition.</w:t>
      </w:r>
    </w:p>
    <w:p>
      <w:pPr/>
      <w:r>
        <w:rPr>
          <w:b/>
        </w:rPr>
        <w:t xml:space="preserve">Opportunity:</w:t>
      </w:r>
      <w:r>
        <w:t xml:space="preserve"> A health-scoring and analytics layer with dashboards, cohort analysis, forecasting and incentive what-if modelling.</w:t>
      </w:r>
    </w:p>
    <w:p>
      <w:pPr/>
      <w:r>
        <w:rPr>
          <w:b/>
        </w:rPr>
        <w:t xml:space="preserve">Primary users:</w:t>
      </w:r>
      <w:r>
        <w:t xml:space="preserve"> Strategy Analyst, Executive Sponsor, Partner Manager.</w:t>
      </w:r>
    </w:p>
    <w:p>
      <w:pPr>
        <w:pStyle w:val="Heading3"/>
      </w:pPr>
      <w:r>
        <w:t xml:space="preserve">PS-6: Co-Sell and Ecosystem Collaboration Hub</w:t>
      </w:r>
    </w:p>
    <w:p>
      <w:pPr/>
      <w:r>
        <w:rPr>
          <w:b/>
        </w:rPr>
        <w:t xml:space="preserve">Problem:</w:t>
      </w:r>
      <w:r>
        <w:t xml:space="preserve"> Multi-partner solutions lack a shared space for opportunity sharing, revenue splitting and joint account planning.</w:t>
      </w:r>
    </w:p>
    <w:p>
      <w:pPr/>
      <w:r>
        <w:rPr>
          <w:b/>
        </w:rPr>
        <w:t xml:space="preserve">Opportunity:</w:t>
      </w:r>
      <w:r>
        <w:t xml:space="preserve"> Co-sell workflows with split rules, shared pipeline views and joint business plans.</w:t>
      </w:r>
    </w:p>
    <w:p>
      <w:pPr/>
      <w:r>
        <w:rPr>
          <w:b/>
        </w:rPr>
        <w:t xml:space="preserve">Primary users:</w:t>
      </w:r>
      <w:r>
        <w:t xml:space="preserve"> Partner Sales Representative, Partner Manager.</w:t>
      </w:r>
    </w:p>
    <w:p>
      <w:pPr>
        <w:pStyle w:val="Heading3"/>
      </w:pPr>
      <w:r>
        <w:t xml:space="preserve">Evaluation Matrix</w:t>
      </w:r>
    </w:p>
    <w:tbl>
      <w:tblPr>
        <w:tblStyle w:val="TableGrid"/>
        <w:tblW w:w="0" w:type="auto"/>
        <w:tblLayout w:type="fixed"/>
        <w:tblLook w:val="04A0" w:firstRow="1" w:lastRow="0" w:firstColumn="0" w:lastColumn="0" w:noHBand="0" w:noVBand="1"/>
      </w:tblPr>
      <w:tblGrid>
        <w:gridCol w:w="2873"/>
        <w:gridCol w:w="1081"/>
        <w:gridCol w:w="1081"/>
        <w:gridCol w:w="1081"/>
        <w:gridCol w:w="1081"/>
        <w:gridCol w:w="1081"/>
        <w:gridCol w:w="1081"/>
      </w:tblGrid>
      <w:tr>
        <w:trPr>
          <w:tblHeader/>
        </w:trPr>
        <w:tc>
          <w:tcPr>
            <w:tcW w:w="2873" w:type="dxa"/>
            <w:shd w:val="clear" w:color="auto" w:fill="F2F2F2"/>
          </w:tcPr>
          <w:p>
            <w:pPr/>
            <w:r>
              <w:t xml:space="preserve">Criterion</w:t>
            </w:r>
          </w:p>
        </w:tc>
        <w:tc>
          <w:tcPr>
            <w:tcW w:w="1081" w:type="dxa"/>
            <w:shd w:val="clear" w:color="auto" w:fill="F2F2F2"/>
          </w:tcPr>
          <w:p>
            <w:pPr/>
            <w:r>
              <w:t xml:space="preserve">PS-1</w:t>
            </w:r>
          </w:p>
        </w:tc>
        <w:tc>
          <w:tcPr>
            <w:tcW w:w="1081" w:type="dxa"/>
            <w:shd w:val="clear" w:color="auto" w:fill="F2F2F2"/>
          </w:tcPr>
          <w:p>
            <w:pPr/>
            <w:r>
              <w:t xml:space="preserve">PS-2</w:t>
            </w:r>
          </w:p>
        </w:tc>
        <w:tc>
          <w:tcPr>
            <w:tcW w:w="1081" w:type="dxa"/>
            <w:shd w:val="clear" w:color="auto" w:fill="F2F2F2"/>
          </w:tcPr>
          <w:p>
            <w:pPr/>
            <w:r>
              <w:t xml:space="preserve">PS-3</w:t>
            </w:r>
          </w:p>
        </w:tc>
        <w:tc>
          <w:tcPr>
            <w:tcW w:w="1081" w:type="dxa"/>
            <w:shd w:val="clear" w:color="auto" w:fill="F2F2F2"/>
          </w:tcPr>
          <w:p>
            <w:pPr/>
            <w:r>
              <w:t xml:space="preserve">PS-4</w:t>
            </w:r>
          </w:p>
        </w:tc>
        <w:tc>
          <w:tcPr>
            <w:tcW w:w="1081" w:type="dxa"/>
            <w:shd w:val="clear" w:color="auto" w:fill="F2F2F2"/>
          </w:tcPr>
          <w:p>
            <w:pPr/>
            <w:r>
              <w:t xml:space="preserve">PS-5</w:t>
            </w:r>
          </w:p>
        </w:tc>
        <w:tc>
          <w:tcPr>
            <w:tcW w:w="1081" w:type="dxa"/>
            <w:shd w:val="clear" w:color="auto" w:fill="F2F2F2"/>
          </w:tcPr>
          <w:p>
            <w:pPr/>
            <w:r>
              <w:t xml:space="preserve">PS-6</w:t>
            </w:r>
          </w:p>
        </w:tc>
      </w:tr>
      <w:tr>
        <w:tc>
          <w:tcPr>
            <w:tcW w:w="2873" w:type="dxa"/>
          </w:tcPr>
          <w:p>
            <w:pPr/>
            <w:r>
              <w:t xml:space="preserve">Business impact</w:t>
            </w:r>
          </w:p>
        </w:tc>
        <w:tc>
          <w:tcPr>
            <w:tcW w:w="1081" w:type="dxa"/>
          </w:tcPr>
          <w:p>
            <w:pPr/>
            <w:r>
              <w:t xml:space="preserve">High</w:t>
            </w:r>
          </w:p>
        </w:tc>
        <w:tc>
          <w:tcPr>
            <w:tcW w:w="1081" w:type="dxa"/>
          </w:tcPr>
          <w:p>
            <w:pPr/>
            <w:r>
              <w:t xml:space="preserve">High</w:t>
            </w:r>
          </w:p>
        </w:tc>
        <w:tc>
          <w:tcPr>
            <w:tcW w:w="1081" w:type="dxa"/>
          </w:tcPr>
          <w:p>
            <w:pPr/>
            <w:r>
              <w:t xml:space="preserve">High</w:t>
            </w:r>
          </w:p>
        </w:tc>
        <w:tc>
          <w:tcPr>
            <w:tcW w:w="1081" w:type="dxa"/>
          </w:tcPr>
          <w:p>
            <w:pPr/>
            <w:r>
              <w:t xml:space="preserve">Medium</w:t>
            </w:r>
          </w:p>
        </w:tc>
        <w:tc>
          <w:tcPr>
            <w:tcW w:w="1081" w:type="dxa"/>
          </w:tcPr>
          <w:p>
            <w:pPr/>
            <w:r>
              <w:t xml:space="preserve">High</w:t>
            </w:r>
          </w:p>
        </w:tc>
        <w:tc>
          <w:tcPr>
            <w:tcW w:w="1081" w:type="dxa"/>
          </w:tcPr>
          <w:p>
            <w:pPr/>
            <w:r>
              <w:t xml:space="preserve">Medium</w:t>
            </w:r>
          </w:p>
        </w:tc>
      </w:tr>
      <w:tr>
        <w:tc>
          <w:tcPr>
            <w:tcW w:w="2873" w:type="dxa"/>
          </w:tcPr>
          <w:p>
            <w:pPr/>
            <w:r>
              <w:t xml:space="preserve">Industry relevance</w:t>
            </w:r>
          </w:p>
        </w:tc>
        <w:tc>
          <w:tcPr>
            <w:tcW w:w="1081" w:type="dxa"/>
          </w:tcPr>
          <w:p>
            <w:pPr/>
            <w:r>
              <w:t xml:space="preserve">High</w:t>
            </w:r>
          </w:p>
        </w:tc>
        <w:tc>
          <w:tcPr>
            <w:tcW w:w="1081" w:type="dxa"/>
          </w:tcPr>
          <w:p>
            <w:pPr/>
            <w:r>
              <w:t xml:space="preserve">High</w:t>
            </w:r>
          </w:p>
        </w:tc>
        <w:tc>
          <w:tcPr>
            <w:tcW w:w="1081" w:type="dxa"/>
          </w:tcPr>
          <w:p>
            <w:pPr/>
            <w:r>
              <w:t xml:space="preserve">High</w:t>
            </w:r>
          </w:p>
        </w:tc>
        <w:tc>
          <w:tcPr>
            <w:tcW w:w="1081" w:type="dxa"/>
          </w:tcPr>
          <w:p>
            <w:pPr/>
            <w:r>
              <w:t xml:space="preserve">Medium</w:t>
            </w:r>
          </w:p>
        </w:tc>
        <w:tc>
          <w:tcPr>
            <w:tcW w:w="1081" w:type="dxa"/>
          </w:tcPr>
          <w:p>
            <w:pPr/>
            <w:r>
              <w:t xml:space="preserve">High</w:t>
            </w:r>
          </w:p>
        </w:tc>
        <w:tc>
          <w:tcPr>
            <w:tcW w:w="1081" w:type="dxa"/>
          </w:tcPr>
          <w:p>
            <w:pPr/>
            <w:r>
              <w:t xml:space="preserve">Medium</w:t>
            </w:r>
          </w:p>
        </w:tc>
      </w:tr>
      <w:tr>
        <w:tc>
          <w:tcPr>
            <w:tcW w:w="2873" w:type="dxa"/>
          </w:tcPr>
          <w:p>
            <w:pPr/>
            <w:r>
              <w:t xml:space="preserve">Technical depth (Angular, Spring Boot, PostgreSQL)</w:t>
            </w:r>
          </w:p>
        </w:tc>
        <w:tc>
          <w:tcPr>
            <w:tcW w:w="1081" w:type="dxa"/>
          </w:tcPr>
          <w:p>
            <w:pPr/>
            <w:r>
              <w:t xml:space="preserve">Medium</w:t>
            </w:r>
          </w:p>
        </w:tc>
        <w:tc>
          <w:tcPr>
            <w:tcW w:w="1081" w:type="dxa"/>
          </w:tcPr>
          <w:p>
            <w:pPr/>
            <w:r>
              <w:t xml:space="preserve">High</w:t>
            </w:r>
          </w:p>
        </w:tc>
        <w:tc>
          <w:tcPr>
            <w:tcW w:w="1081" w:type="dxa"/>
          </w:tcPr>
          <w:p>
            <w:pPr/>
            <w:r>
              <w:t xml:space="preserve">High</w:t>
            </w:r>
          </w:p>
        </w:tc>
        <w:tc>
          <w:tcPr>
            <w:tcW w:w="1081" w:type="dxa"/>
          </w:tcPr>
          <w:p>
            <w:pPr/>
            <w:r>
              <w:t xml:space="preserve">Medium</w:t>
            </w:r>
          </w:p>
        </w:tc>
        <w:tc>
          <w:tcPr>
            <w:tcW w:w="1081" w:type="dxa"/>
          </w:tcPr>
          <w:p>
            <w:pPr/>
            <w:r>
              <w:t xml:space="preserve">High</w:t>
            </w:r>
          </w:p>
        </w:tc>
        <w:tc>
          <w:tcPr>
            <w:tcW w:w="1081" w:type="dxa"/>
          </w:tcPr>
          <w:p>
            <w:pPr/>
            <w:r>
              <w:t xml:space="preserve">Medium</w:t>
            </w:r>
          </w:p>
        </w:tc>
      </w:tr>
      <w:tr>
        <w:tc>
          <w:tcPr>
            <w:tcW w:w="2873" w:type="dxa"/>
          </w:tcPr>
          <w:p>
            <w:pPr/>
            <w:r>
              <w:t xml:space="preserve">Feasibility for a focused delivery</w:t>
            </w:r>
          </w:p>
        </w:tc>
        <w:tc>
          <w:tcPr>
            <w:tcW w:w="1081" w:type="dxa"/>
          </w:tcPr>
          <w:p>
            <w:pPr/>
            <w:r>
              <w:t xml:space="preserve">High</w:t>
            </w:r>
          </w:p>
        </w:tc>
        <w:tc>
          <w:tcPr>
            <w:tcW w:w="1081" w:type="dxa"/>
          </w:tcPr>
          <w:p>
            <w:pPr/>
            <w:r>
              <w:t xml:space="preserve">Medium</w:t>
            </w:r>
          </w:p>
        </w:tc>
        <w:tc>
          <w:tcPr>
            <w:tcW w:w="1081" w:type="dxa"/>
          </w:tcPr>
          <w:p>
            <w:pPr/>
            <w:r>
              <w:t xml:space="preserve">Medium</w:t>
            </w:r>
          </w:p>
        </w:tc>
        <w:tc>
          <w:tcPr>
            <w:tcW w:w="1081" w:type="dxa"/>
          </w:tcPr>
          <w:p>
            <w:pPr/>
            <w:r>
              <w:t xml:space="preserve">High</w:t>
            </w:r>
          </w:p>
        </w:tc>
        <w:tc>
          <w:tcPr>
            <w:tcW w:w="1081" w:type="dxa"/>
          </w:tcPr>
          <w:p>
            <w:pPr/>
            <w:r>
              <w:t xml:space="preserve">Medium</w:t>
            </w:r>
          </w:p>
        </w:tc>
        <w:tc>
          <w:tcPr>
            <w:tcW w:w="1081" w:type="dxa"/>
          </w:tcPr>
          <w:p>
            <w:pPr/>
            <w:r>
              <w:t xml:space="preserve">Medium</w:t>
            </w:r>
          </w:p>
        </w:tc>
      </w:tr>
      <w:tr>
        <w:tc>
          <w:tcPr>
            <w:tcW w:w="2873" w:type="dxa"/>
          </w:tcPr>
          <w:p>
            <w:pPr/>
            <w:r>
              <w:t xml:space="preserve">Demonstrability</w:t>
            </w:r>
          </w:p>
        </w:tc>
        <w:tc>
          <w:tcPr>
            <w:tcW w:w="1081" w:type="dxa"/>
          </w:tcPr>
          <w:p>
            <w:pPr/>
            <w:r>
              <w:t xml:space="preserve">High</w:t>
            </w:r>
          </w:p>
        </w:tc>
        <w:tc>
          <w:tcPr>
            <w:tcW w:w="1081" w:type="dxa"/>
          </w:tcPr>
          <w:p>
            <w:pPr/>
            <w:r>
              <w:t xml:space="preserve">High</w:t>
            </w:r>
          </w:p>
        </w:tc>
        <w:tc>
          <w:tcPr>
            <w:tcW w:w="1081" w:type="dxa"/>
          </w:tcPr>
          <w:p>
            <w:pPr/>
            <w:r>
              <w:t xml:space="preserve">Medium</w:t>
            </w:r>
          </w:p>
        </w:tc>
        <w:tc>
          <w:tcPr>
            <w:tcW w:w="1081" w:type="dxa"/>
          </w:tcPr>
          <w:p>
            <w:pPr/>
            <w:r>
              <w:t xml:space="preserve">High</w:t>
            </w:r>
          </w:p>
        </w:tc>
        <w:tc>
          <w:tcPr>
            <w:tcW w:w="1081" w:type="dxa"/>
          </w:tcPr>
          <w:p>
            <w:pPr/>
            <w:r>
              <w:t xml:space="preserve">High</w:t>
            </w:r>
          </w:p>
        </w:tc>
        <w:tc>
          <w:tcPr>
            <w:tcW w:w="1081" w:type="dxa"/>
          </w:tcPr>
          <w:p>
            <w:pPr/>
            <w:r>
              <w:t xml:space="preserve">Medium</w:t>
            </w:r>
          </w:p>
        </w:tc>
      </w:tr>
    </w:tbl>
    <w:p>
      <w:pPr>
        <w:pStyle w:val="Heading2"/>
      </w:pPr>
      <w:r>
        <w:t xml:space="preserve">8. Recommended Problem Statement</w:t>
      </w:r>
    </w:p>
    <w:p>
      <w:pPr>
        <w:pStyle w:val="Heading3"/>
      </w:pPr>
      <w:r>
        <w:t xml:space="preserve">8.1 Title</w:t>
      </w:r>
    </w:p>
    <w:p>
      <w:pPr/>
      <w:r>
        <w:rPr>
          <w:b/>
        </w:rPr>
        <w:t xml:space="preserve">Unified Partner Ecosystem and Digital Marketplace Platform for Partner-Led Growth</w:t>
      </w:r>
      <w:r>
        <w:t xml:space="preserve"> (combining PS-1, PS-2 and PS-3 as the core, with PS-5 as the analytics layer)</w:t>
      </w:r>
    </w:p>
    <w:p>
      <w:pPr>
        <w:pStyle w:val="Heading3"/>
      </w:pPr>
      <w:r>
        <w:t xml:space="preserve">8.2 Problem Statement</w:t>
      </w:r>
    </w:p>
    <w:p>
      <w:pPr/>
      <w:r>
        <w:t xml:space="preserve">Organizations that depend on partners for growth manage partner recruitment, onboarding, catalog publication, order handling and commission settlement through disconnected spreadsheets, email and point tools. This fragmentation produces slow partner activation, inconsistent product and pricing data, error-prone and disputed commission payouts, weak governance and no reliable, consolidated view of partner performance. As a result, strategy and growth leaders cannot confidently scale the ecosystem, allocate incentives or identify which partners and segments deliver value.</w:t>
      </w:r>
    </w:p>
    <w:p>
      <w:pPr>
        <w:pStyle w:val="Heading3"/>
      </w:pPr>
      <w:r>
        <w:t xml:space="preserve">8.3 Objectives</w:t>
      </w:r>
    </w:p>
    <w:p>
      <w:pPr>
        <w:pStyle w:val="ListParagraph"/>
        <w:numPr>
          <w:ilvl w:val="0"/>
          <w:numId w:val="13"/>
        </w:numPr>
      </w:pPr>
      <w:r>
        <w:t xml:space="preserve">Reduce partner onboarding cycle time through a configurable, auditable workflow.</w:t>
      </w:r>
    </w:p>
    <w:p>
      <w:pPr>
        <w:pStyle w:val="ListParagraph"/>
        <w:numPr>
          <w:ilvl w:val="0"/>
          <w:numId w:val="13"/>
        </w:numPr>
      </w:pPr>
      <w:r>
        <w:t xml:space="preserve">Provide a single governed catalog and marketplace for all partner and customer transactions.</w:t>
      </w:r>
    </w:p>
    <w:p>
      <w:pPr>
        <w:pStyle w:val="ListParagraph"/>
        <w:numPr>
          <w:ilvl w:val="0"/>
          <w:numId w:val="13"/>
        </w:numPr>
      </w:pPr>
      <w:r>
        <w:t xml:space="preserve">Automate commission and revenue-share calculation with full transparency and traceability.</w:t>
      </w:r>
    </w:p>
    <w:p>
      <w:pPr>
        <w:pStyle w:val="ListParagraph"/>
        <w:numPr>
          <w:ilvl w:val="0"/>
          <w:numId w:val="13"/>
        </w:numPr>
      </w:pPr>
      <w:r>
        <w:t xml:space="preserve">Deliver role-based dashboards that expose ecosystem health and growth drivers.</w:t>
      </w:r>
    </w:p>
    <w:p>
      <w:pPr>
        <w:pStyle w:val="ListParagraph"/>
        <w:numPr>
          <w:ilvl w:val="0"/>
          <w:numId w:val="13"/>
        </w:numPr>
      </w:pPr>
      <w:r>
        <w:t xml:space="preserve">Enforce security, compliance and audit across all partner and financial activity.</w:t>
      </w:r>
    </w:p>
    <w:p>
      <w:pPr>
        <w:pStyle w:val="Heading3"/>
      </w:pPr>
      <w:r>
        <w:t xml:space="preserve">8.4 Scope of the Minimum Viable Product</w:t>
      </w:r>
    </w:p>
    <w:p>
      <w:pPr>
        <w:pStyle w:val="ListParagraph"/>
        <w:numPr>
          <w:ilvl w:val="0"/>
          <w:numId w:val="14"/>
        </w:numPr>
      </w:pPr>
      <w:r>
        <w:t xml:space="preserve">Multi-role authentication and RBAC (internal, partner, customer).</w:t>
      </w:r>
    </w:p>
    <w:p>
      <w:pPr>
        <w:pStyle w:val="ListParagraph"/>
        <w:numPr>
          <w:ilvl w:val="0"/>
          <w:numId w:val="14"/>
        </w:numPr>
      </w:pPr>
      <w:r>
        <w:t xml:space="preserve">Partner application, approval workflow and agreement acceptance.</w:t>
      </w:r>
    </w:p>
    <w:p>
      <w:pPr>
        <w:pStyle w:val="ListParagraph"/>
        <w:numPr>
          <w:ilvl w:val="0"/>
          <w:numId w:val="14"/>
        </w:numPr>
      </w:pPr>
      <w:r>
        <w:t xml:space="preserve">Catalog management with partner listing submission and approval.</w:t>
      </w:r>
    </w:p>
    <w:p>
      <w:pPr>
        <w:pStyle w:val="ListParagraph"/>
        <w:numPr>
          <w:ilvl w:val="0"/>
          <w:numId w:val="14"/>
        </w:numPr>
      </w:pPr>
      <w:r>
        <w:t xml:space="preserve">Partner price books and discount approval rules.</w:t>
      </w:r>
    </w:p>
    <w:p>
      <w:pPr>
        <w:pStyle w:val="ListParagraph"/>
        <w:numPr>
          <w:ilvl w:val="0"/>
          <w:numId w:val="14"/>
        </w:numPr>
      </w:pPr>
      <w:r>
        <w:t xml:space="preserve">Quote and order management with status tracking.</w:t>
      </w:r>
    </w:p>
    <w:p>
      <w:pPr>
        <w:pStyle w:val="ListParagraph"/>
        <w:numPr>
          <w:ilvl w:val="0"/>
          <w:numId w:val="14"/>
        </w:numPr>
      </w:pPr>
      <w:r>
        <w:t xml:space="preserve">Configurable commission rules, statements and payout approval.</w:t>
      </w:r>
    </w:p>
    <w:p>
      <w:pPr>
        <w:pStyle w:val="ListParagraph"/>
        <w:numPr>
          <w:ilvl w:val="0"/>
          <w:numId w:val="14"/>
        </w:numPr>
      </w:pPr>
      <w:r>
        <w:t xml:space="preserve">Role-based dashboards: partner scorecard, pipeline and revenue, commission summary.</w:t>
      </w:r>
    </w:p>
    <w:p>
      <w:pPr>
        <w:pStyle w:val="ListParagraph"/>
        <w:numPr>
          <w:ilvl w:val="0"/>
          <w:numId w:val="14"/>
        </w:numPr>
      </w:pPr>
      <w:r>
        <w:t xml:space="preserve">Audit trail, notifications and admin configuration.</w:t>
      </w:r>
    </w:p>
    <w:p>
      <w:pPr>
        <w:pStyle w:val="Heading3"/>
      </w:pPr>
      <w:r>
        <w:t xml:space="preserve">8.5 Success Metrics</w:t>
      </w:r>
    </w:p>
    <w:tbl>
      <w:tblPr>
        <w:tblStyle w:val="TableGrid"/>
        <w:tblW w:w="0" w:type="auto"/>
        <w:tblLayout w:type="fixed"/>
        <w:tblLook w:val="04A0" w:firstRow="1" w:lastRow="0" w:firstColumn="0" w:lastColumn="0" w:noHBand="0" w:noVBand="1"/>
      </w:tblPr>
      <w:tblGrid>
        <w:gridCol w:w="4062"/>
        <w:gridCol w:w="5297"/>
      </w:tblGrid>
      <w:tr>
        <w:trPr>
          <w:tblHeader/>
        </w:trPr>
        <w:tc>
          <w:tcPr>
            <w:tcW w:w="4062" w:type="dxa"/>
            <w:shd w:val="clear" w:color="auto" w:fill="F2F2F2"/>
          </w:tcPr>
          <w:p>
            <w:pPr/>
            <w:r>
              <w:t xml:space="preserve">Metric</w:t>
            </w:r>
          </w:p>
        </w:tc>
        <w:tc>
          <w:tcPr>
            <w:tcW w:w="5297" w:type="dxa"/>
            <w:shd w:val="clear" w:color="auto" w:fill="F2F2F2"/>
          </w:tcPr>
          <w:p>
            <w:pPr/>
            <w:r>
              <w:t xml:space="preserve">Indicative Target</w:t>
            </w:r>
          </w:p>
        </w:tc>
      </w:tr>
      <w:tr>
        <w:tc>
          <w:tcPr>
            <w:tcW w:w="4062" w:type="dxa"/>
          </w:tcPr>
          <w:p>
            <w:pPr/>
            <w:r>
              <w:t xml:space="preserve">Partner onboarding cycle time</w:t>
            </w:r>
          </w:p>
        </w:tc>
        <w:tc>
          <w:tcPr>
            <w:tcW w:w="5297" w:type="dxa"/>
          </w:tcPr>
          <w:p>
            <w:pPr/>
            <w:r>
              <w:t xml:space="preserve">Reduce by 50 percent or more</w:t>
            </w:r>
          </w:p>
        </w:tc>
      </w:tr>
      <w:tr>
        <w:tc>
          <w:tcPr>
            <w:tcW w:w="4062" w:type="dxa"/>
          </w:tcPr>
          <w:p>
            <w:pPr/>
            <w:r>
              <w:t xml:space="preserve">Commission calculation accuracy</w:t>
            </w:r>
          </w:p>
        </w:tc>
        <w:tc>
          <w:tcPr>
            <w:tcW w:w="5297" w:type="dxa"/>
          </w:tcPr>
          <w:p>
            <w:pPr/>
            <w:r>
              <w:t xml:space="preserve">99 percent or higher, with disputes reduced by at least 60 percent</w:t>
            </w:r>
          </w:p>
        </w:tc>
      </w:tr>
      <w:tr>
        <w:tc>
          <w:tcPr>
            <w:tcW w:w="4062" w:type="dxa"/>
          </w:tcPr>
          <w:p>
            <w:pPr/>
            <w:r>
              <w:t xml:space="preserve">Listing approval turnaround</w:t>
            </w:r>
          </w:p>
        </w:tc>
        <w:tc>
          <w:tcPr>
            <w:tcW w:w="5297" w:type="dxa"/>
          </w:tcPr>
          <w:p>
            <w:pPr/>
            <w:r>
              <w:t xml:space="preserve">Within two business days</w:t>
            </w:r>
          </w:p>
        </w:tc>
      </w:tr>
      <w:tr>
        <w:tc>
          <w:tcPr>
            <w:tcW w:w="4062" w:type="dxa"/>
          </w:tcPr>
          <w:p>
            <w:pPr/>
            <w:r>
              <w:t xml:space="preserve">Partner-sourced revenue share</w:t>
            </w:r>
          </w:p>
        </w:tc>
        <w:tc>
          <w:tcPr>
            <w:tcW w:w="5297" w:type="dxa"/>
          </w:tcPr>
          <w:p>
            <w:pPr/>
            <w:r>
              <w:t xml:space="preserve">Measurable growth quarter over quarter</w:t>
            </w:r>
          </w:p>
        </w:tc>
      </w:tr>
      <w:tr>
        <w:tc>
          <w:tcPr>
            <w:tcW w:w="4062" w:type="dxa"/>
          </w:tcPr>
          <w:p>
            <w:pPr/>
            <w:r>
              <w:t xml:space="preserve">Active partner ratio</w:t>
            </w:r>
          </w:p>
        </w:tc>
        <w:tc>
          <w:tcPr>
            <w:tcW w:w="5297" w:type="dxa"/>
          </w:tcPr>
          <w:p>
            <w:pPr/>
            <w:r>
              <w:t xml:space="preserve">Increase against baseline within two quarters</w:t>
            </w:r>
          </w:p>
        </w:tc>
      </w:tr>
      <w:tr>
        <w:tc>
          <w:tcPr>
            <w:tcW w:w="4062" w:type="dxa"/>
          </w:tcPr>
          <w:p>
            <w:pPr/>
            <w:r>
              <w:t xml:space="preserve">Platform availability</w:t>
            </w:r>
          </w:p>
        </w:tc>
        <w:tc>
          <w:tcPr>
            <w:tcW w:w="5297" w:type="dxa"/>
          </w:tcPr>
          <w:p>
            <w:pPr/>
            <w:r>
              <w:t xml:space="preserve">99.5 percent or higher</w:t>
            </w:r>
          </w:p>
        </w:tc>
      </w:tr>
    </w:tbl>
    <w:p>
      <w:pPr>
        <w:pStyle w:val="Heading3"/>
      </w:pPr>
      <w:r>
        <w:t xml:space="preserve">8.6 Non-Functional Requirements</w:t>
      </w:r>
    </w:p>
    <w:p>
      <w:pPr>
        <w:pStyle w:val="ListParagraph"/>
        <w:numPr>
          <w:ilvl w:val="0"/>
          <w:numId w:val="15"/>
        </w:numPr>
      </w:pPr>
      <w:r>
        <w:rPr>
          <w:b/>
        </w:rPr>
        <w:t xml:space="preserve">Security:</w:t>
      </w:r>
      <w:r>
        <w:t xml:space="preserve"> OAuth2/OIDC, role and attribute-based authorization, encryption in transit and at rest, OWASP Top 10 controls.</w:t>
      </w:r>
    </w:p>
    <w:p>
      <w:pPr>
        <w:pStyle w:val="ListParagraph"/>
        <w:numPr>
          <w:ilvl w:val="0"/>
          <w:numId w:val="15"/>
        </w:numPr>
      </w:pPr>
      <w:r>
        <w:rPr>
          <w:b/>
        </w:rPr>
        <w:t xml:space="preserve">Multi-tenancy:</w:t>
      </w:r>
      <w:r>
        <w:t xml:space="preserve"> logical tenant isolation enforced at service and database level.</w:t>
      </w:r>
    </w:p>
    <w:p>
      <w:pPr>
        <w:pStyle w:val="ListParagraph"/>
        <w:numPr>
          <w:ilvl w:val="0"/>
          <w:numId w:val="15"/>
        </w:numPr>
      </w:pPr>
      <w:r>
        <w:rPr>
          <w:b/>
        </w:rPr>
        <w:t xml:space="preserve">Performance:</w:t>
      </w:r>
      <w:r>
        <w:t xml:space="preserve"> key pages under two seconds at expected concurrency; indexed, paginated queries.</w:t>
      </w:r>
    </w:p>
    <w:p>
      <w:pPr>
        <w:pStyle w:val="ListParagraph"/>
        <w:numPr>
          <w:ilvl w:val="0"/>
          <w:numId w:val="15"/>
        </w:numPr>
      </w:pPr>
      <w:r>
        <w:rPr>
          <w:b/>
        </w:rPr>
        <w:t xml:space="preserve">Auditability:</w:t>
      </w:r>
      <w:r>
        <w:t xml:space="preserve"> immutable audit records for financial, contractual and permission changes.</w:t>
      </w:r>
    </w:p>
    <w:p>
      <w:pPr>
        <w:pStyle w:val="ListParagraph"/>
        <w:numPr>
          <w:ilvl w:val="0"/>
          <w:numId w:val="15"/>
        </w:numPr>
      </w:pPr>
      <w:r>
        <w:rPr>
          <w:b/>
        </w:rPr>
        <w:t xml:space="preserve">Scalability:</w:t>
      </w:r>
      <w:r>
        <w:t xml:space="preserve"> stateless services, horizontal scaling, connection pooling and read optimization.</w:t>
      </w:r>
    </w:p>
    <w:p>
      <w:pPr>
        <w:pStyle w:val="ListParagraph"/>
        <w:numPr>
          <w:ilvl w:val="0"/>
          <w:numId w:val="15"/>
        </w:numPr>
      </w:pPr>
      <w:r>
        <w:rPr>
          <w:b/>
        </w:rPr>
        <w:t xml:space="preserve">Usability and accessibility:</w:t>
      </w:r>
      <w:r>
        <w:t xml:space="preserve"> responsive design and WCAG 2.1 AA alignment.</w:t>
      </w:r>
    </w:p>
    <w:p>
      <w:pPr>
        <w:pStyle w:val="ListParagraph"/>
        <w:numPr>
          <w:ilvl w:val="0"/>
          <w:numId w:val="15"/>
        </w:numPr>
      </w:pPr>
      <w:r>
        <w:rPr>
          <w:b/>
        </w:rPr>
        <w:t xml:space="preserve">Maintainability:</w:t>
      </w:r>
      <w:r>
        <w:t xml:space="preserve"> modular domain-driven design, automated tests, CI/CD and API documentation (OpenAPI).</w:t>
      </w:r>
    </w:p>
    <w:p>
      <w:pPr>
        <w:pStyle w:val="Heading3"/>
      </w:pPr>
      <w:r>
        <w:t xml:space="preserve">8.7 Assumptions, Constraints and Risks</w:t>
      </w:r>
    </w:p>
    <w:tbl>
      <w:tblPr>
        <w:tblStyle w:val="TableGrid"/>
        <w:tblW w:w="0" w:type="auto"/>
        <w:tblLayout w:type="fixed"/>
        <w:tblLook w:val="04A0" w:firstRow="1" w:lastRow="0" w:firstColumn="0" w:lastColumn="0" w:noHBand="0" w:noVBand="1"/>
      </w:tblPr>
      <w:tblGrid>
        <w:gridCol w:w="1470"/>
        <w:gridCol w:w="3757"/>
        <w:gridCol w:w="4133"/>
      </w:tblGrid>
      <w:tr>
        <w:trPr>
          <w:tblHeader/>
        </w:trPr>
        <w:tc>
          <w:tcPr>
            <w:tcW w:w="1470" w:type="dxa"/>
            <w:shd w:val="clear" w:color="auto" w:fill="F2F2F2"/>
          </w:tcPr>
          <w:p>
            <w:pPr/>
            <w:r>
              <w:t xml:space="preserve">Type</w:t>
            </w:r>
          </w:p>
        </w:tc>
        <w:tc>
          <w:tcPr>
            <w:tcW w:w="3757" w:type="dxa"/>
            <w:shd w:val="clear" w:color="auto" w:fill="F2F2F2"/>
          </w:tcPr>
          <w:p>
            <w:pPr/>
            <w:r>
              <w:t xml:space="preserve">Item</w:t>
            </w:r>
          </w:p>
        </w:tc>
        <w:tc>
          <w:tcPr>
            <w:tcW w:w="4133" w:type="dxa"/>
            <w:shd w:val="clear" w:color="auto" w:fill="F2F2F2"/>
          </w:tcPr>
          <w:p>
            <w:pPr/>
            <w:r>
              <w:t xml:space="preserve">Mitigation</w:t>
            </w:r>
          </w:p>
        </w:tc>
      </w:tr>
      <w:tr>
        <w:tc>
          <w:tcPr>
            <w:tcW w:w="1470" w:type="dxa"/>
          </w:tcPr>
          <w:p>
            <w:pPr/>
            <w:r>
              <w:t xml:space="preserve">Assumption</w:t>
            </w:r>
          </w:p>
        </w:tc>
        <w:tc>
          <w:tcPr>
            <w:tcW w:w="3757" w:type="dxa"/>
          </w:tcPr>
          <w:p>
            <w:pPr/>
            <w:r>
              <w:t xml:space="preserve">Partner and customer data is supplied digitally or via import</w:t>
            </w:r>
          </w:p>
        </w:tc>
        <w:tc>
          <w:tcPr>
            <w:tcW w:w="4133" w:type="dxa"/>
          </w:tcPr>
          <w:p>
            <w:pPr/>
            <w:r>
              <w:t xml:space="preserve">Provide CSV and API import tooling</w:t>
            </w:r>
          </w:p>
        </w:tc>
      </w:tr>
      <w:tr>
        <w:tc>
          <w:tcPr>
            <w:tcW w:w="1470" w:type="dxa"/>
          </w:tcPr>
          <w:p>
            <w:pPr/>
            <w:r>
              <w:t xml:space="preserve">Constraint</w:t>
            </w:r>
          </w:p>
        </w:tc>
        <w:tc>
          <w:tcPr>
            <w:tcW w:w="3757" w:type="dxa"/>
          </w:tcPr>
          <w:p>
            <w:pPr/>
            <w:r>
              <w:t xml:space="preserve">Third-party gateways handle payments; no card data stored</w:t>
            </w:r>
          </w:p>
        </w:tc>
        <w:tc>
          <w:tcPr>
            <w:tcW w:w="4133" w:type="dxa"/>
          </w:tcPr>
          <w:p>
            <w:pPr/>
            <w:r>
              <w:t xml:space="preserve">Tokenised integration</w:t>
            </w:r>
          </w:p>
        </w:tc>
      </w:tr>
      <w:tr>
        <w:tc>
          <w:tcPr>
            <w:tcW w:w="1470" w:type="dxa"/>
          </w:tcPr>
          <w:p>
            <w:pPr/>
            <w:r>
              <w:t xml:space="preserve">Risk</w:t>
            </w:r>
          </w:p>
        </w:tc>
        <w:tc>
          <w:tcPr>
            <w:tcW w:w="3757" w:type="dxa"/>
          </w:tcPr>
          <w:p>
            <w:pPr/>
            <w:r>
              <w:t xml:space="preserve">Complex, frequently changing commission rules</w:t>
            </w:r>
          </w:p>
        </w:tc>
        <w:tc>
          <w:tcPr>
            <w:tcW w:w="4133" w:type="dxa"/>
          </w:tcPr>
          <w:p>
            <w:pPr/>
            <w:r>
              <w:t xml:space="preserve">Rule configuration engine with versioning and simulation</w:t>
            </w:r>
          </w:p>
        </w:tc>
      </w:tr>
      <w:tr>
        <w:tc>
          <w:tcPr>
            <w:tcW w:w="1470" w:type="dxa"/>
          </w:tcPr>
          <w:p>
            <w:pPr/>
            <w:r>
              <w:t xml:space="preserve">Risk</w:t>
            </w:r>
          </w:p>
        </w:tc>
        <w:tc>
          <w:tcPr>
            <w:tcW w:w="3757" w:type="dxa"/>
          </w:tcPr>
          <w:p>
            <w:pPr/>
            <w:r>
              <w:t xml:space="preserve">Low partner adoption</w:t>
            </w:r>
          </w:p>
        </w:tc>
        <w:tc>
          <w:tcPr>
            <w:tcW w:w="4133" w:type="dxa"/>
          </w:tcPr>
          <w:p>
            <w:pPr/>
            <w:r>
              <w:t xml:space="preserve">Guided onboarding, in-app enablement, simple portal UX</w:t>
            </w:r>
          </w:p>
        </w:tc>
      </w:tr>
      <w:tr>
        <w:tc>
          <w:tcPr>
            <w:tcW w:w="1470" w:type="dxa"/>
          </w:tcPr>
          <w:p>
            <w:pPr/>
            <w:r>
              <w:t xml:space="preserve">Risk</w:t>
            </w:r>
          </w:p>
        </w:tc>
        <w:tc>
          <w:tcPr>
            <w:tcW w:w="3757" w:type="dxa"/>
          </w:tcPr>
          <w:p>
            <w:pPr/>
            <w:r>
              <w:t xml:space="preserve">Data inconsistency with CRM or ERP</w:t>
            </w:r>
          </w:p>
        </w:tc>
        <w:tc>
          <w:tcPr>
            <w:tcW w:w="4133" w:type="dxa"/>
          </w:tcPr>
          <w:p>
            <w:pPr/>
            <w:r>
              <w:t xml:space="preserve">Defined system-of-record boundaries and reconciliation jobs</w:t>
            </w:r>
          </w:p>
        </w:tc>
      </w:tr>
      <w:tr>
        <w:tc>
          <w:tcPr>
            <w:tcW w:w="1470" w:type="dxa"/>
          </w:tcPr>
          <w:p>
            <w:pPr/>
            <w:r>
              <w:t xml:space="preserve">Risk</w:t>
            </w:r>
          </w:p>
        </w:tc>
        <w:tc>
          <w:tcPr>
            <w:tcW w:w="3757" w:type="dxa"/>
          </w:tcPr>
          <w:p>
            <w:pPr/>
            <w:r>
              <w:t xml:space="preserve">Channel conflict disputes</w:t>
            </w:r>
          </w:p>
        </w:tc>
        <w:tc>
          <w:tcPr>
            <w:tcW w:w="4133" w:type="dxa"/>
          </w:tcPr>
          <w:p>
            <w:pPr/>
            <w:r>
              <w:t xml:space="preserve">Transparent rules and escalation workflow</w:t>
            </w:r>
          </w:p>
        </w:tc>
      </w:tr>
    </w:tbl>
    <w:p>
      <w:pPr>
        <w:pStyle w:val="Heading2"/>
      </w:pPr>
      <w:r>
        <w:t xml:space="preserve">9. Indicative Data Domain</w:t>
      </w:r>
    </w:p>
    <w:p>
      <w:pPr/>
      <w:r>
        <w:t xml:space="preserve">Core entities for the PostgreSQL schema: Organization (Tenant), User, Role, Partner, PartnerTier, Agreement, Certification, Product, Listing, PriceBook, PriceRule, Opportunity, Quote, Order, OrderLine, CommissionRule, CommissionStatement, Payout, MdfRequest, Approval, Notification and AuditLog.</w:t>
      </w:r>
    </w:p>
    <w:p>
      <w:pPr/>
      <w:r>
        <w:t xml:space="preserve">Key relationships: a Partner belongs to one Tenant and one Tier; a Partner has many Listings, Opportunities and Agreements; an Order generates one or more Commission records, which roll up into Statements and Payouts; every state-changing action writes an AuditLog entry.</w:t>
      </w:r>
    </w:p>
    <w:p>
      <w:pPr>
        <w:pStyle w:val="Heading2"/>
      </w:pPr>
      <w:r>
        <w:t xml:space="preserve">10. Delivery Approach and Roadmap</w:t>
      </w:r>
    </w:p>
    <w:tbl>
      <w:tblPr>
        <w:tblStyle w:val="TableGrid"/>
        <w:tblW w:w="0" w:type="auto"/>
        <w:tblLayout w:type="fixed"/>
        <w:tblLook w:val="04A0" w:firstRow="1" w:lastRow="0" w:firstColumn="0" w:lastColumn="0" w:noHBand="0" w:noVBand="1"/>
      </w:tblPr>
      <w:tblGrid>
        <w:gridCol w:w="2499"/>
        <w:gridCol w:w="2791"/>
        <w:gridCol w:w="4070"/>
      </w:tblGrid>
      <w:tr>
        <w:trPr>
          <w:tblHeader/>
        </w:trPr>
        <w:tc>
          <w:tcPr>
            <w:tcW w:w="2499" w:type="dxa"/>
            <w:shd w:val="clear" w:color="auto" w:fill="F2F2F2"/>
          </w:tcPr>
          <w:p>
            <w:pPr/>
            <w:r>
              <w:t xml:space="preserve">Phase</w:t>
            </w:r>
          </w:p>
        </w:tc>
        <w:tc>
          <w:tcPr>
            <w:tcW w:w="2791" w:type="dxa"/>
            <w:shd w:val="clear" w:color="auto" w:fill="F2F2F2"/>
          </w:tcPr>
          <w:p>
            <w:pPr/>
            <w:r>
              <w:t xml:space="preserve">Focus</w:t>
            </w:r>
          </w:p>
        </w:tc>
        <w:tc>
          <w:tcPr>
            <w:tcW w:w="4070" w:type="dxa"/>
            <w:shd w:val="clear" w:color="auto" w:fill="F2F2F2"/>
          </w:tcPr>
          <w:p>
            <w:pPr/>
            <w:r>
              <w:t xml:space="preserve">Key Deliverables</w:t>
            </w:r>
          </w:p>
        </w:tc>
      </w:tr>
      <w:tr>
        <w:tc>
          <w:tcPr>
            <w:tcW w:w="2499" w:type="dxa"/>
          </w:tcPr>
          <w:p>
            <w:pPr/>
            <w:r>
              <w:t xml:space="preserve">Phase 0: Discovery</w:t>
            </w:r>
          </w:p>
        </w:tc>
        <w:tc>
          <w:tcPr>
            <w:tcW w:w="2791" w:type="dxa"/>
          </w:tcPr>
          <w:p>
            <w:pPr/>
            <w:r>
              <w:t xml:space="preserve">Validate scope, personas and rules</w:t>
            </w:r>
          </w:p>
        </w:tc>
        <w:tc>
          <w:tcPr>
            <w:tcW w:w="4070" w:type="dxa"/>
          </w:tcPr>
          <w:p>
            <w:pPr/>
            <w:r>
              <w:t xml:space="preserve">This document, backlog, wireframes</w:t>
            </w:r>
          </w:p>
        </w:tc>
      </w:tr>
      <w:tr>
        <w:tc>
          <w:tcPr>
            <w:tcW w:w="2499" w:type="dxa"/>
          </w:tcPr>
          <w:p>
            <w:pPr/>
            <w:r>
              <w:t xml:space="preserve">Phase 1: Foundation</w:t>
            </w:r>
          </w:p>
        </w:tc>
        <w:tc>
          <w:tcPr>
            <w:tcW w:w="2791" w:type="dxa"/>
          </w:tcPr>
          <w:p>
            <w:pPr/>
            <w:r>
              <w:t xml:space="preserve">Security, tenancy, partner onboarding</w:t>
            </w:r>
          </w:p>
        </w:tc>
        <w:tc>
          <w:tcPr>
            <w:tcW w:w="4070" w:type="dxa"/>
          </w:tcPr>
          <w:p>
            <w:pPr/>
            <w:r>
              <w:t xml:space="preserve">Auth and RBAC, onboarding workflow, admin console</w:t>
            </w:r>
          </w:p>
        </w:tc>
      </w:tr>
      <w:tr>
        <w:tc>
          <w:tcPr>
            <w:tcW w:w="2499" w:type="dxa"/>
          </w:tcPr>
          <w:p>
            <w:pPr/>
            <w:r>
              <w:t xml:space="preserve">Phase 2: Marketplace</w:t>
            </w:r>
          </w:p>
        </w:tc>
        <w:tc>
          <w:tcPr>
            <w:tcW w:w="2791" w:type="dxa"/>
          </w:tcPr>
          <w:p>
            <w:pPr/>
            <w:r>
              <w:t xml:space="preserve">Catalog, pricing, ordering</w:t>
            </w:r>
          </w:p>
        </w:tc>
        <w:tc>
          <w:tcPr>
            <w:tcW w:w="4070" w:type="dxa"/>
          </w:tcPr>
          <w:p>
            <w:pPr/>
            <w:r>
              <w:t xml:space="preserve">Catalog, price books, quote and order flows</w:t>
            </w:r>
          </w:p>
        </w:tc>
      </w:tr>
      <w:tr>
        <w:tc>
          <w:tcPr>
            <w:tcW w:w="2499" w:type="dxa"/>
          </w:tcPr>
          <w:p>
            <w:pPr/>
            <w:r>
              <w:t xml:space="preserve">Phase 3: Incentives</w:t>
            </w:r>
          </w:p>
        </w:tc>
        <w:tc>
          <w:tcPr>
            <w:tcW w:w="2791" w:type="dxa"/>
          </w:tcPr>
          <w:p>
            <w:pPr/>
            <w:r>
              <w:t xml:space="preserve">Commission and settlement</w:t>
            </w:r>
          </w:p>
        </w:tc>
        <w:tc>
          <w:tcPr>
            <w:tcW w:w="4070" w:type="dxa"/>
          </w:tcPr>
          <w:p>
            <w:pPr/>
            <w:r>
              <w:t xml:space="preserve">Rules engine, statements, payout approval</w:t>
            </w:r>
          </w:p>
        </w:tc>
      </w:tr>
      <w:tr>
        <w:tc>
          <w:tcPr>
            <w:tcW w:w="2499" w:type="dxa"/>
          </w:tcPr>
          <w:p>
            <w:pPr/>
            <w:r>
              <w:t xml:space="preserve">Phase 4: Intelligence</w:t>
            </w:r>
          </w:p>
        </w:tc>
        <w:tc>
          <w:tcPr>
            <w:tcW w:w="2791" w:type="dxa"/>
          </w:tcPr>
          <w:p>
            <w:pPr/>
            <w:r>
              <w:t xml:space="preserve">Analytics and optimization</w:t>
            </w:r>
          </w:p>
        </w:tc>
        <w:tc>
          <w:tcPr>
            <w:tcW w:w="4070" w:type="dxa"/>
          </w:tcPr>
          <w:p>
            <w:pPr/>
            <w:r>
              <w:t xml:space="preserve">Dashboards, health score, forecasting</w:t>
            </w:r>
          </w:p>
        </w:tc>
      </w:tr>
      <w:tr>
        <w:tc>
          <w:tcPr>
            <w:tcW w:w="2499" w:type="dxa"/>
          </w:tcPr>
          <w:p>
            <w:pPr/>
            <w:r>
              <w:t xml:space="preserve">Phase 5: Scale</w:t>
            </w:r>
          </w:p>
        </w:tc>
        <w:tc>
          <w:tcPr>
            <w:tcW w:w="2791" w:type="dxa"/>
          </w:tcPr>
          <w:p>
            <w:pPr/>
            <w:r>
              <w:t xml:space="preserve">Hardening and integrations</w:t>
            </w:r>
          </w:p>
        </w:tc>
        <w:tc>
          <w:tcPr>
            <w:tcW w:w="4070" w:type="dxa"/>
          </w:tcPr>
          <w:p>
            <w:pPr/>
            <w:r>
              <w:t xml:space="preserve">CRM and ERP connectors, performance tuning</w:t>
            </w:r>
          </w:p>
        </w:tc>
      </w:tr>
    </w:tbl>
    <w:p>
      <w:pPr>
        <w:pStyle w:val="Heading2"/>
      </w:pPr>
      <w:r>
        <w:t xml:space="preserve">11. Glossary</w:t>
      </w:r>
    </w:p>
    <w:tbl>
      <w:tblPr>
        <w:tblStyle w:val="TableGrid"/>
        <w:tblW w:w="0" w:type="auto"/>
        <w:tblLayout w:type="fixed"/>
        <w:tblLook w:val="04A0" w:firstRow="1" w:lastRow="0" w:firstColumn="0" w:lastColumn="0" w:noHBand="0" w:noVBand="1"/>
      </w:tblPr>
      <w:tblGrid>
        <w:gridCol w:w="3078"/>
        <w:gridCol w:w="6281"/>
      </w:tblGrid>
      <w:tr>
        <w:trPr>
          <w:tblHeader/>
        </w:trPr>
        <w:tc>
          <w:tcPr>
            <w:tcW w:w="3078" w:type="dxa"/>
            <w:shd w:val="clear" w:color="auto" w:fill="F2F2F2"/>
          </w:tcPr>
          <w:p>
            <w:pPr/>
            <w:r>
              <w:t xml:space="preserve">Term</w:t>
            </w:r>
          </w:p>
        </w:tc>
        <w:tc>
          <w:tcPr>
            <w:tcW w:w="6281" w:type="dxa"/>
            <w:shd w:val="clear" w:color="auto" w:fill="F2F2F2"/>
          </w:tcPr>
          <w:p>
            <w:pPr/>
            <w:r>
              <w:t xml:space="preserve">Definition</w:t>
            </w:r>
          </w:p>
        </w:tc>
      </w:tr>
      <w:tr>
        <w:tc>
          <w:tcPr>
            <w:tcW w:w="3078" w:type="dxa"/>
          </w:tcPr>
          <w:p>
            <w:pPr/>
            <w:r>
              <w:t xml:space="preserve">SGB</w:t>
            </w:r>
          </w:p>
        </w:tc>
        <w:tc>
          <w:tcPr>
            <w:tcW w:w="6281" w:type="dxa"/>
          </w:tcPr>
          <w:p>
            <w:pPr/>
            <w:r>
              <w:t xml:space="preserve">Strategy, Growth and Business: the domain concerned with planning, expanding and steering an organization's commercial performance</w:t>
            </w:r>
          </w:p>
        </w:tc>
      </w:tr>
      <w:tr>
        <w:tc>
          <w:tcPr>
            <w:tcW w:w="3078" w:type="dxa"/>
          </w:tcPr>
          <w:p>
            <w:pPr/>
            <w:r>
              <w:t xml:space="preserve">Partner Ecosystem</w:t>
            </w:r>
          </w:p>
        </w:tc>
        <w:tc>
          <w:tcPr>
            <w:tcW w:w="6281" w:type="dxa"/>
          </w:tcPr>
          <w:p>
            <w:pPr/>
            <w:r>
              <w:t xml:space="preserve">The network of external organizations (resellers, integrators, ISVs, referrers) that sell, deliver or extend an organization's offerings</w:t>
            </w:r>
          </w:p>
        </w:tc>
      </w:tr>
      <w:tr>
        <w:tc>
          <w:tcPr>
            <w:tcW w:w="3078" w:type="dxa"/>
          </w:tcPr>
          <w:p>
            <w:pPr/>
            <w:r>
              <w:t xml:space="preserve">Digital Marketplace</w:t>
            </w:r>
          </w:p>
        </w:tc>
        <w:tc>
          <w:tcPr>
            <w:tcW w:w="6281" w:type="dxa"/>
          </w:tcPr>
          <w:p>
            <w:pPr/>
            <w:r>
              <w:t xml:space="preserve">An online platform where multiple sellers list offerings and buyers discover and transact</w:t>
            </w:r>
          </w:p>
        </w:tc>
      </w:tr>
      <w:tr>
        <w:tc>
          <w:tcPr>
            <w:tcW w:w="3078" w:type="dxa"/>
          </w:tcPr>
          <w:p>
            <w:pPr/>
            <w:r>
              <w:t xml:space="preserve">Platform Owner</w:t>
            </w:r>
          </w:p>
        </w:tc>
        <w:tc>
          <w:tcPr>
            <w:tcW w:w="6281" w:type="dxa"/>
          </w:tcPr>
          <w:p>
            <w:pPr/>
            <w:r>
              <w:t xml:space="preserve">The organization operating the marketplace and partner program</w:t>
            </w:r>
          </w:p>
        </w:tc>
      </w:tr>
      <w:tr>
        <w:tc>
          <w:tcPr>
            <w:tcW w:w="3078" w:type="dxa"/>
          </w:tcPr>
          <w:p>
            <w:pPr/>
            <w:r>
              <w:t xml:space="preserve">Tenant</w:t>
            </w:r>
          </w:p>
        </w:tc>
        <w:tc>
          <w:tcPr>
            <w:tcW w:w="6281" w:type="dxa"/>
          </w:tcPr>
          <w:p>
            <w:pPr/>
            <w:r>
              <w:t xml:space="preserve">An isolated organizational space within a multi-tenant platform</w:t>
            </w:r>
          </w:p>
        </w:tc>
      </w:tr>
      <w:tr>
        <w:tc>
          <w:tcPr>
            <w:tcW w:w="3078" w:type="dxa"/>
          </w:tcPr>
          <w:p>
            <w:pPr/>
            <w:r>
              <w:t xml:space="preserve">ISV</w:t>
            </w:r>
          </w:p>
        </w:tc>
        <w:tc>
          <w:tcPr>
            <w:tcW w:w="6281" w:type="dxa"/>
          </w:tcPr>
          <w:p>
            <w:pPr/>
            <w:r>
              <w:t xml:space="preserve">Independent Software Vendor</w:t>
            </w:r>
          </w:p>
        </w:tc>
      </w:tr>
      <w:tr>
        <w:tc>
          <w:tcPr>
            <w:tcW w:w="3078" w:type="dxa"/>
          </w:tcPr>
          <w:p>
            <w:pPr/>
            <w:r>
              <w:t xml:space="preserve">SI</w:t>
            </w:r>
          </w:p>
        </w:tc>
        <w:tc>
          <w:tcPr>
            <w:tcW w:w="6281" w:type="dxa"/>
          </w:tcPr>
          <w:p>
            <w:pPr/>
            <w:r>
              <w:t xml:space="preserve">System Integrator</w:t>
            </w:r>
          </w:p>
        </w:tc>
      </w:tr>
      <w:tr>
        <w:tc>
          <w:tcPr>
            <w:tcW w:w="3078" w:type="dxa"/>
          </w:tcPr>
          <w:p>
            <w:pPr/>
            <w:r>
              <w:t xml:space="preserve">VAR</w:t>
            </w:r>
          </w:p>
        </w:tc>
        <w:tc>
          <w:tcPr>
            <w:tcW w:w="6281" w:type="dxa"/>
          </w:tcPr>
          <w:p>
            <w:pPr/>
            <w:r>
              <w:t xml:space="preserve">Value-Added Reseller</w:t>
            </w:r>
          </w:p>
        </w:tc>
      </w:tr>
      <w:tr>
        <w:tc>
          <w:tcPr>
            <w:tcW w:w="3078" w:type="dxa"/>
          </w:tcPr>
          <w:p>
            <w:pPr/>
            <w:r>
              <w:t xml:space="preserve">Channel</w:t>
            </w:r>
          </w:p>
        </w:tc>
        <w:tc>
          <w:tcPr>
            <w:tcW w:w="6281" w:type="dxa"/>
          </w:tcPr>
          <w:p>
            <w:pPr/>
            <w:r>
              <w:t xml:space="preserve">An indirect route to market through partners</w:t>
            </w:r>
          </w:p>
        </w:tc>
      </w:tr>
      <w:tr>
        <w:tc>
          <w:tcPr>
            <w:tcW w:w="3078" w:type="dxa"/>
          </w:tcPr>
          <w:p>
            <w:pPr/>
            <w:r>
              <w:t xml:space="preserve">Partner Tier</w:t>
            </w:r>
          </w:p>
        </w:tc>
        <w:tc>
          <w:tcPr>
            <w:tcW w:w="6281" w:type="dxa"/>
          </w:tcPr>
          <w:p>
            <w:pPr/>
            <w:r>
              <w:t xml:space="preserve">A program level (for example Silver, Gold, Platinum) that determines benefits and incentives</w:t>
            </w:r>
          </w:p>
        </w:tc>
      </w:tr>
      <w:tr>
        <w:tc>
          <w:tcPr>
            <w:tcW w:w="3078" w:type="dxa"/>
          </w:tcPr>
          <w:p>
            <w:pPr/>
            <w:r>
              <w:t xml:space="preserve">Onboarding</w:t>
            </w:r>
          </w:p>
        </w:tc>
        <w:tc>
          <w:tcPr>
            <w:tcW w:w="6281" w:type="dxa"/>
          </w:tcPr>
          <w:p>
            <w:pPr/>
            <w:r>
              <w:t xml:space="preserve">The process of admitting, verifying and enabling a new partner</w:t>
            </w:r>
          </w:p>
        </w:tc>
      </w:tr>
      <w:tr>
        <w:tc>
          <w:tcPr>
            <w:tcW w:w="3078" w:type="dxa"/>
          </w:tcPr>
          <w:p>
            <w:pPr/>
            <w:r>
              <w:t xml:space="preserve">KYC</w:t>
            </w:r>
          </w:p>
        </w:tc>
        <w:tc>
          <w:tcPr>
            <w:tcW w:w="6281" w:type="dxa"/>
          </w:tcPr>
          <w:p>
            <w:pPr/>
            <w:r>
              <w:t xml:space="preserve">Know Your Customer: identity and business verification</w:t>
            </w:r>
          </w:p>
        </w:tc>
      </w:tr>
      <w:tr>
        <w:tc>
          <w:tcPr>
            <w:tcW w:w="3078" w:type="dxa"/>
          </w:tcPr>
          <w:p>
            <w:pPr/>
            <w:r>
              <w:t xml:space="preserve">Due Diligence</w:t>
            </w:r>
          </w:p>
        </w:tc>
        <w:tc>
          <w:tcPr>
            <w:tcW w:w="6281" w:type="dxa"/>
          </w:tcPr>
          <w:p>
            <w:pPr/>
            <w:r>
              <w:t xml:space="preserve">Assessment of a partner's legal, financial and reputational standing</w:t>
            </w:r>
          </w:p>
        </w:tc>
      </w:tr>
      <w:tr>
        <w:tc>
          <w:tcPr>
            <w:tcW w:w="3078" w:type="dxa"/>
          </w:tcPr>
          <w:p>
            <w:pPr/>
            <w:r>
              <w:t xml:space="preserve">Catalog</w:t>
            </w:r>
          </w:p>
        </w:tc>
        <w:tc>
          <w:tcPr>
            <w:tcW w:w="6281" w:type="dxa"/>
          </w:tcPr>
          <w:p>
            <w:pPr/>
            <w:r>
              <w:t xml:space="preserve">The governed master set of products and services</w:t>
            </w:r>
          </w:p>
        </w:tc>
      </w:tr>
      <w:tr>
        <w:tc>
          <w:tcPr>
            <w:tcW w:w="3078" w:type="dxa"/>
          </w:tcPr>
          <w:p>
            <w:pPr/>
            <w:r>
              <w:t xml:space="preserve">Listing</w:t>
            </w:r>
          </w:p>
        </w:tc>
        <w:tc>
          <w:tcPr>
            <w:tcW w:w="6281" w:type="dxa"/>
          </w:tcPr>
          <w:p>
            <w:pPr/>
            <w:r>
              <w:t xml:space="preserve">A partner-facing or customer-facing presentation of a product or service in the marketplace</w:t>
            </w:r>
          </w:p>
        </w:tc>
      </w:tr>
      <w:tr>
        <w:tc>
          <w:tcPr>
            <w:tcW w:w="3078" w:type="dxa"/>
          </w:tcPr>
          <w:p>
            <w:pPr/>
            <w:r>
              <w:t xml:space="preserve">Price Book</w:t>
            </w:r>
          </w:p>
        </w:tc>
        <w:tc>
          <w:tcPr>
            <w:tcW w:w="6281" w:type="dxa"/>
          </w:tcPr>
          <w:p>
            <w:pPr/>
            <w:r>
              <w:t xml:space="preserve">A structured set of prices for a defined audience, region or tier</w:t>
            </w:r>
          </w:p>
        </w:tc>
      </w:tr>
      <w:tr>
        <w:tc>
          <w:tcPr>
            <w:tcW w:w="3078" w:type="dxa"/>
          </w:tcPr>
          <w:p>
            <w:pPr/>
            <w:r>
              <w:t xml:space="preserve">Deal Registration</w:t>
            </w:r>
          </w:p>
        </w:tc>
        <w:tc>
          <w:tcPr>
            <w:tcW w:w="6281" w:type="dxa"/>
          </w:tcPr>
          <w:p>
            <w:pPr/>
            <w:r>
              <w:t xml:space="preserve">A partner's formal claim to an opportunity, granting temporary protection</w:t>
            </w:r>
          </w:p>
        </w:tc>
      </w:tr>
      <w:tr>
        <w:tc>
          <w:tcPr>
            <w:tcW w:w="3078" w:type="dxa"/>
          </w:tcPr>
          <w:p>
            <w:pPr/>
            <w:r>
              <w:t xml:space="preserve">Channel Conflict</w:t>
            </w:r>
          </w:p>
        </w:tc>
        <w:tc>
          <w:tcPr>
            <w:tcW w:w="6281" w:type="dxa"/>
          </w:tcPr>
          <w:p>
            <w:pPr/>
            <w:r>
              <w:t xml:space="preserve">Competition between partners, or between partners and direct sales, for the same opportunity</w:t>
            </w:r>
          </w:p>
        </w:tc>
      </w:tr>
      <w:tr>
        <w:tc>
          <w:tcPr>
            <w:tcW w:w="3078" w:type="dxa"/>
          </w:tcPr>
          <w:p>
            <w:pPr/>
            <w:r>
              <w:t xml:space="preserve">Opportunity</w:t>
            </w:r>
          </w:p>
        </w:tc>
        <w:tc>
          <w:tcPr>
            <w:tcW w:w="6281" w:type="dxa"/>
          </w:tcPr>
          <w:p>
            <w:pPr/>
            <w:r>
              <w:t xml:space="preserve">A qualified potential sale tracked through a pipeline</w:t>
            </w:r>
          </w:p>
        </w:tc>
      </w:tr>
      <w:tr>
        <w:tc>
          <w:tcPr>
            <w:tcW w:w="3078" w:type="dxa"/>
          </w:tcPr>
          <w:p>
            <w:pPr/>
            <w:r>
              <w:t xml:space="preserve">Quote</w:t>
            </w:r>
          </w:p>
        </w:tc>
        <w:tc>
          <w:tcPr>
            <w:tcW w:w="6281" w:type="dxa"/>
          </w:tcPr>
          <w:p>
            <w:pPr/>
            <w:r>
              <w:t xml:space="preserve">A priced proposal issued to a customer</w:t>
            </w:r>
          </w:p>
        </w:tc>
      </w:tr>
      <w:tr>
        <w:tc>
          <w:tcPr>
            <w:tcW w:w="3078" w:type="dxa"/>
          </w:tcPr>
          <w:p>
            <w:pPr/>
            <w:r>
              <w:t xml:space="preserve">Commission</w:t>
            </w:r>
          </w:p>
        </w:tc>
        <w:tc>
          <w:tcPr>
            <w:tcW w:w="6281" w:type="dxa"/>
          </w:tcPr>
          <w:p>
            <w:pPr/>
            <w:r>
              <w:t xml:space="preserve">Payment to a partner for sales it sources or influences</w:t>
            </w:r>
          </w:p>
        </w:tc>
      </w:tr>
      <w:tr>
        <w:tc>
          <w:tcPr>
            <w:tcW w:w="3078" w:type="dxa"/>
          </w:tcPr>
          <w:p>
            <w:pPr/>
            <w:r>
              <w:t xml:space="preserve">Revenue Share</w:t>
            </w:r>
          </w:p>
        </w:tc>
        <w:tc>
          <w:tcPr>
            <w:tcW w:w="6281" w:type="dxa"/>
          </w:tcPr>
          <w:p>
            <w:pPr/>
            <w:r>
              <w:t xml:space="preserve">An agreed split of revenue between the platform owner and a partner</w:t>
            </w:r>
          </w:p>
        </w:tc>
      </w:tr>
      <w:tr>
        <w:tc>
          <w:tcPr>
            <w:tcW w:w="3078" w:type="dxa"/>
          </w:tcPr>
          <w:p>
            <w:pPr/>
            <w:r>
              <w:t xml:space="preserve">Rebate</w:t>
            </w:r>
          </w:p>
        </w:tc>
        <w:tc>
          <w:tcPr>
            <w:tcW w:w="6281" w:type="dxa"/>
          </w:tcPr>
          <w:p>
            <w:pPr/>
            <w:r>
              <w:t xml:space="preserve">A retrospective incentive paid after targets are achieved</w:t>
            </w:r>
          </w:p>
        </w:tc>
      </w:tr>
      <w:tr>
        <w:tc>
          <w:tcPr>
            <w:tcW w:w="3078" w:type="dxa"/>
          </w:tcPr>
          <w:p>
            <w:pPr/>
            <w:r>
              <w:t xml:space="preserve">MDF</w:t>
            </w:r>
          </w:p>
        </w:tc>
        <w:tc>
          <w:tcPr>
            <w:tcW w:w="6281" w:type="dxa"/>
          </w:tcPr>
          <w:p>
            <w:pPr/>
            <w:r>
              <w:t xml:space="preserve">Market Development Funds: budget supporting partner marketing and demand generation</w:t>
            </w:r>
          </w:p>
        </w:tc>
      </w:tr>
      <w:tr>
        <w:tc>
          <w:tcPr>
            <w:tcW w:w="3078" w:type="dxa"/>
          </w:tcPr>
          <w:p>
            <w:pPr/>
            <w:r>
              <w:t xml:space="preserve">Clawback</w:t>
            </w:r>
          </w:p>
        </w:tc>
        <w:tc>
          <w:tcPr>
            <w:tcW w:w="6281" w:type="dxa"/>
          </w:tcPr>
          <w:p>
            <w:pPr/>
            <w:r>
              <w:t xml:space="preserve">Reversal of previously paid commission, for example after a refund or cancellation</w:t>
            </w:r>
          </w:p>
        </w:tc>
      </w:tr>
      <w:tr>
        <w:tc>
          <w:tcPr>
            <w:tcW w:w="3078" w:type="dxa"/>
          </w:tcPr>
          <w:p>
            <w:pPr/>
            <w:r>
              <w:t xml:space="preserve">Settlement</w:t>
            </w:r>
          </w:p>
        </w:tc>
        <w:tc>
          <w:tcPr>
            <w:tcW w:w="6281" w:type="dxa"/>
          </w:tcPr>
          <w:p>
            <w:pPr/>
            <w:r>
              <w:t xml:space="preserve">The periodic calculation, approval and payment of partner earnings</w:t>
            </w:r>
          </w:p>
        </w:tc>
      </w:tr>
      <w:tr>
        <w:tc>
          <w:tcPr>
            <w:tcW w:w="3078" w:type="dxa"/>
          </w:tcPr>
          <w:p>
            <w:pPr/>
            <w:r>
              <w:t xml:space="preserve">Co-Sell</w:t>
            </w:r>
          </w:p>
        </w:tc>
        <w:tc>
          <w:tcPr>
            <w:tcW w:w="6281" w:type="dxa"/>
          </w:tcPr>
          <w:p>
            <w:pPr/>
            <w:r>
              <w:t xml:space="preserve">Joint selling by two or more partners or a partner and the platform owner</w:t>
            </w:r>
          </w:p>
        </w:tc>
      </w:tr>
      <w:tr>
        <w:tc>
          <w:tcPr>
            <w:tcW w:w="3078" w:type="dxa"/>
          </w:tcPr>
          <w:p>
            <w:pPr/>
            <w:r>
              <w:t xml:space="preserve">Partner Health Score</w:t>
            </w:r>
          </w:p>
        </w:tc>
        <w:tc>
          <w:tcPr>
            <w:tcW w:w="6281" w:type="dxa"/>
          </w:tcPr>
          <w:p>
            <w:pPr/>
            <w:r>
              <w:t xml:space="preserve">A composite index of partner activity, revenue, certification and engagement</w:t>
            </w:r>
          </w:p>
        </w:tc>
      </w:tr>
      <w:tr>
        <w:tc>
          <w:tcPr>
            <w:tcW w:w="3078" w:type="dxa"/>
          </w:tcPr>
          <w:p>
            <w:pPr/>
            <w:r>
              <w:t xml:space="preserve">QBR</w:t>
            </w:r>
          </w:p>
        </w:tc>
        <w:tc>
          <w:tcPr>
            <w:tcW w:w="6281" w:type="dxa"/>
          </w:tcPr>
          <w:p>
            <w:pPr/>
            <w:r>
              <w:t xml:space="preserve">Quarterly Business Review</w:t>
            </w:r>
          </w:p>
        </w:tc>
      </w:tr>
      <w:tr>
        <w:tc>
          <w:tcPr>
            <w:tcW w:w="3078" w:type="dxa"/>
          </w:tcPr>
          <w:p>
            <w:pPr/>
            <w:r>
              <w:t xml:space="preserve">RBAC</w:t>
            </w:r>
          </w:p>
        </w:tc>
        <w:tc>
          <w:tcPr>
            <w:tcW w:w="6281" w:type="dxa"/>
          </w:tcPr>
          <w:p>
            <w:pPr/>
            <w:r>
              <w:t xml:space="preserve">Role-Based Access Control</w:t>
            </w:r>
          </w:p>
        </w:tc>
      </w:tr>
      <w:tr>
        <w:tc>
          <w:tcPr>
            <w:tcW w:w="3078" w:type="dxa"/>
          </w:tcPr>
          <w:p>
            <w:pPr/>
            <w:r>
              <w:t xml:space="preserve">OIDC / OAuth2</w:t>
            </w:r>
          </w:p>
        </w:tc>
        <w:tc>
          <w:tcPr>
            <w:tcW w:w="6281" w:type="dxa"/>
          </w:tcPr>
          <w:p>
            <w:pPr/>
            <w:r>
              <w:t xml:space="preserve">Standards for authentication and delegated authorization</w:t>
            </w:r>
          </w:p>
        </w:tc>
      </w:tr>
      <w:tr>
        <w:tc>
          <w:tcPr>
            <w:tcW w:w="3078" w:type="dxa"/>
          </w:tcPr>
          <w:p>
            <w:pPr/>
            <w:r>
              <w:t xml:space="preserve">JWT</w:t>
            </w:r>
          </w:p>
        </w:tc>
        <w:tc>
          <w:tcPr>
            <w:tcW w:w="6281" w:type="dxa"/>
          </w:tcPr>
          <w:p>
            <w:pPr/>
            <w:r>
              <w:t xml:space="preserve">JSON Web Token used to carry authenticated identity claims</w:t>
            </w:r>
          </w:p>
        </w:tc>
      </w:tr>
      <w:tr>
        <w:tc>
          <w:tcPr>
            <w:tcW w:w="3078" w:type="dxa"/>
          </w:tcPr>
          <w:p>
            <w:pPr/>
            <w:r>
              <w:t xml:space="preserve">JPA</w:t>
            </w:r>
          </w:p>
        </w:tc>
        <w:tc>
          <w:tcPr>
            <w:tcW w:w="6281" w:type="dxa"/>
          </w:tcPr>
          <w:p>
            <w:pPr/>
            <w:r>
              <w:t xml:space="preserve">Java Persistence API used for object-relational mapping in Spring Boot</w:t>
            </w:r>
          </w:p>
        </w:tc>
      </w:tr>
      <w:tr>
        <w:tc>
          <w:tcPr>
            <w:tcW w:w="3078" w:type="dxa"/>
          </w:tcPr>
          <w:p>
            <w:pPr/>
            <w:r>
              <w:t xml:space="preserve">JSONB</w:t>
            </w:r>
          </w:p>
        </w:tc>
        <w:tc>
          <w:tcPr>
            <w:tcW w:w="6281" w:type="dxa"/>
          </w:tcPr>
          <w:p>
            <w:pPr/>
            <w:r>
              <w:t xml:space="preserve">PostgreSQL binary JSON column type for flexible attributes</w:t>
            </w:r>
          </w:p>
        </w:tc>
      </w:tr>
      <w:tr>
        <w:tc>
          <w:tcPr>
            <w:tcW w:w="3078" w:type="dxa"/>
          </w:tcPr>
          <w:p>
            <w:pPr/>
            <w:r>
              <w:t xml:space="preserve">Audit Trail</w:t>
            </w:r>
          </w:p>
        </w:tc>
        <w:tc>
          <w:tcPr>
            <w:tcW w:w="6281" w:type="dxa"/>
          </w:tcPr>
          <w:p>
            <w:pPr/>
            <w:r>
              <w:t xml:space="preserve">A tamper-evident record of who did what and when</w:t>
            </w:r>
          </w:p>
        </w:tc>
      </w:tr>
      <w:tr>
        <w:tc>
          <w:tcPr>
            <w:tcW w:w="3078" w:type="dxa"/>
          </w:tcPr>
          <w:p>
            <w:pPr/>
            <w:r>
              <w:t xml:space="preserve">Multi-Tenancy</w:t>
            </w:r>
          </w:p>
        </w:tc>
        <w:tc>
          <w:tcPr>
            <w:tcW w:w="6281" w:type="dxa"/>
          </w:tcPr>
          <w:p>
            <w:pPr/>
            <w:r>
              <w:t xml:space="preserve">An architecture in which one application instance serves multiple isolated tenants</w:t>
            </w:r>
          </w:p>
        </w:tc>
      </w:tr>
      <w:tr>
        <w:tc>
          <w:tcPr>
            <w:tcW w:w="3078" w:type="dxa"/>
          </w:tcPr>
          <w:p>
            <w:pPr/>
            <w:r>
              <w:t xml:space="preserve">MVP</w:t>
            </w:r>
          </w:p>
        </w:tc>
        <w:tc>
          <w:tcPr>
            <w:tcW w:w="6281" w:type="dxa"/>
          </w:tcPr>
          <w:p>
            <w:pPr/>
            <w:r>
              <w:t xml:space="preserve">Minimum Viable Product</w:t>
            </w:r>
          </w:p>
        </w:tc>
      </w:tr>
      <w:tr>
        <w:tc>
          <w:tcPr>
            <w:tcW w:w="3078" w:type="dxa"/>
          </w:tcPr>
          <w:p>
            <w:pPr/>
            <w:r>
              <w:t xml:space="preserve">WCAG</w:t>
            </w:r>
          </w:p>
        </w:tc>
        <w:tc>
          <w:tcPr>
            <w:tcW w:w="6281" w:type="dxa"/>
          </w:tcPr>
          <w:p>
            <w:pPr/>
            <w:r>
              <w:t xml:space="preserve">Web Content Accessibility Guidelines</w:t>
            </w:r>
          </w:p>
        </w:tc>
      </w:tr>
    </w:tbl>
    <w:p>
      <w:pPr>
        <w:pStyle w:val="Heading2"/>
      </w:pPr>
      <w:r>
        <w:t xml:space="preserve">12. Document Control</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Item</w:t>
            </w:r>
          </w:p>
        </w:tc>
        <w:tc>
          <w:tcPr>
            <w:tcW w:w="6867" w:type="dxa"/>
            <w:shd w:val="clear" w:color="auto" w:fill="F2F2F2"/>
          </w:tcPr>
          <w:p>
            <w:pPr/>
            <w:r>
              <w:t xml:space="preserve">Detail</w:t>
            </w:r>
          </w:p>
        </w:tc>
      </w:tr>
      <w:tr>
        <w:tc>
          <w:tcPr>
            <w:tcW w:w="2492" w:type="dxa"/>
          </w:tcPr>
          <w:p>
            <w:pPr/>
            <w:r>
              <w:t xml:space="preserve">Document title</w:t>
            </w:r>
          </w:p>
        </w:tc>
        <w:tc>
          <w:tcPr>
            <w:tcW w:w="6867" w:type="dxa"/>
          </w:tcPr>
          <w:p>
            <w:pPr/>
            <w:r>
              <w:t xml:space="preserve">SGB Digital Marketplace and Partner Ecosystem Platform: Theme Exploration and Problem Statement</w:t>
            </w:r>
          </w:p>
        </w:tc>
      </w:tr>
      <w:tr>
        <w:tc>
          <w:tcPr>
            <w:tcW w:w="2492" w:type="dxa"/>
          </w:tcPr>
          <w:p>
            <w:pPr/>
            <w:r>
              <w:t xml:space="preserve">Version</w:t>
            </w:r>
          </w:p>
        </w:tc>
        <w:tc>
          <w:tcPr>
            <w:tcW w:w="6867" w:type="dxa"/>
          </w:tcPr>
          <w:p>
            <w:pPr/>
            <w:r>
              <w:t xml:space="preserve">1.0 (Draft)</w:t>
            </w:r>
          </w:p>
        </w:tc>
      </w:tr>
      <w:tr>
        <w:tc>
          <w:tcPr>
            <w:tcW w:w="2492" w:type="dxa"/>
          </w:tcPr>
          <w:p>
            <w:pPr/>
            <w:r>
              <w:t xml:space="preserve">Owner</w:t>
            </w:r>
          </w:p>
        </w:tc>
        <w:tc>
          <w:tcPr>
            <w:tcW w:w="6867" w:type="dxa"/>
          </w:tcPr>
          <w:p>
            <w:pPr/>
            <w:r>
              <w:t xml:space="preserve">Project Team</w:t>
            </w:r>
          </w:p>
        </w:tc>
      </w:tr>
      <w:tr>
        <w:tc>
          <w:tcPr>
            <w:tcW w:w="2492" w:type="dxa"/>
          </w:tcPr>
          <w:p>
            <w:pPr/>
            <w:r>
              <w:t xml:space="preserve">Reviewers</w:t>
            </w:r>
          </w:p>
        </w:tc>
        <w:tc>
          <w:tcPr>
            <w:tcW w:w="6867" w:type="dxa"/>
          </w:tcPr>
          <w:p>
            <w:pPr/>
            <w:r>
              <w:t xml:space="preserve">Business Sponsor, Solution Architect, Product Owner</w:t>
            </w:r>
          </w:p>
        </w:tc>
      </w:tr>
      <w:tr>
        <w:tc>
          <w:tcPr>
            <w:tcW w:w="2492" w:type="dxa"/>
          </w:tcPr>
          <w:p>
            <w:pPr/>
            <w:r>
              <w:t xml:space="preserve">Next review</w:t>
            </w:r>
          </w:p>
        </w:tc>
        <w:tc>
          <w:tcPr>
            <w:tcW w:w="6867" w:type="dxa"/>
          </w:tcPr>
          <w:p>
            <w:pPr/>
            <w:r>
              <w:t xml:space="preserve">After stakeholder validation of scope and priorities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SGB Digital Marketplace &amp; Partner Ecosystem Platform</dc:title>
  <dc:description>Claude Docs node/46fd8cff-8d28@1 docx-w7</dc:description>
  <cp:revision>1</cp:revision>
</cp:coreProperties>
</file>