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2E75B6"/>
          <w:sz w:val="28"/>
          <w:szCs w:val="28"/>
        </w:rPr>
        <w:t xml:space="preserve">YuvaIntern</w:t>
      </w:r>
    </w:p>
    <w:p>
      <w:pPr>
        <w:spacing w:after="120"/>
        <w:jc w:val="center"/>
      </w:pPr>
      <w:r>
        <w:rPr>
          <w:rFonts w:ascii="Calibri" w:cs="Calibri" w:eastAsia="Calibri" w:hAnsi="Calibri"/>
          <w:b/>
          <w:bCs/>
          <w:color w:val="1F3864"/>
          <w:sz w:val="44"/>
          <w:szCs w:val="44"/>
        </w:rPr>
        <w:t xml:space="preserve">Strategic Plan for Quality Improvement in Medical Coding</w:t>
      </w:r>
    </w:p>
    <w:p>
      <w:pPr>
        <w:pBdr>
          <w:bottom w:val="single" w:color="2E75B6" w:sz="12" w:space="6"/>
        </w:pBdr>
        <w:spacing w:after="360"/>
        <w:jc w:val="center"/>
      </w:pPr>
      <w:r>
        <w:rPr>
          <w:rFonts w:ascii="Calibri" w:cs="Calibri" w:eastAsia="Calibri" w:hAnsi="Calibri"/>
          <w:i/>
          <w:iCs/>
          <w:color w:val="595959"/>
          <w:sz w:val="24"/>
          <w:szCs w:val="24"/>
        </w:rPr>
        <w:t xml:space="preserve">Tailored for Medical Coding Training Course Students  |  Week 1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Field</w:t>
            </w:r>
          </w:p>
        </w:tc>
        <w:tc>
          <w:tcPr>
            <w:tcW w:type="dxa" w:w="70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Details</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Submitted by</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Sapate Aditya Rajendra</w:t>
            </w:r>
          </w:p>
        </w:tc>
      </w:tr>
      <w:t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Email</w:t>
            </w:r>
          </w:p>
        </w:tc>
        <w:tc>
          <w:tcPr>
            <w:tcW w:type="dxa" w:w="70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adityasapate007@gmail.com</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Date</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30/10/2026</w:t>
            </w:r>
          </w:p>
        </w:tc>
      </w:tr>
      <w:t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Programme</w:t>
            </w:r>
          </w:p>
        </w:tc>
        <w:tc>
          <w:tcPr>
            <w:tcW w:type="dxa" w:w="70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YuvaIntern – Week 1 Task</w:t>
            </w:r>
          </w:p>
        </w:tc>
      </w:tr>
      <w:t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Task</w:t>
            </w:r>
          </w:p>
        </w:tc>
        <w:tc>
          <w:tcPr>
            <w:tcW w:type="dxa" w:w="7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Strategic Planning for Quality Improvement in Medical Coding</w:t>
            </w:r>
          </w:p>
        </w:tc>
      </w:tr>
    </w:tbl>
    <w:p>
      <w:pPr>
        <w:spacing w:after="100"/>
      </w:pPr>
    </w:p>
    <w:p>
      <w:pPr>
        <w:pStyle w:val="Heading1"/>
        <w:pBdr>
          <w:bottom w:val="single" w:color="2E75B6" w:sz="8" w:space="2"/>
        </w:pBdr>
        <w:spacing w:after="140" w:before="320"/>
      </w:pPr>
      <w:r>
        <w:rPr>
          <w:rFonts w:ascii="Calibri" w:cs="Calibri" w:eastAsia="Calibri" w:hAnsi="Calibri"/>
          <w:b/>
          <w:bCs/>
          <w:color w:val="1F3864"/>
          <w:sz w:val="32"/>
          <w:szCs w:val="32"/>
        </w:rPr>
        <w:t xml:space="preserve">1. Executive Summary</w:t>
      </w:r>
    </w:p>
    <w:p>
      <w:pPr>
        <w:spacing w:after="120" w:line="276"/>
        <w:jc w:val="both"/>
      </w:pPr>
      <w:r>
        <w:rPr>
          <w:rFonts w:ascii="Calibri" w:cs="Calibri" w:eastAsia="Calibri" w:hAnsi="Calibri"/>
          <w:sz w:val="22"/>
          <w:szCs w:val="22"/>
        </w:rPr>
        <w:t xml:space="preserve">Medical coding converts clinical documentation – diagnoses, procedures, services and supplies – into standardised alphanumeric codes that drive billing, claims, public-health statistics, clinical research and audits. A single wrong character can cause a claim denial, an overpayment, a compliance finding or a distorted patient record. For this reason, accuracy and compliance are the core quality measures of the profession.</w:t>
      </w:r>
    </w:p>
    <w:p>
      <w:pPr>
        <w:spacing w:after="120" w:line="276"/>
        <w:jc w:val="both"/>
      </w:pPr>
      <w:r>
        <w:rPr>
          <w:rFonts w:ascii="Calibri" w:cs="Calibri" w:eastAsia="Calibri" w:hAnsi="Calibri"/>
          <w:sz w:val="22"/>
          <w:szCs w:val="22"/>
        </w:rPr>
        <w:t xml:space="preserve">This document presents a 12-month strategic plan to improve the quality of medical coding training. It focuses on the skills that students must have before entering the workforce: accurate code assignment, correct use of official guidelines, reading and querying clinical documentation, and keeping up with annual code-set changes.</w:t>
      </w:r>
    </w:p>
    <w:p>
      <w:pPr>
        <w:spacing w:after="120" w:line="276"/>
        <w:jc w:val="both"/>
      </w:pPr>
      <w:r>
        <w:rPr>
          <w:rFonts w:ascii="Calibri" w:cs="Calibri" w:eastAsia="Calibri" w:hAnsi="Calibri"/>
          <w:sz w:val="22"/>
          <w:szCs w:val="22"/>
        </w:rPr>
        <w:t xml:space="preserve">The plan is built on five strategic goals:</w:t>
      </w:r>
    </w:p>
    <w:p>
      <w:pPr>
        <w:pStyle w:val="ListParagraph"/>
        <w:numPr>
          <w:ilvl w:val="0"/>
          <w:numId w:val="2"/>
        </w:numPr>
        <w:spacing w:after="70" w:line="264"/>
      </w:pPr>
      <w:r>
        <w:rPr>
          <w:rFonts w:ascii="Calibri" w:cs="Calibri" w:eastAsia="Calibri" w:hAnsi="Calibri"/>
          <w:b/>
          <w:bCs/>
          <w:sz w:val="22"/>
          <w:szCs w:val="22"/>
        </w:rPr>
        <w:t xml:space="preserve">Accuracy – </w:t>
      </w:r>
      <w:r>
        <w:rPr>
          <w:rFonts w:ascii="Calibri" w:cs="Calibri" w:eastAsia="Calibri" w:hAnsi="Calibri"/>
          <w:sz w:val="22"/>
          <w:szCs w:val="22"/>
        </w:rPr>
        <w:t xml:space="preserve">raise student coding accuracy on practice charts to professional benchmarks (95% or higher).</w:t>
      </w:r>
    </w:p>
    <w:p>
      <w:pPr>
        <w:pStyle w:val="ListParagraph"/>
        <w:numPr>
          <w:ilvl w:val="0"/>
          <w:numId w:val="2"/>
        </w:numPr>
        <w:spacing w:after="70" w:line="264"/>
      </w:pPr>
      <w:r>
        <w:rPr>
          <w:rFonts w:ascii="Calibri" w:cs="Calibri" w:eastAsia="Calibri" w:hAnsi="Calibri"/>
          <w:b/>
          <w:bCs/>
          <w:sz w:val="22"/>
          <w:szCs w:val="22"/>
        </w:rPr>
        <w:t xml:space="preserve">Currency – </w:t>
      </w:r>
      <w:r>
        <w:rPr>
          <w:rFonts w:ascii="Calibri" w:cs="Calibri" w:eastAsia="Calibri" w:hAnsi="Calibri"/>
          <w:sz w:val="22"/>
          <w:szCs w:val="22"/>
        </w:rPr>
        <w:t xml:space="preserve">make sure every learner trains on the code set and guidelines in force (current ICD-10-CM/PCS, CPT and HCPCS Level II).</w:t>
      </w:r>
    </w:p>
    <w:p>
      <w:pPr>
        <w:pStyle w:val="ListParagraph"/>
        <w:numPr>
          <w:ilvl w:val="0"/>
          <w:numId w:val="2"/>
        </w:numPr>
        <w:spacing w:after="70" w:line="264"/>
      </w:pPr>
      <w:r>
        <w:rPr>
          <w:rFonts w:ascii="Calibri" w:cs="Calibri" w:eastAsia="Calibri" w:hAnsi="Calibri"/>
          <w:b/>
          <w:bCs/>
          <w:sz w:val="22"/>
          <w:szCs w:val="22"/>
        </w:rPr>
        <w:t xml:space="preserve">Error reduction – </w:t>
      </w:r>
      <w:r>
        <w:rPr>
          <w:rFonts w:ascii="Calibri" w:cs="Calibri" w:eastAsia="Calibri" w:hAnsi="Calibri"/>
          <w:sz w:val="22"/>
          <w:szCs w:val="22"/>
        </w:rPr>
        <w:t xml:space="preserve">use audit-and-feedback cycles and error-pattern analysis so that the same mistakes are not repeated.</w:t>
      </w:r>
    </w:p>
    <w:p>
      <w:pPr>
        <w:pStyle w:val="ListParagraph"/>
        <w:numPr>
          <w:ilvl w:val="0"/>
          <w:numId w:val="2"/>
        </w:numPr>
        <w:spacing w:after="70" w:line="264"/>
      </w:pPr>
      <w:r>
        <w:rPr>
          <w:rFonts w:ascii="Calibri" w:cs="Calibri" w:eastAsia="Calibri" w:hAnsi="Calibri"/>
          <w:b/>
          <w:bCs/>
          <w:sz w:val="22"/>
          <w:szCs w:val="22"/>
        </w:rPr>
        <w:t xml:space="preserve">Compliance and ethics – </w:t>
      </w:r>
      <w:r>
        <w:rPr>
          <w:rFonts w:ascii="Calibri" w:cs="Calibri" w:eastAsia="Calibri" w:hAnsi="Calibri"/>
          <w:sz w:val="22"/>
          <w:szCs w:val="22"/>
        </w:rPr>
        <w:t xml:space="preserve">embed HIPAA, query practice and ethical-coding standards throughout the course.</w:t>
      </w:r>
    </w:p>
    <w:p>
      <w:pPr>
        <w:pStyle w:val="ListParagraph"/>
        <w:numPr>
          <w:ilvl w:val="0"/>
          <w:numId w:val="2"/>
        </w:numPr>
        <w:spacing w:after="70" w:line="264"/>
      </w:pPr>
      <w:r>
        <w:rPr>
          <w:rFonts w:ascii="Calibri" w:cs="Calibri" w:eastAsia="Calibri" w:hAnsi="Calibri"/>
          <w:b/>
          <w:bCs/>
          <w:sz w:val="22"/>
          <w:szCs w:val="22"/>
        </w:rPr>
        <w:t xml:space="preserve">Continuous learning – </w:t>
      </w:r>
      <w:r>
        <w:rPr>
          <w:rFonts w:ascii="Calibri" w:cs="Calibri" w:eastAsia="Calibri" w:hAnsi="Calibri"/>
          <w:sz w:val="22"/>
          <w:szCs w:val="22"/>
        </w:rPr>
        <w:t xml:space="preserve">build habits of lifelong professional education that continue after certification.</w:t>
      </w:r>
    </w:p>
    <w:p>
      <w:pPr>
        <w:spacing w:after="120" w:line="276"/>
        <w:jc w:val="both"/>
      </w:pPr>
      <w:r>
        <w:rPr>
          <w:rFonts w:ascii="Calibri" w:cs="Calibri" w:eastAsia="Calibri" w:hAnsi="Calibri"/>
          <w:sz w:val="22"/>
          <w:szCs w:val="22"/>
        </w:rPr>
        <w:t xml:space="preserve">Progress will be tracked with measurable key performance indicators (KPIs) such as coding accuracy, error rate by category, first-attempt certification pass rate, and student confidence. The plan is organised in five phases, from baseline assessment (Month 1) to evaluation and sustainability (Months 10–12).</w:t>
      </w:r>
    </w:p>
    <w:p>
      <w:pPr>
        <w:pStyle w:val="Heading1"/>
        <w:pBdr>
          <w:bottom w:val="single" w:color="2E75B6" w:sz="8" w:space="2"/>
        </w:pBdr>
        <w:spacing w:after="140" w:before="320"/>
      </w:pPr>
      <w:r>
        <w:rPr>
          <w:rFonts w:ascii="Calibri" w:cs="Calibri" w:eastAsia="Calibri" w:hAnsi="Calibri"/>
          <w:b/>
          <w:bCs/>
          <w:color w:val="1F3864"/>
          <w:sz w:val="32"/>
          <w:szCs w:val="32"/>
        </w:rPr>
        <w:t xml:space="preserve">2. Background</w:t>
      </w:r>
    </w:p>
    <w:p>
      <w:pPr>
        <w:pStyle w:val="Heading2"/>
        <w:spacing w:after="100" w:before="220"/>
      </w:pPr>
      <w:r>
        <w:rPr>
          <w:rFonts w:ascii="Calibri" w:cs="Calibri" w:eastAsia="Calibri" w:hAnsi="Calibri"/>
          <w:b/>
          <w:bCs/>
          <w:color w:val="2E75B6"/>
          <w:sz w:val="26"/>
          <w:szCs w:val="26"/>
        </w:rPr>
        <w:t xml:space="preserve">2.1 Role of medical coding in healthcare</w:t>
      </w:r>
    </w:p>
    <w:p>
      <w:pPr>
        <w:spacing w:after="120" w:line="276"/>
        <w:jc w:val="both"/>
      </w:pPr>
      <w:r>
        <w:rPr>
          <w:rFonts w:ascii="Calibri" w:cs="Calibri" w:eastAsia="Calibri" w:hAnsi="Calibri"/>
          <w:sz w:val="22"/>
          <w:szCs w:val="22"/>
        </w:rPr>
        <w:t xml:space="preserve">Medical coders translate documentation written by physicians and other providers into standard code sets. These code sets are the common language between providers, payers, regulators and researchers. The main code sets covered in a typical training course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38"/>
        <w:gridCol w:w="31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Code set</w:t>
            </w:r>
          </w:p>
        </w:tc>
        <w:tc>
          <w:tcPr>
            <w:tcW w:type="dxa" w:w="42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Used for</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Maintained by</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ICD-10-CM</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Diagnosis coding (all healthcare settings, US)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CDC / NCHS (with CMS for guideline approval)</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ICD-10-PCS</w:t>
            </w:r>
          </w:p>
        </w:tc>
        <w:tc>
          <w:tcPr>
            <w:tcW w:type="dxa" w:w="42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Inpatient hospital procedure coding (US)</w:t>
            </w:r>
          </w:p>
        </w:tc>
        <w:tc>
          <w:tcPr>
            <w:tcW w:type="dxa" w:w="3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CMS</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CPT</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Procedures and services by physicians and other providers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American Medical Association (AMA)</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HCPCS Level II</w:t>
            </w:r>
          </w:p>
        </w:tc>
        <w:tc>
          <w:tcPr>
            <w:tcW w:type="dxa" w:w="42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Supplies, equipment, drugs and non-physician services</w:t>
            </w:r>
          </w:p>
        </w:tc>
        <w:tc>
          <w:tcPr>
            <w:tcW w:type="dxa" w:w="3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CMS</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ICD-10 (WHO) / ICD-11</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International morbidity and mortality statistics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World Health Organization (WHO)</w:t>
            </w:r>
          </w:p>
        </w:tc>
      </w:tr>
    </w:tbl>
    <w:p>
      <w:pPr>
        <w:spacing w:after="100"/>
      </w:pPr>
    </w:p>
    <w:p>
      <w:pPr>
        <w:pStyle w:val="Heading2"/>
        <w:spacing w:after="100" w:before="220"/>
      </w:pPr>
      <w:r>
        <w:rPr>
          <w:rFonts w:ascii="Calibri" w:cs="Calibri" w:eastAsia="Calibri" w:hAnsi="Calibri"/>
          <w:b/>
          <w:bCs/>
          <w:color w:val="2E75B6"/>
          <w:sz w:val="26"/>
          <w:szCs w:val="26"/>
        </w:rPr>
        <w:t xml:space="preserve">2.2 Why quality matters</w:t>
      </w:r>
    </w:p>
    <w:p>
      <w:pPr>
        <w:pStyle w:val="ListParagraph"/>
        <w:numPr>
          <w:ilvl w:val="0"/>
          <w:numId w:val="2"/>
        </w:numPr>
        <w:spacing w:after="70" w:line="264"/>
      </w:pPr>
      <w:r>
        <w:rPr>
          <w:rFonts w:ascii="Calibri" w:cs="Calibri" w:eastAsia="Calibri" w:hAnsi="Calibri"/>
          <w:b/>
          <w:bCs/>
          <w:sz w:val="22"/>
          <w:szCs w:val="22"/>
        </w:rPr>
        <w:t xml:space="preserve">Financial impact: </w:t>
      </w:r>
      <w:r>
        <w:rPr>
          <w:rFonts w:ascii="Calibri" w:cs="Calibri" w:eastAsia="Calibri" w:hAnsi="Calibri"/>
          <w:sz w:val="22"/>
          <w:szCs w:val="22"/>
        </w:rPr>
        <w:t xml:space="preserve">incorrect or non-specific codes lead to claim denials, rework, delayed payment and, in some cases, overpayments that must be returned.</w:t>
      </w:r>
    </w:p>
    <w:p>
      <w:pPr>
        <w:pStyle w:val="ListParagraph"/>
        <w:numPr>
          <w:ilvl w:val="0"/>
          <w:numId w:val="2"/>
        </w:numPr>
        <w:spacing w:after="70" w:line="264"/>
      </w:pPr>
      <w:r>
        <w:rPr>
          <w:rFonts w:ascii="Calibri" w:cs="Calibri" w:eastAsia="Calibri" w:hAnsi="Calibri"/>
          <w:b/>
          <w:bCs/>
          <w:sz w:val="22"/>
          <w:szCs w:val="22"/>
        </w:rPr>
        <w:t xml:space="preserve">Compliance: </w:t>
      </w:r>
      <w:r>
        <w:rPr>
          <w:rFonts w:ascii="Calibri" w:cs="Calibri" w:eastAsia="Calibri" w:hAnsi="Calibri"/>
          <w:sz w:val="22"/>
          <w:szCs w:val="22"/>
        </w:rPr>
        <w:t xml:space="preserve">in the US, HIPAA requires the use of the standard code sets, and coding is regularly reviewed in payer and external audits.</w:t>
      </w:r>
    </w:p>
    <w:p>
      <w:pPr>
        <w:pStyle w:val="ListParagraph"/>
        <w:numPr>
          <w:ilvl w:val="0"/>
          <w:numId w:val="2"/>
        </w:numPr>
        <w:spacing w:after="70" w:line="264"/>
      </w:pPr>
      <w:r>
        <w:rPr>
          <w:rFonts w:ascii="Calibri" w:cs="Calibri" w:eastAsia="Calibri" w:hAnsi="Calibri"/>
          <w:b/>
          <w:bCs/>
          <w:sz w:val="22"/>
          <w:szCs w:val="22"/>
        </w:rPr>
        <w:t xml:space="preserve">Data integrity: </w:t>
      </w:r>
      <w:r>
        <w:rPr>
          <w:rFonts w:ascii="Calibri" w:cs="Calibri" w:eastAsia="Calibri" w:hAnsi="Calibri"/>
          <w:sz w:val="22"/>
          <w:szCs w:val="22"/>
        </w:rPr>
        <w:t xml:space="preserve">coded data is used for hospital statistics, quality reporting, risk adjustment and research.</w:t>
      </w:r>
    </w:p>
    <w:p>
      <w:pPr>
        <w:pStyle w:val="ListParagraph"/>
        <w:numPr>
          <w:ilvl w:val="0"/>
          <w:numId w:val="2"/>
        </w:numPr>
        <w:spacing w:after="70" w:line="264"/>
      </w:pPr>
      <w:r>
        <w:rPr>
          <w:rFonts w:ascii="Calibri" w:cs="Calibri" w:eastAsia="Calibri" w:hAnsi="Calibri"/>
          <w:b/>
          <w:bCs/>
          <w:sz w:val="22"/>
          <w:szCs w:val="22"/>
        </w:rPr>
        <w:t xml:space="preserve">Patient record accuracy: </w:t>
      </w:r>
      <w:r>
        <w:rPr>
          <w:rFonts w:ascii="Calibri" w:cs="Calibri" w:eastAsia="Calibri" w:hAnsi="Calibri"/>
          <w:sz w:val="22"/>
          <w:szCs w:val="22"/>
        </w:rPr>
        <w:t xml:space="preserve">the coded record follows the patient and supports later care and coverage decisions.</w:t>
      </w:r>
    </w:p>
    <w:p>
      <w:pPr>
        <w:pStyle w:val="Heading2"/>
        <w:spacing w:after="100" w:before="220"/>
      </w:pPr>
      <w:r>
        <w:rPr>
          <w:rFonts w:ascii="Calibri" w:cs="Calibri" w:eastAsia="Calibri" w:hAnsi="Calibri"/>
          <w:b/>
          <w:bCs/>
          <w:color w:val="2E75B6"/>
          <w:sz w:val="26"/>
          <w:szCs w:val="26"/>
        </w:rPr>
        <w:t xml:space="preserve">2.3 The annual change cycle</w:t>
      </w:r>
    </w:p>
    <w:p>
      <w:pPr>
        <w:spacing w:after="120" w:line="276"/>
        <w:jc w:val="both"/>
      </w:pPr>
      <w:r>
        <w:rPr>
          <w:rFonts w:ascii="Calibri" w:cs="Calibri" w:eastAsia="Calibri" w:hAnsi="Calibri"/>
          <w:sz w:val="22"/>
          <w:szCs w:val="22"/>
        </w:rPr>
        <w:t xml:space="preserve">Code sets are not static. ICD-10-CM and ICD-10-PCS are updated every year by CMS and CDC with effect from 1 October, and CPT and HCPCS Level II are updated every 1 January (HCPCS also quarterly). Each update adds, revises and deletes codes and may change the Official Guidelines for Coding and Reporting.</w:t>
      </w:r>
    </w:p>
    <w:p>
      <w:pPr>
        <w:spacing w:after="120" w:line="276"/>
        <w:jc w:val="both"/>
      </w:pPr>
      <w:r>
        <w:rPr>
          <w:rFonts w:ascii="Calibri" w:cs="Calibri" w:eastAsia="Calibri" w:hAnsi="Calibri"/>
          <w:sz w:val="22"/>
          <w:szCs w:val="22"/>
        </w:rPr>
        <w:t xml:space="preserve">Because codes are added, revised and deleted every year, a course that uses outdated books or practice charts directly teaches students to make errors. Keeping content current is therefore a core quality requirement, not an optional extra.</w:t>
      </w:r>
    </w:p>
    <w:p>
      <w:pPr>
        <w:pStyle w:val="Heading1"/>
        <w:pBdr>
          <w:bottom w:val="single" w:color="2E75B6" w:sz="8" w:space="2"/>
        </w:pBdr>
        <w:spacing w:after="140" w:before="320"/>
      </w:pPr>
      <w:r>
        <w:rPr>
          <w:rFonts w:ascii="Calibri" w:cs="Calibri" w:eastAsia="Calibri" w:hAnsi="Calibri"/>
          <w:b/>
          <w:bCs/>
          <w:color w:val="1F3864"/>
          <w:sz w:val="32"/>
          <w:szCs w:val="32"/>
        </w:rPr>
        <w:t xml:space="preserve">3. Research Findings: Trends and Challenges</w:t>
      </w:r>
    </w:p>
    <w:p>
      <w:pPr>
        <w:pStyle w:val="Heading2"/>
        <w:spacing w:after="100" w:before="220"/>
      </w:pPr>
      <w:r>
        <w:rPr>
          <w:rFonts w:ascii="Calibri" w:cs="Calibri" w:eastAsia="Calibri" w:hAnsi="Calibri"/>
          <w:b/>
          <w:bCs/>
          <w:color w:val="2E75B6"/>
          <w:sz w:val="26"/>
          <w:szCs w:val="26"/>
        </w:rPr>
        <w:t xml:space="preserve">3.1 Current trends in coding practice and training</w:t>
      </w:r>
    </w:p>
    <w:p>
      <w:pPr>
        <w:pStyle w:val="ListParagraph"/>
        <w:numPr>
          <w:ilvl w:val="0"/>
          <w:numId w:val="2"/>
        </w:numPr>
        <w:spacing w:after="70" w:line="264"/>
      </w:pPr>
      <w:r>
        <w:rPr>
          <w:rFonts w:ascii="Calibri" w:cs="Calibri" w:eastAsia="Calibri" w:hAnsi="Calibri"/>
          <w:b/>
          <w:bCs/>
          <w:sz w:val="22"/>
          <w:szCs w:val="22"/>
        </w:rPr>
        <w:t xml:space="preserve">Computer-assisted coding (CAC) and AI tools: </w:t>
      </w:r>
      <w:r>
        <w:rPr>
          <w:rFonts w:ascii="Calibri" w:cs="Calibri" w:eastAsia="Calibri" w:hAnsi="Calibri"/>
          <w:sz w:val="22"/>
          <w:szCs w:val="22"/>
        </w:rPr>
        <w:t xml:space="preserve">software suggests codes from clinical text. Coders increasingly act as validators and auditors, so training must teach critical review of suggested codes rather than blind acceptance.</w:t>
      </w:r>
    </w:p>
    <w:p>
      <w:pPr>
        <w:pStyle w:val="ListParagraph"/>
        <w:numPr>
          <w:ilvl w:val="0"/>
          <w:numId w:val="2"/>
        </w:numPr>
        <w:spacing w:after="70" w:line="264"/>
      </w:pPr>
      <w:r>
        <w:rPr>
          <w:rFonts w:ascii="Calibri" w:cs="Calibri" w:eastAsia="Calibri" w:hAnsi="Calibri"/>
          <w:b/>
          <w:bCs/>
          <w:sz w:val="22"/>
          <w:szCs w:val="22"/>
        </w:rPr>
        <w:t xml:space="preserve">Clinical documentation improvement (CDI) and compliant queries: </w:t>
      </w:r>
      <w:r>
        <w:rPr>
          <w:rFonts w:ascii="Calibri" w:cs="Calibri" w:eastAsia="Calibri" w:hAnsi="Calibri"/>
          <w:sz w:val="22"/>
          <w:szCs w:val="22"/>
        </w:rPr>
        <w:t xml:space="preserve">coders are expected to recognise unclear or conflicting documentation and raise non-leading queries to providers, following AHIMA/ACDIS query-practice guidance.</w:t>
      </w:r>
    </w:p>
    <w:p>
      <w:pPr>
        <w:pStyle w:val="ListParagraph"/>
        <w:numPr>
          <w:ilvl w:val="0"/>
          <w:numId w:val="2"/>
        </w:numPr>
        <w:spacing w:after="70" w:line="264"/>
      </w:pPr>
      <w:r>
        <w:rPr>
          <w:rFonts w:ascii="Calibri" w:cs="Calibri" w:eastAsia="Calibri" w:hAnsi="Calibri"/>
          <w:b/>
          <w:bCs/>
          <w:sz w:val="22"/>
          <w:szCs w:val="22"/>
        </w:rPr>
        <w:t xml:space="preserve">Remote and hybrid work: </w:t>
      </w:r>
      <w:r>
        <w:rPr>
          <w:rFonts w:ascii="Calibri" w:cs="Calibri" w:eastAsia="Calibri" w:hAnsi="Calibri"/>
          <w:sz w:val="22"/>
          <w:szCs w:val="22"/>
        </w:rPr>
        <w:t xml:space="preserve">employers prefer coders who can work independently with limited supervision, which raises the importance of self-checking skills.</w:t>
      </w:r>
    </w:p>
    <w:p>
      <w:pPr>
        <w:pStyle w:val="ListParagraph"/>
        <w:numPr>
          <w:ilvl w:val="0"/>
          <w:numId w:val="2"/>
        </w:numPr>
        <w:spacing w:after="70" w:line="264"/>
      </w:pPr>
      <w:r>
        <w:rPr>
          <w:rFonts w:ascii="Calibri" w:cs="Calibri" w:eastAsia="Calibri" w:hAnsi="Calibri"/>
          <w:b/>
          <w:bCs/>
          <w:sz w:val="22"/>
          <w:szCs w:val="22"/>
        </w:rPr>
        <w:t xml:space="preserve">Focus on specificity: </w:t>
      </w:r>
      <w:r>
        <w:rPr>
          <w:rFonts w:ascii="Calibri" w:cs="Calibri" w:eastAsia="Calibri" w:hAnsi="Calibri"/>
          <w:sz w:val="22"/>
          <w:szCs w:val="22"/>
        </w:rPr>
        <w:t xml:space="preserve">each annual update adds anatomical, laterality and encounter-type detail, so students must learn to read documentation for the details that decide the code.</w:t>
      </w:r>
    </w:p>
    <w:p>
      <w:pPr>
        <w:pStyle w:val="ListParagraph"/>
        <w:numPr>
          <w:ilvl w:val="0"/>
          <w:numId w:val="2"/>
        </w:numPr>
        <w:spacing w:after="70" w:line="264"/>
      </w:pPr>
      <w:r>
        <w:rPr>
          <w:rFonts w:ascii="Calibri" w:cs="Calibri" w:eastAsia="Calibri" w:hAnsi="Calibri"/>
          <w:b/>
          <w:bCs/>
          <w:sz w:val="22"/>
          <w:szCs w:val="22"/>
        </w:rPr>
        <w:t xml:space="preserve">Certification as an entry standard: </w:t>
      </w:r>
      <w:r>
        <w:rPr>
          <w:rFonts w:ascii="Calibri" w:cs="Calibri" w:eastAsia="Calibri" w:hAnsi="Calibri"/>
          <w:sz w:val="22"/>
          <w:szCs w:val="22"/>
        </w:rPr>
        <w:t xml:space="preserve">credentials such as AAPC CPC and AHIMA CCA/CCS are widely used as proof of competence, so course design should align with their content areas.</w:t>
      </w:r>
    </w:p>
    <w:p>
      <w:pPr>
        <w:pStyle w:val="ListParagraph"/>
        <w:numPr>
          <w:ilvl w:val="0"/>
          <w:numId w:val="2"/>
        </w:numPr>
        <w:spacing w:after="70" w:line="264"/>
      </w:pPr>
      <w:r>
        <w:rPr>
          <w:rFonts w:ascii="Calibri" w:cs="Calibri" w:eastAsia="Calibri" w:hAnsi="Calibri"/>
          <w:b/>
          <w:bCs/>
          <w:sz w:val="22"/>
          <w:szCs w:val="22"/>
        </w:rPr>
        <w:t xml:space="preserve">Competency-based and blended learning: </w:t>
      </w:r>
      <w:r>
        <w:rPr>
          <w:rFonts w:ascii="Calibri" w:cs="Calibri" w:eastAsia="Calibri" w:hAnsi="Calibri"/>
          <w:sz w:val="22"/>
          <w:szCs w:val="22"/>
        </w:rPr>
        <w:t xml:space="preserve">case-based practice, audits of real-style charts and short, repeated assessments are replacing purely lecture-based teaching.</w:t>
      </w:r>
    </w:p>
    <w:p>
      <w:pPr>
        <w:pStyle w:val="Heading2"/>
        <w:spacing w:after="100" w:before="220"/>
      </w:pPr>
      <w:r>
        <w:rPr>
          <w:rFonts w:ascii="Calibri" w:cs="Calibri" w:eastAsia="Calibri" w:hAnsi="Calibri"/>
          <w:b/>
          <w:bCs/>
          <w:color w:val="2E75B6"/>
          <w:sz w:val="26"/>
          <w:szCs w:val="26"/>
        </w:rPr>
        <w:t xml:space="preserve">3.2 Challenges faced by medical coding training courses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Challenge</w:t>
            </w:r>
          </w:p>
        </w:tc>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Why it reduces quality</w:t>
            </w:r>
          </w:p>
        </w:tc>
        <w:tc>
          <w:tcPr>
            <w:tcW w:type="dxa" w:w="3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Impact on students</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Outdated study material</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Code books, handouts or sample charts that lag behind the current fiscal-year code set</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Learn deleted/invalid codes; lose marks and credibility</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Weak anatomy, physiology and terminology base</w:t>
            </w:r>
          </w:p>
        </w:tc>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Coders cannot interpret documentation correctly without clinical understanding</w:t>
            </w:r>
          </w:p>
        </w:tc>
        <w:tc>
          <w:tcPr>
            <w:tcW w:type="dxa" w:w="3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Wrong diagnosis or procedure selection; slow speed</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Poor guideline use</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Students search the index only and skip tabular instructions, notes (Excludes1/Excludes2, 'code first', 'use additional code') and official guidelines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Common errors in sequencing, combination codes and specificity</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Limited exposure to real documentation</w:t>
            </w:r>
          </w:p>
        </w:tc>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Textbook cases are short and clean; real records are long, incomplete and sometimes contradictory</w:t>
            </w:r>
          </w:p>
        </w:tc>
        <w:tc>
          <w:tcPr>
            <w:tcW w:type="dxa" w:w="3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Difficulty with queries and clinical validation</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Insufficient practice and feedback</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Few graded charts, late feedback, no error tracking</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Same mistakes repeated; low confidence</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Uneven learner backgrounds</w:t>
            </w:r>
          </w:p>
        </w:tc>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Mixed levels (life-science, nursing, pharmacy, non-science)</w:t>
            </w:r>
          </w:p>
        </w:tc>
        <w:tc>
          <w:tcPr>
            <w:tcW w:type="dxa" w:w="3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Some students fall behind or are under-challenged</w:t>
            </w:r>
          </w:p>
        </w:tc>
      </w:tr>
      <w:t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Limited focus on compliance and ethics</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Treated as a single lecture rather than a running theme</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Risk of unethical or non-compliant habits (e.g., upcoding, unbundling)</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Lack of continuous-education culture</w:t>
            </w:r>
          </w:p>
        </w:tc>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Training ends at the exam</w:t>
            </w:r>
          </w:p>
        </w:tc>
        <w:tc>
          <w:tcPr>
            <w:tcW w:type="dxa" w:w="33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Skills become outdated after each annual update</w:t>
            </w:r>
          </w:p>
        </w:tc>
      </w:tr>
    </w:tbl>
    <w:p>
      <w:pPr>
        <w:spacing w:after="100"/>
      </w:pPr>
    </w:p>
    <w:p>
      <w:pPr>
        <w:pStyle w:val="Heading2"/>
        <w:spacing w:after="100" w:before="220"/>
      </w:pPr>
      <w:r>
        <w:rPr>
          <w:rFonts w:ascii="Calibri" w:cs="Calibri" w:eastAsia="Calibri" w:hAnsi="Calibri"/>
          <w:b/>
          <w:bCs/>
          <w:color w:val="2E75B6"/>
          <w:sz w:val="26"/>
          <w:szCs w:val="26"/>
        </w:rPr>
        <w:t xml:space="preserve">3.3 Common coding error categories to target</w:t>
      </w:r>
    </w:p>
    <w:p>
      <w:pPr>
        <w:pStyle w:val="ListParagraph"/>
        <w:numPr>
          <w:ilvl w:val="0"/>
          <w:numId w:val="2"/>
        </w:numPr>
        <w:spacing w:after="70" w:line="264"/>
      </w:pPr>
      <w:r>
        <w:rPr>
          <w:rFonts w:ascii="Calibri" w:cs="Calibri" w:eastAsia="Calibri" w:hAnsi="Calibri"/>
          <w:sz w:val="22"/>
          <w:szCs w:val="22"/>
        </w:rPr>
        <w:t xml:space="preserve">Incorrect code selection (wrong condition, wrong procedure, wrong code family).</w:t>
      </w:r>
    </w:p>
    <w:p>
      <w:pPr>
        <w:pStyle w:val="ListParagraph"/>
        <w:numPr>
          <w:ilvl w:val="0"/>
          <w:numId w:val="2"/>
        </w:numPr>
        <w:spacing w:after="70" w:line="264"/>
      </w:pPr>
      <w:r>
        <w:rPr>
          <w:rFonts w:ascii="Calibri" w:cs="Calibri" w:eastAsia="Calibri" w:hAnsi="Calibri"/>
          <w:sz w:val="22"/>
          <w:szCs w:val="22"/>
        </w:rPr>
        <w:t xml:space="preserve">Lack of specificity (unspecified codes used when documentation supports a more specific code; missing laterality, site, trimester or encounter type).</w:t>
      </w:r>
    </w:p>
    <w:p>
      <w:pPr>
        <w:pStyle w:val="ListParagraph"/>
        <w:numPr>
          <w:ilvl w:val="0"/>
          <w:numId w:val="2"/>
        </w:numPr>
        <w:spacing w:after="70" w:line="264"/>
      </w:pPr>
      <w:r>
        <w:rPr>
          <w:rFonts w:ascii="Calibri" w:cs="Calibri" w:eastAsia="Calibri" w:hAnsi="Calibri"/>
          <w:sz w:val="22"/>
          <w:szCs w:val="22"/>
        </w:rPr>
        <w:t xml:space="preserve">Sequencing errors (principal/first-listed diagnosis, 'code first' and 'use additional code' instructions).</w:t>
      </w:r>
    </w:p>
    <w:p>
      <w:pPr>
        <w:pStyle w:val="ListParagraph"/>
        <w:numPr>
          <w:ilvl w:val="0"/>
          <w:numId w:val="2"/>
        </w:numPr>
        <w:spacing w:after="70" w:line="264"/>
      </w:pPr>
      <w:r>
        <w:rPr>
          <w:rFonts w:ascii="Calibri" w:cs="Calibri" w:eastAsia="Calibri" w:hAnsi="Calibri"/>
          <w:sz w:val="22"/>
          <w:szCs w:val="22"/>
        </w:rPr>
        <w:t xml:space="preserve">Missed or unsupported codes (conditions coded without documentation, or documented conditions omitted).</w:t>
      </w:r>
    </w:p>
    <w:p>
      <w:pPr>
        <w:pStyle w:val="ListParagraph"/>
        <w:numPr>
          <w:ilvl w:val="0"/>
          <w:numId w:val="2"/>
        </w:numPr>
        <w:spacing w:after="70" w:line="264"/>
      </w:pPr>
      <w:r>
        <w:rPr>
          <w:rFonts w:ascii="Calibri" w:cs="Calibri" w:eastAsia="Calibri" w:hAnsi="Calibri"/>
          <w:sz w:val="22"/>
          <w:szCs w:val="22"/>
        </w:rPr>
        <w:t xml:space="preserve">Modifier errors and unbundling in CPT (e.g., wrong modifier, separately reporting services that are bundled).</w:t>
      </w:r>
    </w:p>
    <w:p>
      <w:pPr>
        <w:pStyle w:val="ListParagraph"/>
        <w:numPr>
          <w:ilvl w:val="0"/>
          <w:numId w:val="2"/>
        </w:numPr>
        <w:spacing w:after="70" w:line="264"/>
      </w:pPr>
      <w:r>
        <w:rPr>
          <w:rFonts w:ascii="Calibri" w:cs="Calibri" w:eastAsia="Calibri" w:hAnsi="Calibri"/>
          <w:sz w:val="22"/>
          <w:szCs w:val="22"/>
        </w:rPr>
        <w:t xml:space="preserve">Use of deleted, invalid or outdated codes after the annual update date.</w:t>
      </w:r>
    </w:p>
    <w:p>
      <w:pPr>
        <w:pStyle w:val="ListParagraph"/>
        <w:numPr>
          <w:ilvl w:val="0"/>
          <w:numId w:val="2"/>
        </w:numPr>
        <w:spacing w:after="70" w:line="264"/>
      </w:pPr>
      <w:r>
        <w:rPr>
          <w:rFonts w:ascii="Calibri" w:cs="Calibri" w:eastAsia="Calibri" w:hAnsi="Calibri"/>
          <w:sz w:val="22"/>
          <w:szCs w:val="22"/>
        </w:rPr>
        <w:t xml:space="preserve">Failure to query when documentation is unclear, conflicting or incomplete.</w:t>
      </w:r>
    </w:p>
    <w:p>
      <w:pPr>
        <w:pStyle w:val="Heading1"/>
        <w:pBdr>
          <w:bottom w:val="single" w:color="2E75B6" w:sz="8" w:space="2"/>
        </w:pBdr>
        <w:spacing w:after="140" w:before="320"/>
      </w:pPr>
      <w:r>
        <w:rPr>
          <w:rFonts w:ascii="Calibri" w:cs="Calibri" w:eastAsia="Calibri" w:hAnsi="Calibri"/>
          <w:b/>
          <w:bCs/>
          <w:color w:val="1F3864"/>
          <w:sz w:val="32"/>
          <w:szCs w:val="32"/>
        </w:rPr>
        <w:t xml:space="preserve">4. Planning Methodology</w:t>
      </w:r>
    </w:p>
    <w:p>
      <w:pPr>
        <w:spacing w:after="120" w:line="276"/>
        <w:jc w:val="both"/>
      </w:pPr>
      <w:r>
        <w:rPr>
          <w:rFonts w:ascii="Calibri" w:cs="Calibri" w:eastAsia="Calibri" w:hAnsi="Calibri"/>
          <w:sz w:val="22"/>
          <w:szCs w:val="22"/>
        </w:rPr>
        <w:t xml:space="preserve">The plan combines four well-established frameworks so that each part of the strategy has a clear method and a clear way of being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Framework</w:t>
            </w:r>
          </w:p>
        </w:tc>
        <w:tc>
          <w:tcPr>
            <w:tcW w:type="dxa" w:w="6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How it is used in this plan</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PDCA (Plan–Do–Check–Act)</w:t>
            </w:r>
          </w:p>
        </w:tc>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Every initiative runs in cycles: plan the change, pilot it, check the results against KPIs, then standardise or adjust. This is the main continuous-improvement engine.</w:t>
            </w:r>
          </w:p>
        </w:tc>
      </w:tr>
      <w:t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DMAIC (Define–Measure–Analyse–Improve–Control)</w:t>
            </w:r>
          </w:p>
        </w:tc>
        <w:tc>
          <w:tcPr>
            <w:tcW w:type="dxa" w:w="6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Used for the error-reduction initiative: define error types, measure baseline error rate, analyse root causes (e.g., Pareto chart of error categories), implement fixes, and control with monthly audits.</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SMART objectives</w:t>
            </w:r>
          </w:p>
        </w:tc>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All goals are Specific, Measurable, Achievable, Relevant and Time-bound.</w:t>
            </w:r>
          </w:p>
        </w:tc>
      </w:tr>
      <w:t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Bloom's taxonomy</w:t>
            </w:r>
          </w:p>
        </w:tc>
        <w:tc>
          <w:tcPr>
            <w:tcW w:type="dxa" w:w="6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Learning outcomes move from remembering terminology to applying guidelines, analysing documentation and evaluating/auditing codes.</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Kirkpatrick's four levels</w:t>
            </w:r>
          </w:p>
        </w:tc>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Evaluation of training at four levels: Reaction (feedback), Learning (test scores), Behaviour (coding accuracy on chart audits), Results (certification pass rate, employability).</w:t>
            </w:r>
          </w:p>
        </w:tc>
      </w:tr>
    </w:tbl>
    <w:p>
      <w:pPr>
        <w:spacing w:after="100"/>
      </w:pPr>
    </w:p>
    <w:p>
      <w:pPr>
        <w:pStyle w:val="Heading2"/>
        <w:spacing w:after="100" w:before="220"/>
      </w:pPr>
      <w:r>
        <w:rPr>
          <w:rFonts w:ascii="Calibri" w:cs="Calibri" w:eastAsia="Calibri" w:hAnsi="Calibri"/>
          <w:b/>
          <w:bCs/>
          <w:color w:val="2E75B6"/>
          <w:sz w:val="26"/>
          <w:szCs w:val="26"/>
        </w:rPr>
        <w:t xml:space="preserve">4.1 Planning steps</w:t>
      </w:r>
    </w:p>
    <w:p>
      <w:pPr>
        <w:pStyle w:val="ListParagraph"/>
        <w:numPr>
          <w:ilvl w:val="0"/>
          <w:numId w:val="2"/>
        </w:numPr>
        <w:spacing w:after="70" w:line="264"/>
      </w:pPr>
      <w:r>
        <w:rPr>
          <w:rFonts w:ascii="Calibri" w:cs="Calibri" w:eastAsia="Calibri" w:hAnsi="Calibri"/>
          <w:b/>
          <w:bCs/>
          <w:sz w:val="22"/>
          <w:szCs w:val="22"/>
        </w:rPr>
        <w:t xml:space="preserve">Step 1 – Research: </w:t>
      </w:r>
      <w:r>
        <w:rPr>
          <w:rFonts w:ascii="Calibri" w:cs="Calibri" w:eastAsia="Calibri" w:hAnsi="Calibri"/>
          <w:sz w:val="22"/>
          <w:szCs w:val="22"/>
        </w:rPr>
        <w:t xml:space="preserve">review official sources (CDC/NCHS, CMS, AMA, AHIMA, AAPC) and published articles on coding quality and coder education.</w:t>
      </w:r>
    </w:p>
    <w:p>
      <w:pPr>
        <w:pStyle w:val="ListParagraph"/>
        <w:numPr>
          <w:ilvl w:val="0"/>
          <w:numId w:val="2"/>
        </w:numPr>
        <w:spacing w:after="70" w:line="264"/>
      </w:pPr>
      <w:r>
        <w:rPr>
          <w:rFonts w:ascii="Calibri" w:cs="Calibri" w:eastAsia="Calibri" w:hAnsi="Calibri"/>
          <w:b/>
          <w:bCs/>
          <w:sz w:val="22"/>
          <w:szCs w:val="22"/>
        </w:rPr>
        <w:t xml:space="preserve">Step 2 – Baseline: </w:t>
      </w:r>
      <w:r>
        <w:rPr>
          <w:rFonts w:ascii="Calibri" w:cs="Calibri" w:eastAsia="Calibri" w:hAnsi="Calibri"/>
          <w:sz w:val="22"/>
          <w:szCs w:val="22"/>
        </w:rPr>
        <w:t xml:space="preserve">assess current student performance through a diagnostic test and a mock audit of sample charts.</w:t>
      </w:r>
    </w:p>
    <w:p>
      <w:pPr>
        <w:pStyle w:val="ListParagraph"/>
        <w:numPr>
          <w:ilvl w:val="0"/>
          <w:numId w:val="2"/>
        </w:numPr>
        <w:spacing w:after="70" w:line="264"/>
      </w:pPr>
      <w:r>
        <w:rPr>
          <w:rFonts w:ascii="Calibri" w:cs="Calibri" w:eastAsia="Calibri" w:hAnsi="Calibri"/>
          <w:b/>
          <w:bCs/>
          <w:sz w:val="22"/>
          <w:szCs w:val="22"/>
        </w:rPr>
        <w:t xml:space="preserve">Step 3 – Gap analysis: </w:t>
      </w:r>
      <w:r>
        <w:rPr>
          <w:rFonts w:ascii="Calibri" w:cs="Calibri" w:eastAsia="Calibri" w:hAnsi="Calibri"/>
          <w:sz w:val="22"/>
          <w:szCs w:val="22"/>
        </w:rPr>
        <w:t xml:space="preserve">compare baseline results with target competencies and the challenge list in Section 3.</w:t>
      </w:r>
    </w:p>
    <w:p>
      <w:pPr>
        <w:pStyle w:val="ListParagraph"/>
        <w:numPr>
          <w:ilvl w:val="0"/>
          <w:numId w:val="2"/>
        </w:numPr>
        <w:spacing w:after="70" w:line="264"/>
      </w:pPr>
      <w:r>
        <w:rPr>
          <w:rFonts w:ascii="Calibri" w:cs="Calibri" w:eastAsia="Calibri" w:hAnsi="Calibri"/>
          <w:b/>
          <w:bCs/>
          <w:sz w:val="22"/>
          <w:szCs w:val="22"/>
        </w:rPr>
        <w:t xml:space="preserve">Step 4 – Design: </w:t>
      </w:r>
      <w:r>
        <w:rPr>
          <w:rFonts w:ascii="Calibri" w:cs="Calibri" w:eastAsia="Calibri" w:hAnsi="Calibri"/>
          <w:sz w:val="22"/>
          <w:szCs w:val="22"/>
        </w:rPr>
        <w:t xml:space="preserve">define goals, initiatives, owners, resources, timeline and KPIs.</w:t>
      </w:r>
    </w:p>
    <w:p>
      <w:pPr>
        <w:pStyle w:val="ListParagraph"/>
        <w:numPr>
          <w:ilvl w:val="0"/>
          <w:numId w:val="2"/>
        </w:numPr>
        <w:spacing w:after="70" w:line="264"/>
      </w:pPr>
      <w:r>
        <w:rPr>
          <w:rFonts w:ascii="Calibri" w:cs="Calibri" w:eastAsia="Calibri" w:hAnsi="Calibri"/>
          <w:b/>
          <w:bCs/>
          <w:sz w:val="22"/>
          <w:szCs w:val="22"/>
        </w:rPr>
        <w:t xml:space="preserve">Step 5 – Pilot and implement: </w:t>
      </w:r>
      <w:r>
        <w:rPr>
          <w:rFonts w:ascii="Calibri" w:cs="Calibri" w:eastAsia="Calibri" w:hAnsi="Calibri"/>
          <w:sz w:val="22"/>
          <w:szCs w:val="22"/>
        </w:rPr>
        <w:t xml:space="preserve">test with one batch, refine, then roll out to all batches.</w:t>
      </w:r>
    </w:p>
    <w:p>
      <w:pPr>
        <w:pStyle w:val="ListParagraph"/>
        <w:numPr>
          <w:ilvl w:val="0"/>
          <w:numId w:val="2"/>
        </w:numPr>
        <w:spacing w:after="70" w:line="264"/>
      </w:pPr>
      <w:r>
        <w:rPr>
          <w:rFonts w:ascii="Calibri" w:cs="Calibri" w:eastAsia="Calibri" w:hAnsi="Calibri"/>
          <w:b/>
          <w:bCs/>
          <w:sz w:val="22"/>
          <w:szCs w:val="22"/>
        </w:rPr>
        <w:t xml:space="preserve">Step 6 – Evaluate and sustain: </w:t>
      </w:r>
      <w:r>
        <w:rPr>
          <w:rFonts w:ascii="Calibri" w:cs="Calibri" w:eastAsia="Calibri" w:hAnsi="Calibri"/>
          <w:sz w:val="22"/>
          <w:szCs w:val="22"/>
        </w:rPr>
        <w:t xml:space="preserve">review KPIs quarterly, update the plan after each annual code update.</w:t>
      </w:r>
    </w:p>
    <w:p>
      <w:pPr>
        <w:pStyle w:val="Heading1"/>
        <w:pBdr>
          <w:bottom w:val="single" w:color="2E75B6" w:sz="8" w:space="2"/>
        </w:pBdr>
        <w:spacing w:after="140" w:before="320"/>
      </w:pPr>
      <w:r>
        <w:rPr>
          <w:rFonts w:ascii="Calibri" w:cs="Calibri" w:eastAsia="Calibri" w:hAnsi="Calibri"/>
          <w:b/>
          <w:bCs/>
          <w:color w:val="1F3864"/>
          <w:sz w:val="32"/>
          <w:szCs w:val="32"/>
        </w:rPr>
        <w:t xml:space="preserve">5. Strategic Goals and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Goal</w:t>
            </w:r>
          </w:p>
        </w:tc>
        <w:tc>
          <w:tcPr>
            <w:tcW w:type="dxa" w:w="6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SMART objective (proposed targets)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G1. Improve coding accuracy</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Achieve at least 95% code-level accuracy on audited practice charts by Month 6 and 97% by Month 12 for at least 80% of students.</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G2. Reduce errors</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Reduce the overall error rate by at least 40% from the Month 1 baseline by Month 12, with specific attention to the three most frequent error categories.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G3. Keep content up to date</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Update 100% of course material, practice charts and code references within 30 days of each official code-set release (for example, within 30 days of each 1 October ICD-10 update).</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G4. Strengthen guideline and compliance competency</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At least 90% of students score 80% or above on a guidelines and compliance assessment by Month 9.</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G5. Support certification and employability</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Achieve a first-attempt certification pass rate of at least 75% in the first cohort and increase this in later cohorts.</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G6. Build continuous learning habits</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100% of students complete a personal learning plan; at least 80% attend every annual-update workshop.</w:t>
            </w:r>
          </w:p>
        </w:tc>
      </w:tr>
    </w:tbl>
    <w:p>
      <w:pPr>
        <w:pStyle w:val="Heading1"/>
        <w:pBdr>
          <w:bottom w:val="single" w:color="2E75B6" w:sz="8" w:space="2"/>
        </w:pBdr>
        <w:spacing w:after="140" w:before="320"/>
      </w:pPr>
      <w:r>
        <w:rPr>
          <w:rFonts w:ascii="Calibri" w:cs="Calibri" w:eastAsia="Calibri" w:hAnsi="Calibri"/>
          <w:b/>
          <w:bCs/>
          <w:color w:val="1F3864"/>
          <w:sz w:val="32"/>
          <w:szCs w:val="32"/>
        </w:rPr>
        <w:t xml:space="preserve">6. Proposed Quality Initiatives</w:t>
      </w:r>
    </w:p>
    <w:p>
      <w:pPr>
        <w:pStyle w:val="Heading2"/>
        <w:spacing w:after="100" w:before="220"/>
      </w:pPr>
      <w:r>
        <w:rPr>
          <w:rFonts w:ascii="Calibri" w:cs="Calibri" w:eastAsia="Calibri" w:hAnsi="Calibri"/>
          <w:b/>
          <w:bCs/>
          <w:color w:val="2E75B6"/>
          <w:sz w:val="26"/>
          <w:szCs w:val="26"/>
        </w:rPr>
        <w:t xml:space="preserve">Initiative 1 – Foundation strengthening (terminology, anatomy, pathophysiology)</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Make sure students understand the clinical meaning of what they code.</w:t>
      </w:r>
    </w:p>
    <w:p>
      <w:pPr>
        <w:pStyle w:val="ListParagraph"/>
        <w:numPr>
          <w:ilvl w:val="0"/>
          <w:numId w:val="2"/>
        </w:numPr>
        <w:spacing w:after="70" w:line="264"/>
      </w:pPr>
      <w:r>
        <w:rPr>
          <w:rFonts w:ascii="Calibri" w:cs="Calibri" w:eastAsia="Calibri" w:hAnsi="Calibri"/>
          <w:sz w:val="22"/>
          <w:szCs w:val="22"/>
        </w:rPr>
        <w:t xml:space="preserve">Run a diagnostic test at admission and group students into support levels.</w:t>
      </w:r>
    </w:p>
    <w:p>
      <w:pPr>
        <w:pStyle w:val="ListParagraph"/>
        <w:numPr>
          <w:ilvl w:val="0"/>
          <w:numId w:val="2"/>
        </w:numPr>
        <w:spacing w:after="70" w:line="264"/>
      </w:pPr>
      <w:r>
        <w:rPr>
          <w:rFonts w:ascii="Calibri" w:cs="Calibri" w:eastAsia="Calibri" w:hAnsi="Calibri"/>
          <w:sz w:val="22"/>
          <w:szCs w:val="22"/>
        </w:rPr>
        <w:t xml:space="preserve">Offer short bridge modules on medical terminology (prefixes, suffixes, roots), anatomy by body system, and common diseases and procedures.</w:t>
      </w:r>
    </w:p>
    <w:p>
      <w:pPr>
        <w:pStyle w:val="ListParagraph"/>
        <w:numPr>
          <w:ilvl w:val="0"/>
          <w:numId w:val="2"/>
        </w:numPr>
        <w:spacing w:after="70" w:line="264"/>
      </w:pPr>
      <w:r>
        <w:rPr>
          <w:rFonts w:ascii="Calibri" w:cs="Calibri" w:eastAsia="Calibri" w:hAnsi="Calibri"/>
          <w:sz w:val="22"/>
          <w:szCs w:val="22"/>
        </w:rPr>
        <w:t xml:space="preserve">Use weekly 15-minute terminology quizzes and flash-card sets.</w:t>
      </w:r>
    </w:p>
    <w:p>
      <w:pPr>
        <w:pStyle w:val="ListParagraph"/>
        <w:numPr>
          <w:ilvl w:val="0"/>
          <w:numId w:val="2"/>
        </w:numPr>
        <w:spacing w:after="70" w:line="264"/>
      </w:pPr>
      <w:r>
        <w:rPr>
          <w:rFonts w:ascii="Calibri" w:cs="Calibri" w:eastAsia="Calibri" w:hAnsi="Calibri"/>
          <w:sz w:val="22"/>
          <w:szCs w:val="22"/>
        </w:rPr>
        <w:t xml:space="preserve">Link each coding chapter (e.g., circulatory, respiratory, musculoskeletal) with a matching anatomy review.</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Improved comprehension and reduced code-selection errors caused by misunderstanding documentation.</w:t>
      </w:r>
    </w:p>
    <w:p>
      <w:pPr>
        <w:pStyle w:val="Heading2"/>
        <w:spacing w:after="100" w:before="220"/>
      </w:pPr>
      <w:r>
        <w:rPr>
          <w:rFonts w:ascii="Calibri" w:cs="Calibri" w:eastAsia="Calibri" w:hAnsi="Calibri"/>
          <w:b/>
          <w:bCs/>
          <w:color w:val="2E75B6"/>
          <w:sz w:val="26"/>
          <w:szCs w:val="26"/>
        </w:rPr>
        <w:t xml:space="preserve">Initiative 2 – Guideline-first coding method</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Teach students to follow the same disciplined steps on every chart.</w:t>
      </w:r>
    </w:p>
    <w:p>
      <w:pPr>
        <w:pStyle w:val="ListParagraph"/>
        <w:numPr>
          <w:ilvl w:val="0"/>
          <w:numId w:val="2"/>
        </w:numPr>
        <w:spacing w:after="70" w:line="264"/>
      </w:pPr>
      <w:r>
        <w:rPr>
          <w:rFonts w:ascii="Calibri" w:cs="Calibri" w:eastAsia="Calibri" w:hAnsi="Calibri"/>
          <w:sz w:val="22"/>
          <w:szCs w:val="22"/>
        </w:rPr>
        <w:t xml:space="preserve">Standardise a coding workflow: read the full record → identify the main term → look up in the Alphabetic Index → verify in the Tabular List → apply conventions and notes → check Official Guidelines → assign the code.</w:t>
      </w:r>
    </w:p>
    <w:p>
      <w:pPr>
        <w:pStyle w:val="ListParagraph"/>
        <w:numPr>
          <w:ilvl w:val="0"/>
          <w:numId w:val="2"/>
        </w:numPr>
        <w:spacing w:after="70" w:line="264"/>
      </w:pPr>
      <w:r>
        <w:rPr>
          <w:rFonts w:ascii="Calibri" w:cs="Calibri" w:eastAsia="Calibri" w:hAnsi="Calibri"/>
          <w:sz w:val="22"/>
          <w:szCs w:val="22"/>
        </w:rPr>
        <w:t xml:space="preserve">Create one-page checklists for ICD-10-CM, ICD-10-PCS, CPT and HCPCS Level II covering conventions (Excludes1/Excludes2, 'code first', 'use additional code', 7th characters) and common modifiers.</w:t>
      </w:r>
    </w:p>
    <w:p>
      <w:pPr>
        <w:pStyle w:val="ListParagraph"/>
        <w:numPr>
          <w:ilvl w:val="0"/>
          <w:numId w:val="2"/>
        </w:numPr>
        <w:spacing w:after="70" w:line="264"/>
      </w:pPr>
      <w:r>
        <w:rPr>
          <w:rFonts w:ascii="Calibri" w:cs="Calibri" w:eastAsia="Calibri" w:hAnsi="Calibri"/>
          <w:sz w:val="22"/>
          <w:szCs w:val="22"/>
        </w:rPr>
        <w:t xml:space="preserve">Require students to cite the guideline section or convention that supports each answer in practice exercises.</w:t>
      </w:r>
    </w:p>
    <w:p>
      <w:pPr>
        <w:pStyle w:val="ListParagraph"/>
        <w:numPr>
          <w:ilvl w:val="0"/>
          <w:numId w:val="2"/>
        </w:numPr>
        <w:spacing w:after="70" w:line="264"/>
      </w:pPr>
      <w:r>
        <w:rPr>
          <w:rFonts w:ascii="Calibri" w:cs="Calibri" w:eastAsia="Calibri" w:hAnsi="Calibri"/>
          <w:sz w:val="22"/>
          <w:szCs w:val="22"/>
        </w:rPr>
        <w:t xml:space="preserve">Hold a 'guideline of the week' discussion on a high-error topic.</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Consistent, defensible coding decisions and fewer sequencing and specificity errors.</w:t>
      </w:r>
    </w:p>
    <w:p>
      <w:pPr>
        <w:pStyle w:val="Heading2"/>
        <w:spacing w:after="100" w:before="220"/>
      </w:pPr>
      <w:r>
        <w:rPr>
          <w:rFonts w:ascii="Calibri" w:cs="Calibri" w:eastAsia="Calibri" w:hAnsi="Calibri"/>
          <w:b/>
          <w:bCs/>
          <w:color w:val="2E75B6"/>
          <w:sz w:val="26"/>
          <w:szCs w:val="26"/>
        </w:rPr>
        <w:t xml:space="preserve">Initiative 3 – Annual update readiness programme</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Ensure that students and trainers always use the correct fiscal-year code sets.</w:t>
      </w:r>
    </w:p>
    <w:p>
      <w:pPr>
        <w:pStyle w:val="ListParagraph"/>
        <w:numPr>
          <w:ilvl w:val="0"/>
          <w:numId w:val="2"/>
        </w:numPr>
        <w:spacing w:after="70" w:line="264"/>
      </w:pPr>
      <w:r>
        <w:rPr>
          <w:rFonts w:ascii="Calibri" w:cs="Calibri" w:eastAsia="Calibri" w:hAnsi="Calibri"/>
          <w:sz w:val="22"/>
          <w:szCs w:val="22"/>
        </w:rPr>
        <w:t xml:space="preserve">Create an update calendar: ICD-10-CM/PCS changes take effect every 1 October; CPT and HCPCS Level II changes take effect every 1 January (with quarterly HCPCS updates).</w:t>
      </w:r>
    </w:p>
    <w:p>
      <w:pPr>
        <w:pStyle w:val="ListParagraph"/>
        <w:numPr>
          <w:ilvl w:val="0"/>
          <w:numId w:val="2"/>
        </w:numPr>
        <w:spacing w:after="70" w:line="264"/>
      </w:pPr>
      <w:r>
        <w:rPr>
          <w:rFonts w:ascii="Calibri" w:cs="Calibri" w:eastAsia="Calibri" w:hAnsi="Calibri"/>
          <w:sz w:val="22"/>
          <w:szCs w:val="22"/>
        </w:rPr>
        <w:t xml:space="preserve">Assign a trainer as 'code-set owner' responsible for downloading official files, comparing addenda (new/revised/deleted codes) and updating course material.</w:t>
      </w:r>
    </w:p>
    <w:p>
      <w:pPr>
        <w:pStyle w:val="ListParagraph"/>
        <w:numPr>
          <w:ilvl w:val="0"/>
          <w:numId w:val="2"/>
        </w:numPr>
        <w:spacing w:after="70" w:line="264"/>
      </w:pPr>
      <w:r>
        <w:rPr>
          <w:rFonts w:ascii="Calibri" w:cs="Calibri" w:eastAsia="Calibri" w:hAnsi="Calibri"/>
          <w:sz w:val="22"/>
          <w:szCs w:val="22"/>
        </w:rPr>
        <w:t xml:space="preserve">Hold a short update workshop each year covering the most relevant changes, and a quiz on deleted codes that are no longer valid.</w:t>
      </w:r>
    </w:p>
    <w:p>
      <w:pPr>
        <w:pStyle w:val="ListParagraph"/>
        <w:numPr>
          <w:ilvl w:val="0"/>
          <w:numId w:val="2"/>
        </w:numPr>
        <w:spacing w:after="70" w:line="264"/>
      </w:pPr>
      <w:r>
        <w:rPr>
          <w:rFonts w:ascii="Calibri" w:cs="Calibri" w:eastAsia="Calibri" w:hAnsi="Calibri"/>
          <w:sz w:val="22"/>
          <w:szCs w:val="22"/>
        </w:rPr>
        <w:t xml:space="preserve">Watch for the release of each year's Official Guidelines and update the course within 30 days of publication.</w:t>
      </w:r>
    </w:p>
    <w:p>
      <w:pPr>
        <w:pStyle w:val="ListParagraph"/>
        <w:numPr>
          <w:ilvl w:val="0"/>
          <w:numId w:val="2"/>
        </w:numPr>
        <w:spacing w:after="70" w:line="264"/>
      </w:pPr>
      <w:r>
        <w:rPr>
          <w:rFonts w:ascii="Calibri" w:cs="Calibri" w:eastAsia="Calibri" w:hAnsi="Calibri"/>
          <w:sz w:val="22"/>
          <w:szCs w:val="22"/>
        </w:rPr>
        <w:t xml:space="preserve">Mark every practice chart with its date of service so students pick the correct code-set year.</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Zero use of deleted or outdated codes in assessments.</w:t>
      </w:r>
    </w:p>
    <w:p>
      <w:pPr>
        <w:pStyle w:val="Heading2"/>
        <w:spacing w:after="100" w:before="220"/>
      </w:pPr>
      <w:r>
        <w:rPr>
          <w:rFonts w:ascii="Calibri" w:cs="Calibri" w:eastAsia="Calibri" w:hAnsi="Calibri"/>
          <w:b/>
          <w:bCs/>
          <w:color w:val="2E75B6"/>
          <w:sz w:val="26"/>
          <w:szCs w:val="26"/>
        </w:rPr>
        <w:t xml:space="preserve">Initiative 4 – Practice, audit and feedback cycle (error-reduction loop)</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Turn every mistake into a learning opportunity.</w:t>
      </w:r>
    </w:p>
    <w:p>
      <w:pPr>
        <w:pStyle w:val="ListParagraph"/>
        <w:numPr>
          <w:ilvl w:val="0"/>
          <w:numId w:val="2"/>
        </w:numPr>
        <w:spacing w:after="70" w:line="264"/>
      </w:pPr>
      <w:r>
        <w:rPr>
          <w:rFonts w:ascii="Calibri" w:cs="Calibri" w:eastAsia="Calibri" w:hAnsi="Calibri"/>
          <w:sz w:val="22"/>
          <w:szCs w:val="22"/>
        </w:rPr>
        <w:t xml:space="preserve">Provide graded practice charts at three levels: basic (single-condition), intermediate (multiple diagnoses, procedures) and advanced (complex inpatient/surgical and multi-specialty records).</w:t>
      </w:r>
    </w:p>
    <w:p>
      <w:pPr>
        <w:pStyle w:val="ListParagraph"/>
        <w:numPr>
          <w:ilvl w:val="0"/>
          <w:numId w:val="2"/>
        </w:numPr>
        <w:spacing w:after="70" w:line="264"/>
      </w:pPr>
      <w:r>
        <w:rPr>
          <w:rFonts w:ascii="Calibri" w:cs="Calibri" w:eastAsia="Calibri" w:hAnsi="Calibri"/>
          <w:sz w:val="22"/>
          <w:szCs w:val="22"/>
        </w:rPr>
        <w:t xml:space="preserve">Audit each student's work using a standard scoring sheet: code-level accuracy, sequencing, specificity, modifiers and documentation support.</w:t>
      </w:r>
    </w:p>
    <w:p>
      <w:pPr>
        <w:pStyle w:val="ListParagraph"/>
        <w:numPr>
          <w:ilvl w:val="0"/>
          <w:numId w:val="2"/>
        </w:numPr>
        <w:spacing w:after="70" w:line="264"/>
      </w:pPr>
      <w:r>
        <w:rPr>
          <w:rFonts w:ascii="Calibri" w:cs="Calibri" w:eastAsia="Calibri" w:hAnsi="Calibri"/>
          <w:sz w:val="22"/>
          <w:szCs w:val="22"/>
        </w:rPr>
        <w:t xml:space="preserve">Return feedback within 72 hours and require students to write a short correction note for each error.</w:t>
      </w:r>
    </w:p>
    <w:p>
      <w:pPr>
        <w:pStyle w:val="ListParagraph"/>
        <w:numPr>
          <w:ilvl w:val="0"/>
          <w:numId w:val="2"/>
        </w:numPr>
        <w:spacing w:after="70" w:line="264"/>
      </w:pPr>
      <w:r>
        <w:rPr>
          <w:rFonts w:ascii="Calibri" w:cs="Calibri" w:eastAsia="Calibri" w:hAnsi="Calibri"/>
          <w:sz w:val="22"/>
          <w:szCs w:val="22"/>
        </w:rPr>
        <w:t xml:space="preserve">Maintain an 'error log' per student and a class-level Pareto chart each month to identify the top error categories.</w:t>
      </w:r>
    </w:p>
    <w:p>
      <w:pPr>
        <w:pStyle w:val="ListParagraph"/>
        <w:numPr>
          <w:ilvl w:val="0"/>
          <w:numId w:val="2"/>
        </w:numPr>
        <w:spacing w:after="70" w:line="264"/>
      </w:pPr>
      <w:r>
        <w:rPr>
          <w:rFonts w:ascii="Calibri" w:cs="Calibri" w:eastAsia="Calibri" w:hAnsi="Calibri"/>
          <w:sz w:val="22"/>
          <w:szCs w:val="22"/>
        </w:rPr>
        <w:t xml:space="preserve">Run targeted re-training sessions for the top three categories and re-test.</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Measurable decline in repeated errors and a clear picture of progress.</w:t>
      </w:r>
    </w:p>
    <w:p>
      <w:pPr>
        <w:pStyle w:val="Heading2"/>
        <w:spacing w:after="100" w:before="220"/>
      </w:pPr>
      <w:r>
        <w:rPr>
          <w:rFonts w:ascii="Calibri" w:cs="Calibri" w:eastAsia="Calibri" w:hAnsi="Calibri"/>
          <w:b/>
          <w:bCs/>
          <w:color w:val="2E75B6"/>
          <w:sz w:val="26"/>
          <w:szCs w:val="26"/>
        </w:rPr>
        <w:t xml:space="preserve">Initiative 5 – Real-world documentation and query practice</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Prepare students for incomplete, conflicting or unclear provider documentation.</w:t>
      </w:r>
    </w:p>
    <w:p>
      <w:pPr>
        <w:pStyle w:val="ListParagraph"/>
        <w:numPr>
          <w:ilvl w:val="0"/>
          <w:numId w:val="2"/>
        </w:numPr>
        <w:spacing w:after="70" w:line="264"/>
      </w:pPr>
      <w:r>
        <w:rPr>
          <w:rFonts w:ascii="Calibri" w:cs="Calibri" w:eastAsia="Calibri" w:hAnsi="Calibri"/>
          <w:sz w:val="22"/>
          <w:szCs w:val="22"/>
        </w:rPr>
        <w:t xml:space="preserve">Use de-identified or fully synthetic charts containing realistic gaps (missing laterality, unclear diagnosis, conflicting entries).</w:t>
      </w:r>
    </w:p>
    <w:p>
      <w:pPr>
        <w:pStyle w:val="ListParagraph"/>
        <w:numPr>
          <w:ilvl w:val="0"/>
          <w:numId w:val="2"/>
        </w:numPr>
        <w:spacing w:after="70" w:line="264"/>
      </w:pPr>
      <w:r>
        <w:rPr>
          <w:rFonts w:ascii="Calibri" w:cs="Calibri" w:eastAsia="Calibri" w:hAnsi="Calibri"/>
          <w:sz w:val="22"/>
          <w:szCs w:val="22"/>
        </w:rPr>
        <w:t xml:space="preserve">Teach compliant query writing: non-leading, clinically supported, with multiple valid response options, following AHIMA/ACDIS guidance on compliant query practice.</w:t>
      </w:r>
    </w:p>
    <w:p>
      <w:pPr>
        <w:pStyle w:val="ListParagraph"/>
        <w:numPr>
          <w:ilvl w:val="0"/>
          <w:numId w:val="2"/>
        </w:numPr>
        <w:spacing w:after="70" w:line="264"/>
      </w:pPr>
      <w:r>
        <w:rPr>
          <w:rFonts w:ascii="Calibri" w:cs="Calibri" w:eastAsia="Calibri" w:hAnsi="Calibri"/>
          <w:sz w:val="22"/>
          <w:szCs w:val="22"/>
        </w:rPr>
        <w:t xml:space="preserve">Introduce basic CDI concepts and the relationship between documentation, code specificity and quality measures.</w:t>
      </w:r>
    </w:p>
    <w:p>
      <w:pPr>
        <w:pStyle w:val="ListParagraph"/>
        <w:numPr>
          <w:ilvl w:val="0"/>
          <w:numId w:val="2"/>
        </w:numPr>
        <w:spacing w:after="70" w:line="264"/>
      </w:pPr>
      <w:r>
        <w:rPr>
          <w:rFonts w:ascii="Calibri" w:cs="Calibri" w:eastAsia="Calibri" w:hAnsi="Calibri"/>
          <w:sz w:val="22"/>
          <w:szCs w:val="22"/>
        </w:rPr>
        <w:t xml:space="preserve">Invite practising coders or auditors for guest sessions and case discussions.</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Students who can recognise when not to code and when to query.</w:t>
      </w:r>
    </w:p>
    <w:p>
      <w:pPr>
        <w:pStyle w:val="Heading2"/>
        <w:spacing w:after="100" w:before="220"/>
      </w:pPr>
      <w:r>
        <w:rPr>
          <w:rFonts w:ascii="Calibri" w:cs="Calibri" w:eastAsia="Calibri" w:hAnsi="Calibri"/>
          <w:b/>
          <w:bCs/>
          <w:color w:val="2E75B6"/>
          <w:sz w:val="26"/>
          <w:szCs w:val="26"/>
        </w:rPr>
        <w:t xml:space="preserve">Initiative 6 – Compliance, ethics and data-privacy culture</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Make ethical coding a daily habit.</w:t>
      </w:r>
    </w:p>
    <w:p>
      <w:pPr>
        <w:pStyle w:val="ListParagraph"/>
        <w:numPr>
          <w:ilvl w:val="0"/>
          <w:numId w:val="2"/>
        </w:numPr>
        <w:spacing w:after="70" w:line="264"/>
      </w:pPr>
      <w:r>
        <w:rPr>
          <w:rFonts w:ascii="Calibri" w:cs="Calibri" w:eastAsia="Calibri" w:hAnsi="Calibri"/>
          <w:sz w:val="22"/>
          <w:szCs w:val="22"/>
        </w:rPr>
        <w:t xml:space="preserve">Teach the AHIMA Standards of Ethical Coding and the AAPC Code of Ethics from the first week.</w:t>
      </w:r>
    </w:p>
    <w:p>
      <w:pPr>
        <w:pStyle w:val="ListParagraph"/>
        <w:numPr>
          <w:ilvl w:val="0"/>
          <w:numId w:val="2"/>
        </w:numPr>
        <w:spacing w:after="70" w:line="264"/>
      </w:pPr>
      <w:r>
        <w:rPr>
          <w:rFonts w:ascii="Calibri" w:cs="Calibri" w:eastAsia="Calibri" w:hAnsi="Calibri"/>
          <w:sz w:val="22"/>
          <w:szCs w:val="22"/>
        </w:rPr>
        <w:t xml:space="preserve">Cover HIPAA privacy and security basics, the minimum-necessary standard and safe handling of patient information, using only de-identified data in class.</w:t>
      </w:r>
    </w:p>
    <w:p>
      <w:pPr>
        <w:pStyle w:val="ListParagraph"/>
        <w:numPr>
          <w:ilvl w:val="0"/>
          <w:numId w:val="2"/>
        </w:numPr>
        <w:spacing w:after="70" w:line="264"/>
      </w:pPr>
      <w:r>
        <w:rPr>
          <w:rFonts w:ascii="Calibri" w:cs="Calibri" w:eastAsia="Calibri" w:hAnsi="Calibri"/>
          <w:sz w:val="22"/>
          <w:szCs w:val="22"/>
        </w:rPr>
        <w:t xml:space="preserve">Discuss fraud-and-abuse risk areas: upcoding, unbundling, coding unsupported diagnoses and copy-forward documentation.</w:t>
      </w:r>
    </w:p>
    <w:p>
      <w:pPr>
        <w:pStyle w:val="ListParagraph"/>
        <w:numPr>
          <w:ilvl w:val="0"/>
          <w:numId w:val="2"/>
        </w:numPr>
        <w:spacing w:after="70" w:line="264"/>
      </w:pPr>
      <w:r>
        <w:rPr>
          <w:rFonts w:ascii="Calibri" w:cs="Calibri" w:eastAsia="Calibri" w:hAnsi="Calibri"/>
          <w:sz w:val="22"/>
          <w:szCs w:val="22"/>
        </w:rPr>
        <w:t xml:space="preserve">Include an ethics scenario in each monthly assessment.</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Strong ethical awareness and lower compliance risk.</w:t>
      </w:r>
    </w:p>
    <w:p>
      <w:pPr>
        <w:pStyle w:val="Heading2"/>
        <w:spacing w:after="100" w:before="220"/>
      </w:pPr>
      <w:r>
        <w:rPr>
          <w:rFonts w:ascii="Calibri" w:cs="Calibri" w:eastAsia="Calibri" w:hAnsi="Calibri"/>
          <w:b/>
          <w:bCs/>
          <w:color w:val="2E75B6"/>
          <w:sz w:val="26"/>
          <w:szCs w:val="26"/>
        </w:rPr>
        <w:t xml:space="preserve">Initiative 7 – Technology-enabled learning (encoders, CAC and AI literacy)</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Prepare students for the tools used in modern coding workplaces.</w:t>
      </w:r>
    </w:p>
    <w:p>
      <w:pPr>
        <w:pStyle w:val="ListParagraph"/>
        <w:numPr>
          <w:ilvl w:val="0"/>
          <w:numId w:val="2"/>
        </w:numPr>
        <w:spacing w:after="70" w:line="264"/>
      </w:pPr>
      <w:r>
        <w:rPr>
          <w:rFonts w:ascii="Calibri" w:cs="Calibri" w:eastAsia="Calibri" w:hAnsi="Calibri"/>
          <w:sz w:val="22"/>
          <w:szCs w:val="22"/>
        </w:rPr>
        <w:t xml:space="preserve">Provide supervised access to an encoder or practice platform where available, with a rule that students must always verify suggested codes against the Tabular List and guidelines.</w:t>
      </w:r>
    </w:p>
    <w:p>
      <w:pPr>
        <w:pStyle w:val="ListParagraph"/>
        <w:numPr>
          <w:ilvl w:val="0"/>
          <w:numId w:val="2"/>
        </w:numPr>
        <w:spacing w:after="70" w:line="264"/>
      </w:pPr>
      <w:r>
        <w:rPr>
          <w:rFonts w:ascii="Calibri" w:cs="Calibri" w:eastAsia="Calibri" w:hAnsi="Calibri"/>
          <w:sz w:val="22"/>
          <w:szCs w:val="22"/>
        </w:rPr>
        <w:t xml:space="preserve">Teach students how to validate, accept or reject computer-suggested codes and how to spot typical tool errors.</w:t>
      </w:r>
    </w:p>
    <w:p>
      <w:pPr>
        <w:pStyle w:val="ListParagraph"/>
        <w:numPr>
          <w:ilvl w:val="0"/>
          <w:numId w:val="2"/>
        </w:numPr>
        <w:spacing w:after="70" w:line="264"/>
      </w:pPr>
      <w:r>
        <w:rPr>
          <w:rFonts w:ascii="Calibri" w:cs="Calibri" w:eastAsia="Calibri" w:hAnsi="Calibri"/>
          <w:sz w:val="22"/>
          <w:szCs w:val="22"/>
        </w:rPr>
        <w:t xml:space="preserve">Use a simple learning dashboard (spreadsheet or LMS) to track quiz scores, audit results and attendance.</w:t>
      </w:r>
    </w:p>
    <w:p>
      <w:pPr>
        <w:pStyle w:val="ListParagraph"/>
        <w:numPr>
          <w:ilvl w:val="0"/>
          <w:numId w:val="2"/>
        </w:numPr>
        <w:spacing w:after="70" w:line="264"/>
      </w:pPr>
      <w:r>
        <w:rPr>
          <w:rFonts w:ascii="Calibri" w:cs="Calibri" w:eastAsia="Calibri" w:hAnsi="Calibri"/>
          <w:sz w:val="22"/>
          <w:szCs w:val="22"/>
        </w:rPr>
        <w:t xml:space="preserve">Use AI tools only for study support (e.g., explanations and quiz generation), never for submitting assessed coding answers, to protect learning integrity.</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Technology-ready coders who stay in control of coding decisions.</w:t>
      </w:r>
    </w:p>
    <w:p>
      <w:pPr>
        <w:pStyle w:val="Heading2"/>
        <w:spacing w:after="100" w:before="220"/>
      </w:pPr>
      <w:r>
        <w:rPr>
          <w:rFonts w:ascii="Calibri" w:cs="Calibri" w:eastAsia="Calibri" w:hAnsi="Calibri"/>
          <w:b/>
          <w:bCs/>
          <w:color w:val="2E75B6"/>
          <w:sz w:val="26"/>
          <w:szCs w:val="26"/>
        </w:rPr>
        <w:t xml:space="preserve">Initiative 8 – Certification preparation and continuous professional education</w:t>
      </w:r>
    </w:p>
    <w:p>
      <w:pPr>
        <w:spacing w:after="120" w:line="276"/>
        <w:jc w:val="both"/>
      </w:pPr>
      <w:r>
        <w:rPr>
          <w:rFonts w:ascii="Calibri" w:cs="Calibri" w:eastAsia="Calibri" w:hAnsi="Calibri"/>
          <w:b/>
          <w:bCs/>
          <w:sz w:val="22"/>
          <w:szCs w:val="22"/>
        </w:rPr>
        <w:t xml:space="preserve">Aim: </w:t>
      </w:r>
      <w:r>
        <w:rPr>
          <w:rFonts w:ascii="Calibri" w:cs="Calibri" w:eastAsia="Calibri" w:hAnsi="Calibri"/>
          <w:sz w:val="22"/>
          <w:szCs w:val="22"/>
        </w:rPr>
        <w:t xml:space="preserve">Convert training into recognised competence and long-term growth.</w:t>
      </w:r>
    </w:p>
    <w:p>
      <w:pPr>
        <w:pStyle w:val="ListParagraph"/>
        <w:numPr>
          <w:ilvl w:val="0"/>
          <w:numId w:val="2"/>
        </w:numPr>
        <w:spacing w:after="70" w:line="264"/>
      </w:pPr>
      <w:r>
        <w:rPr>
          <w:rFonts w:ascii="Calibri" w:cs="Calibri" w:eastAsia="Calibri" w:hAnsi="Calibri"/>
          <w:sz w:val="22"/>
          <w:szCs w:val="22"/>
        </w:rPr>
        <w:t xml:space="preserve">Map the syllabus to certification exam blueprints (AAPC CPC, AHIMA CCA/CCS) and run timed mock exams with the code books allowed.</w:t>
      </w:r>
    </w:p>
    <w:p>
      <w:pPr>
        <w:pStyle w:val="ListParagraph"/>
        <w:numPr>
          <w:ilvl w:val="0"/>
          <w:numId w:val="2"/>
        </w:numPr>
        <w:spacing w:after="70" w:line="264"/>
      </w:pPr>
      <w:r>
        <w:rPr>
          <w:rFonts w:ascii="Calibri" w:cs="Calibri" w:eastAsia="Calibri" w:hAnsi="Calibri"/>
          <w:sz w:val="22"/>
          <w:szCs w:val="22"/>
        </w:rPr>
        <w:t xml:space="preserve">Teach exam strategies: time management, book tabbing and the order of reference.</w:t>
      </w:r>
    </w:p>
    <w:p>
      <w:pPr>
        <w:pStyle w:val="ListParagraph"/>
        <w:numPr>
          <w:ilvl w:val="0"/>
          <w:numId w:val="2"/>
        </w:numPr>
        <w:spacing w:after="70" w:line="264"/>
      </w:pPr>
      <w:r>
        <w:rPr>
          <w:rFonts w:ascii="Calibri" w:cs="Calibri" w:eastAsia="Calibri" w:hAnsi="Calibri"/>
          <w:sz w:val="22"/>
          <w:szCs w:val="22"/>
        </w:rPr>
        <w:t xml:space="preserve">Have every student prepare a personal learning plan covering continuing education units (CEUs), webinars, journals such as Coding Clinic and CPT Assistant, and professional networking.</w:t>
      </w:r>
    </w:p>
    <w:p>
      <w:pPr>
        <w:pStyle w:val="ListParagraph"/>
        <w:numPr>
          <w:ilvl w:val="0"/>
          <w:numId w:val="2"/>
        </w:numPr>
        <w:spacing w:after="70" w:line="264"/>
      </w:pPr>
      <w:r>
        <w:rPr>
          <w:rFonts w:ascii="Calibri" w:cs="Calibri" w:eastAsia="Calibri" w:hAnsi="Calibri"/>
          <w:sz w:val="22"/>
          <w:szCs w:val="22"/>
        </w:rPr>
        <w:t xml:space="preserve">Set up an alumni and peer-mentor group to share update alerts and job leads.</w:t>
      </w:r>
    </w:p>
    <w:p>
      <w:pPr>
        <w:spacing w:after="120" w:line="276"/>
        <w:jc w:val="both"/>
      </w:pPr>
      <w:r>
        <w:rPr>
          <w:rFonts w:ascii="Calibri" w:cs="Calibri" w:eastAsia="Calibri" w:hAnsi="Calibri"/>
          <w:b/>
          <w:bCs/>
          <w:sz w:val="22"/>
          <w:szCs w:val="22"/>
        </w:rPr>
        <w:t xml:space="preserve">Output: </w:t>
      </w:r>
      <w:r>
        <w:rPr>
          <w:rFonts w:ascii="Calibri" w:cs="Calibri" w:eastAsia="Calibri" w:hAnsi="Calibri"/>
          <w:sz w:val="22"/>
          <w:szCs w:val="22"/>
        </w:rPr>
        <w:t xml:space="preserve">Higher first-attempt pass rates and graduates who keep their skills current.</w:t>
      </w:r>
    </w:p>
    <w:p>
      <w:pPr>
        <w:pStyle w:val="Heading1"/>
        <w:pBdr>
          <w:bottom w:val="single" w:color="2E75B6" w:sz="8" w:space="2"/>
        </w:pBdr>
        <w:spacing w:after="140" w:before="320"/>
      </w:pPr>
      <w:r>
        <w:rPr>
          <w:rFonts w:ascii="Calibri" w:cs="Calibri" w:eastAsia="Calibri" w:hAnsi="Calibri"/>
          <w:b/>
          <w:bCs/>
          <w:color w:val="1F3864"/>
          <w:sz w:val="32"/>
          <w:szCs w:val="32"/>
        </w:rPr>
        <w:t xml:space="preserve">7. Implementation Timeline (12 Months)</w:t>
      </w:r>
    </w:p>
    <w:p>
      <w:pPr>
        <w:spacing w:after="120" w:line="276"/>
        <w:jc w:val="both"/>
      </w:pPr>
      <w:r>
        <w:rPr>
          <w:rFonts w:ascii="Calibri" w:cs="Calibri" w:eastAsia="Calibri" w:hAnsi="Calibri"/>
          <w:sz w:val="22"/>
          <w:szCs w:val="22"/>
        </w:rPr>
        <w:t xml:space="preserve">The timeline assumes a start in November 2026 and ends in October 2027, which also allows the team to prepare for the next 1 October ICD-10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4038"/>
        <w:gridCol w:w="23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Phase</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Period</w:t>
            </w:r>
          </w:p>
        </w:tc>
        <w:tc>
          <w:tcPr>
            <w:tcW w:type="dxa" w:w="40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Key activities</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Deliverables</w:t>
            </w:r>
          </w:p>
        </w:tc>
      </w:tr>
      <w:t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Phase 1</w:t>
            </w:r>
          </w:p>
          <w:p>
            <w:pPr>
              <w:spacing w:after="30"/>
            </w:pPr>
            <w:r>
              <w:rPr>
                <w:rFonts w:ascii="Calibri" w:cs="Calibri" w:eastAsia="Calibri" w:hAnsi="Calibri"/>
                <w:b/>
                <w:bCs/>
                <w:sz w:val="20"/>
                <w:szCs w:val="20"/>
              </w:rPr>
              <w:t xml:space="preserve">Baseline and set-up</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1–2</w:t>
            </w:r>
          </w:p>
          <w:p>
            <w:pPr>
              <w:spacing w:after="30"/>
            </w:pPr>
            <w:r>
              <w:rPr>
                <w:rFonts w:ascii="Calibri" w:cs="Calibri" w:eastAsia="Calibri" w:hAnsi="Calibri"/>
                <w:b w:val="false"/>
                <w:bCs w:val="false"/>
                <w:sz w:val="20"/>
                <w:szCs w:val="20"/>
              </w:rPr>
              <w:t xml:space="preserve">(Nov–Dec 2026)</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Diagnostic test and mock audit; error baseline; gap analysis; appoint code-set owner; update all material to the current ICD-10-CM/PCS, CPT and HCPCS code sets; finalise KPIs and audit sheet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Baseline report; updated course material; KPI dashboard</w:t>
            </w:r>
          </w:p>
        </w:tc>
      </w:tr>
      <w:t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Phase 2</w:t>
            </w:r>
          </w:p>
          <w:p>
            <w:pPr>
              <w:spacing w:after="30"/>
            </w:pPr>
            <w:r>
              <w:rPr>
                <w:rFonts w:ascii="Calibri" w:cs="Calibri" w:eastAsia="Calibri" w:hAnsi="Calibri"/>
                <w:b/>
                <w:bCs/>
                <w:sz w:val="20"/>
                <w:szCs w:val="20"/>
              </w:rPr>
              <w:t xml:space="preserve">Design and build</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3–4</w:t>
            </w:r>
          </w:p>
          <w:p>
            <w:pPr>
              <w:spacing w:after="30"/>
            </w:pPr>
            <w:r>
              <w:rPr>
                <w:rFonts w:ascii="Calibri" w:cs="Calibri" w:eastAsia="Calibri" w:hAnsi="Calibri"/>
                <w:b w:val="false"/>
                <w:bCs w:val="false"/>
                <w:sz w:val="20"/>
                <w:szCs w:val="20"/>
              </w:rPr>
              <w:t xml:space="preserve">(Jan–Feb 2027)</w:t>
            </w:r>
          </w:p>
        </w:tc>
        <w:tc>
          <w:tcPr>
            <w:tcW w:type="dxa" w:w="40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Develop checklists, graded practice-chart bank, query exercises, ethics scenarios; adopt the new-year CPT/HCPCS updates (1 Jan); train trainers on audit method</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Checklist pack; chart bank; trainer guide</w:t>
            </w:r>
          </w:p>
        </w:tc>
      </w:tr>
      <w:t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Phase 3</w:t>
            </w:r>
          </w:p>
          <w:p>
            <w:pPr>
              <w:spacing w:after="30"/>
            </w:pPr>
            <w:r>
              <w:rPr>
                <w:rFonts w:ascii="Calibri" w:cs="Calibri" w:eastAsia="Calibri" w:hAnsi="Calibri"/>
                <w:b/>
                <w:bCs/>
                <w:sz w:val="20"/>
                <w:szCs w:val="20"/>
              </w:rPr>
              <w:t xml:space="preserve">Pilot</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5–6</w:t>
            </w:r>
          </w:p>
          <w:p>
            <w:pPr>
              <w:spacing w:after="30"/>
            </w:pPr>
            <w:r>
              <w:rPr>
                <w:rFonts w:ascii="Calibri" w:cs="Calibri" w:eastAsia="Calibri" w:hAnsi="Calibri"/>
                <w:b w:val="false"/>
                <w:bCs w:val="false"/>
                <w:sz w:val="20"/>
                <w:szCs w:val="20"/>
              </w:rPr>
              <w:t xml:space="preserve">(Mar–Apr 2027)</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Pilot with one batch: weekly practice, audits with 72-hour feedback, first Pareto analysis, student feedback survey</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Pilot results; mid-point review (PDCA 'Check')</w:t>
            </w:r>
          </w:p>
        </w:tc>
      </w:tr>
      <w:t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Phase 4</w:t>
            </w:r>
          </w:p>
          <w:p>
            <w:pPr>
              <w:spacing w:after="30"/>
            </w:pPr>
            <w:r>
              <w:rPr>
                <w:rFonts w:ascii="Calibri" w:cs="Calibri" w:eastAsia="Calibri" w:hAnsi="Calibri"/>
                <w:b/>
                <w:bCs/>
                <w:sz w:val="20"/>
                <w:szCs w:val="20"/>
              </w:rPr>
              <w:t xml:space="preserve">Full roll-out</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7–9</w:t>
            </w:r>
          </w:p>
          <w:p>
            <w:pPr>
              <w:spacing w:after="30"/>
            </w:pPr>
            <w:r>
              <w:rPr>
                <w:rFonts w:ascii="Calibri" w:cs="Calibri" w:eastAsia="Calibri" w:hAnsi="Calibri"/>
                <w:b w:val="false"/>
                <w:bCs w:val="false"/>
                <w:sz w:val="20"/>
                <w:szCs w:val="20"/>
              </w:rPr>
              <w:t xml:space="preserve">(May–Jul 2027)</w:t>
            </w:r>
          </w:p>
        </w:tc>
        <w:tc>
          <w:tcPr>
            <w:tcW w:type="dxa" w:w="40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Roll out to all batches; guest sessions; compliance assessment; mock certification exams; targeted retraining on top error categories</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Roll-out completion; mock-exam results</w:t>
            </w:r>
          </w:p>
        </w:tc>
      </w:tr>
      <w:t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Phase 5</w:t>
            </w:r>
          </w:p>
          <w:p>
            <w:pPr>
              <w:spacing w:after="30"/>
            </w:pPr>
            <w:r>
              <w:rPr>
                <w:rFonts w:ascii="Calibri" w:cs="Calibri" w:eastAsia="Calibri" w:hAnsi="Calibri"/>
                <w:b/>
                <w:bCs/>
                <w:sz w:val="20"/>
                <w:szCs w:val="20"/>
              </w:rPr>
              <w:t xml:space="preserve">Evaluate and sustain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10–12</w:t>
            </w:r>
          </w:p>
          <w:p>
            <w:pPr>
              <w:spacing w:after="30"/>
            </w:pPr>
            <w:r>
              <w:rPr>
                <w:rFonts w:ascii="Calibri" w:cs="Calibri" w:eastAsia="Calibri" w:hAnsi="Calibri"/>
                <w:b w:val="false"/>
                <w:bCs w:val="false"/>
                <w:sz w:val="20"/>
                <w:szCs w:val="20"/>
              </w:rPr>
              <w:t xml:space="preserve">(Aug–Oct 2027)</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Final KPI evaluation; Kirkpatrick Level 1–4 review; prepare next-year update workshop; document lessons learned; publish next-year plan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Final evaluation report; next-year plan</w:t>
            </w:r>
          </w:p>
        </w:tc>
      </w:tr>
    </w:tbl>
    <w:p>
      <w:pPr>
        <w:spacing w:after="100"/>
      </w:pPr>
    </w:p>
    <w:p>
      <w:pPr>
        <w:pStyle w:val="Heading2"/>
        <w:spacing w:after="100" w:before="220"/>
      </w:pPr>
      <w:r>
        <w:rPr>
          <w:rFonts w:ascii="Calibri" w:cs="Calibri" w:eastAsia="Calibri" w:hAnsi="Calibri"/>
          <w:b/>
          <w:bCs/>
          <w:color w:val="2E75B6"/>
          <w:sz w:val="26"/>
          <w:szCs w:val="26"/>
        </w:rPr>
        <w:t xml:space="preserve">Recurring activities</w:t>
      </w:r>
    </w:p>
    <w:p>
      <w:pPr>
        <w:pStyle w:val="ListParagraph"/>
        <w:numPr>
          <w:ilvl w:val="0"/>
          <w:numId w:val="2"/>
        </w:numPr>
        <w:spacing w:after="70" w:line="264"/>
      </w:pPr>
      <w:r>
        <w:rPr>
          <w:rFonts w:ascii="Calibri" w:cs="Calibri" w:eastAsia="Calibri" w:hAnsi="Calibri"/>
          <w:b/>
          <w:bCs/>
          <w:sz w:val="22"/>
          <w:szCs w:val="22"/>
        </w:rPr>
        <w:t xml:space="preserve">Weekly: </w:t>
      </w:r>
      <w:r>
        <w:rPr>
          <w:rFonts w:ascii="Calibri" w:cs="Calibri" w:eastAsia="Calibri" w:hAnsi="Calibri"/>
          <w:sz w:val="22"/>
          <w:szCs w:val="22"/>
        </w:rPr>
        <w:t xml:space="preserve">terminology quiz, practice chart, guideline-of-the-week discussion.</w:t>
      </w:r>
    </w:p>
    <w:p>
      <w:pPr>
        <w:pStyle w:val="ListParagraph"/>
        <w:numPr>
          <w:ilvl w:val="0"/>
          <w:numId w:val="2"/>
        </w:numPr>
        <w:spacing w:after="70" w:line="264"/>
      </w:pPr>
      <w:r>
        <w:rPr>
          <w:rFonts w:ascii="Calibri" w:cs="Calibri" w:eastAsia="Calibri" w:hAnsi="Calibri"/>
          <w:b/>
          <w:bCs/>
          <w:sz w:val="22"/>
          <w:szCs w:val="22"/>
        </w:rPr>
        <w:t xml:space="preserve">Monthly: </w:t>
      </w:r>
      <w:r>
        <w:rPr>
          <w:rFonts w:ascii="Calibri" w:cs="Calibri" w:eastAsia="Calibri" w:hAnsi="Calibri"/>
          <w:sz w:val="22"/>
          <w:szCs w:val="22"/>
        </w:rPr>
        <w:t xml:space="preserve">audit report, error Pareto chart, ethics scenario, trainer review meeting.</w:t>
      </w:r>
    </w:p>
    <w:p>
      <w:pPr>
        <w:pStyle w:val="ListParagraph"/>
        <w:numPr>
          <w:ilvl w:val="0"/>
          <w:numId w:val="2"/>
        </w:numPr>
        <w:spacing w:after="70" w:line="264"/>
      </w:pPr>
      <w:r>
        <w:rPr>
          <w:rFonts w:ascii="Calibri" w:cs="Calibri" w:eastAsia="Calibri" w:hAnsi="Calibri"/>
          <w:b/>
          <w:bCs/>
          <w:sz w:val="22"/>
          <w:szCs w:val="22"/>
        </w:rPr>
        <w:t xml:space="preserve">Quarterly: </w:t>
      </w:r>
      <w:r>
        <w:rPr>
          <w:rFonts w:ascii="Calibri" w:cs="Calibri" w:eastAsia="Calibri" w:hAnsi="Calibri"/>
          <w:sz w:val="22"/>
          <w:szCs w:val="22"/>
        </w:rPr>
        <w:t xml:space="preserve">KPI review and PDCA adjustments; HCPCS Level II quarterly update check.</w:t>
      </w:r>
    </w:p>
    <w:p>
      <w:pPr>
        <w:pStyle w:val="ListParagraph"/>
        <w:numPr>
          <w:ilvl w:val="0"/>
          <w:numId w:val="2"/>
        </w:numPr>
        <w:spacing w:after="70" w:line="264"/>
      </w:pPr>
      <w:r>
        <w:rPr>
          <w:rFonts w:ascii="Calibri" w:cs="Calibri" w:eastAsia="Calibri" w:hAnsi="Calibri"/>
          <w:b/>
          <w:bCs/>
          <w:sz w:val="22"/>
          <w:szCs w:val="22"/>
        </w:rPr>
        <w:t xml:space="preserve">Annually: </w:t>
      </w:r>
      <w:r>
        <w:rPr>
          <w:rFonts w:ascii="Calibri" w:cs="Calibri" w:eastAsia="Calibri" w:hAnsi="Calibri"/>
          <w:sz w:val="22"/>
          <w:szCs w:val="22"/>
        </w:rPr>
        <w:t xml:space="preserve">code-set updates (ICD-10: 1 October; CPT/HCPCS: 1 January); curriculum review.</w:t>
      </w:r>
    </w:p>
    <w:p>
      <w:pPr>
        <w:pStyle w:val="Heading1"/>
        <w:pBdr>
          <w:bottom w:val="single" w:color="2E75B6" w:sz="8" w:space="2"/>
        </w:pBdr>
        <w:spacing w:after="140" w:before="320"/>
      </w:pPr>
      <w:r>
        <w:rPr>
          <w:rFonts w:ascii="Calibri" w:cs="Calibri" w:eastAsia="Calibri" w:hAnsi="Calibri"/>
          <w:b/>
          <w:bCs/>
          <w:color w:val="1F3864"/>
          <w:sz w:val="32"/>
          <w:szCs w:val="32"/>
        </w:rPr>
        <w:t xml:space="preserve">8. Measurable Outcomes and Evaluation Plan</w:t>
      </w:r>
    </w:p>
    <w:p>
      <w:pPr>
        <w:spacing w:after="120" w:line="276"/>
        <w:jc w:val="both"/>
      </w:pPr>
      <w:r>
        <w:rPr>
          <w:rFonts w:ascii="Calibri" w:cs="Calibri" w:eastAsia="Calibri" w:hAnsi="Calibri"/>
          <w:sz w:val="22"/>
          <w:szCs w:val="22"/>
        </w:rPr>
        <w:t xml:space="preserve">Baselines will be set in Phase 1. The targets below are proposed and can be adjusted after the baseline results are known.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000"/>
        <w:gridCol w:w="2538"/>
        <w:gridCol w:w="140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KPI</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Baseline</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Target</w:t>
            </w:r>
          </w:p>
        </w:tc>
        <w:tc>
          <w:tcPr>
            <w:tcW w:type="dxa" w:w="25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How measured</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Frequency</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Code-level accuracy on audited charts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≥95% by Month 6;</w:t>
            </w:r>
          </w:p>
          <w:p>
            <w:pPr>
              <w:spacing w:after="30"/>
            </w:pPr>
            <w:r>
              <w:rPr>
                <w:rFonts w:ascii="Calibri" w:cs="Calibri" w:eastAsia="Calibri" w:hAnsi="Calibri"/>
                <w:b w:val="false"/>
                <w:bCs w:val="false"/>
                <w:sz w:val="20"/>
                <w:szCs w:val="20"/>
              </w:rPr>
              <w:t xml:space="preserve">≥97% by Month 12</w:t>
            </w:r>
          </w:p>
        </w:tc>
        <w:tc>
          <w:tcPr>
            <w:tcW w:type="dxa" w:w="2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Audit score sheet (correct codes ÷ total codes reviewed)</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Monthly</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Overall error rate</w:t>
            </w:r>
          </w:p>
        </w:tc>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40% reduction by Month 12</w:t>
            </w:r>
          </w:p>
        </w:tc>
        <w:tc>
          <w:tcPr>
            <w:tcW w:type="dxa" w:w="2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Error log and Pareto analysis</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Monthly</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Use of deleted/outdated codes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0 in assessments</w:t>
            </w:r>
          </w:p>
        </w:tc>
        <w:tc>
          <w:tcPr>
            <w:tcW w:type="dxa" w:w="2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Audit check against current code-set files</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Monthly</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Guidelines and compliance test score</w:t>
            </w:r>
          </w:p>
        </w:tc>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≥80% for 90% of students by Month 9</w:t>
            </w:r>
          </w:p>
        </w:tc>
        <w:tc>
          <w:tcPr>
            <w:tcW w:type="dxa" w:w="2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Written/online test</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Quarterly</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Query quality (compliant, non-leading)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3</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≥90% of queries rated compliant</w:t>
            </w:r>
          </w:p>
        </w:tc>
        <w:tc>
          <w:tcPr>
            <w:tcW w:type="dxa" w:w="2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Rubric-based review</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Quarterly</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Turnaround time for feedback</w:t>
            </w:r>
          </w:p>
        </w:tc>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≤72 hours</w:t>
            </w:r>
          </w:p>
        </w:tc>
        <w:tc>
          <w:tcPr>
            <w:tcW w:type="dxa" w:w="2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Trainer log</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Monthly</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Mock certification exam score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4</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≥70% pass-equivalent for ≥75% of students</w:t>
            </w:r>
          </w:p>
        </w:tc>
        <w:tc>
          <w:tcPr>
            <w:tcW w:type="dxa" w:w="2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Timed mock exam</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Twice per cohort</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First-attempt certification pass rate</w:t>
            </w:r>
          </w:p>
        </w:tc>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Previous cohort</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≥75% (first cohort), rising each cohort</w:t>
            </w:r>
          </w:p>
        </w:tc>
        <w:tc>
          <w:tcPr>
            <w:tcW w:type="dxa" w:w="2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Exam results</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Per cohort</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Student satisfaction and confidence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Set in Month 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≥4 out of 5 average</w:t>
            </w:r>
          </w:p>
        </w:tc>
        <w:tc>
          <w:tcPr>
            <w:tcW w:type="dxa" w:w="2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Survey (Kirkpatrick Level 1)</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Quarterly</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Personal learning plan completion</w:t>
            </w:r>
          </w:p>
        </w:tc>
        <w:tc>
          <w:tcPr>
            <w:tcW w:type="dxa" w:w="1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0%</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100%</w:t>
            </w:r>
          </w:p>
        </w:tc>
        <w:tc>
          <w:tcPr>
            <w:tcW w:type="dxa" w:w="2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Plan submission</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Month 6</w:t>
            </w:r>
          </w:p>
        </w:tc>
      </w:tr>
    </w:tbl>
    <w:p>
      <w:pPr>
        <w:spacing w:after="100"/>
      </w:pPr>
    </w:p>
    <w:p>
      <w:pPr>
        <w:pStyle w:val="Heading2"/>
        <w:spacing w:after="100" w:before="220"/>
      </w:pPr>
      <w:r>
        <w:rPr>
          <w:rFonts w:ascii="Calibri" w:cs="Calibri" w:eastAsia="Calibri" w:hAnsi="Calibri"/>
          <w:b/>
          <w:bCs/>
          <w:color w:val="2E75B6"/>
          <w:sz w:val="26"/>
          <w:szCs w:val="26"/>
        </w:rPr>
        <w:t xml:space="preserve">Evaluation approach</w:t>
      </w:r>
    </w:p>
    <w:p>
      <w:pPr>
        <w:pStyle w:val="ListParagraph"/>
        <w:numPr>
          <w:ilvl w:val="0"/>
          <w:numId w:val="2"/>
        </w:numPr>
        <w:spacing w:after="70" w:line="264"/>
      </w:pPr>
      <w:r>
        <w:rPr>
          <w:rFonts w:ascii="Calibri" w:cs="Calibri" w:eastAsia="Calibri" w:hAnsi="Calibri"/>
          <w:b/>
          <w:bCs/>
          <w:sz w:val="22"/>
          <w:szCs w:val="22"/>
        </w:rPr>
        <w:t xml:space="preserve">Level 1 – Reaction: </w:t>
      </w:r>
      <w:r>
        <w:rPr>
          <w:rFonts w:ascii="Calibri" w:cs="Calibri" w:eastAsia="Calibri" w:hAnsi="Calibri"/>
          <w:sz w:val="22"/>
          <w:szCs w:val="22"/>
        </w:rPr>
        <w:t xml:space="preserve">student and trainer surveys on content, pace and usefulness.</w:t>
      </w:r>
    </w:p>
    <w:p>
      <w:pPr>
        <w:pStyle w:val="ListParagraph"/>
        <w:numPr>
          <w:ilvl w:val="0"/>
          <w:numId w:val="2"/>
        </w:numPr>
        <w:spacing w:after="70" w:line="264"/>
      </w:pPr>
      <w:r>
        <w:rPr>
          <w:rFonts w:ascii="Calibri" w:cs="Calibri" w:eastAsia="Calibri" w:hAnsi="Calibri"/>
          <w:b/>
          <w:bCs/>
          <w:sz w:val="22"/>
          <w:szCs w:val="22"/>
        </w:rPr>
        <w:t xml:space="preserve">Level 2 – Learning: </w:t>
      </w:r>
      <w:r>
        <w:rPr>
          <w:rFonts w:ascii="Calibri" w:cs="Calibri" w:eastAsia="Calibri" w:hAnsi="Calibri"/>
          <w:sz w:val="22"/>
          <w:szCs w:val="22"/>
        </w:rPr>
        <w:t xml:space="preserve">quiz, test and mock-exam scores compared with baseline.</w:t>
      </w:r>
    </w:p>
    <w:p>
      <w:pPr>
        <w:pStyle w:val="ListParagraph"/>
        <w:numPr>
          <w:ilvl w:val="0"/>
          <w:numId w:val="2"/>
        </w:numPr>
        <w:spacing w:after="70" w:line="264"/>
      </w:pPr>
      <w:r>
        <w:rPr>
          <w:rFonts w:ascii="Calibri" w:cs="Calibri" w:eastAsia="Calibri" w:hAnsi="Calibri"/>
          <w:b/>
          <w:bCs/>
          <w:sz w:val="22"/>
          <w:szCs w:val="22"/>
        </w:rPr>
        <w:t xml:space="preserve">Level 3 – Behaviour: </w:t>
      </w:r>
      <w:r>
        <w:rPr>
          <w:rFonts w:ascii="Calibri" w:cs="Calibri" w:eastAsia="Calibri" w:hAnsi="Calibri"/>
          <w:sz w:val="22"/>
          <w:szCs w:val="22"/>
        </w:rPr>
        <w:t xml:space="preserve">accuracy and error trends on audited charts, correct use of guidelines and queries.</w:t>
      </w:r>
    </w:p>
    <w:p>
      <w:pPr>
        <w:pStyle w:val="ListParagraph"/>
        <w:numPr>
          <w:ilvl w:val="0"/>
          <w:numId w:val="2"/>
        </w:numPr>
        <w:spacing w:after="70" w:line="264"/>
      </w:pPr>
      <w:r>
        <w:rPr>
          <w:rFonts w:ascii="Calibri" w:cs="Calibri" w:eastAsia="Calibri" w:hAnsi="Calibri"/>
          <w:b/>
          <w:bCs/>
          <w:sz w:val="22"/>
          <w:szCs w:val="22"/>
        </w:rPr>
        <w:t xml:space="preserve">Level 4 – Results: </w:t>
      </w:r>
      <w:r>
        <w:rPr>
          <w:rFonts w:ascii="Calibri" w:cs="Calibri" w:eastAsia="Calibri" w:hAnsi="Calibri"/>
          <w:sz w:val="22"/>
          <w:szCs w:val="22"/>
        </w:rPr>
        <w:t xml:space="preserve">certification pass rates, placement or internship outcomes and employer feedback.</w:t>
      </w:r>
    </w:p>
    <w:p>
      <w:pPr>
        <w:pStyle w:val="Heading1"/>
        <w:pBdr>
          <w:bottom w:val="single" w:color="2E75B6" w:sz="8" w:space="2"/>
        </w:pBdr>
        <w:spacing w:after="140" w:before="320"/>
      </w:pPr>
      <w:r>
        <w:rPr>
          <w:rFonts w:ascii="Calibri" w:cs="Calibri" w:eastAsia="Calibri" w:hAnsi="Calibri"/>
          <w:b/>
          <w:bCs/>
          <w:color w:val="1F3864"/>
          <w:sz w:val="32"/>
          <w:szCs w:val="32"/>
        </w:rPr>
        <w:t xml:space="preserve">9. Roles, Resources and Budget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Role</w:t>
            </w:r>
          </w:p>
        </w:tc>
        <w:tc>
          <w:tcPr>
            <w:tcW w:type="dxa" w:w="6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Responsibility</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Programme coordinator</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Overall ownership of the plan, KPI review and reporting</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Code-set owner (senior trainer)</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Tracks official updates, maintains the update calendar, approves content changes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Trainers / auditors</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Deliver sessions, audit charts, give feedback, maintain error logs</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Students and peer mentors</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Complete practice, keep personal error logs, support peers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Industry guests (optional)</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Share workplace insight, review case studies</w:t>
            </w:r>
          </w:p>
        </w:tc>
      </w:tr>
    </w:tbl>
    <w:p>
      <w:pPr>
        <w:spacing w:after="100"/>
      </w:pPr>
    </w:p>
    <w:p>
      <w:pPr>
        <w:pStyle w:val="ListParagraph"/>
        <w:numPr>
          <w:ilvl w:val="0"/>
          <w:numId w:val="2"/>
        </w:numPr>
        <w:spacing w:after="70" w:line="264"/>
      </w:pPr>
      <w:r>
        <w:rPr>
          <w:rFonts w:ascii="Calibri" w:cs="Calibri" w:eastAsia="Calibri" w:hAnsi="Calibri"/>
          <w:b/>
          <w:bCs/>
          <w:sz w:val="22"/>
          <w:szCs w:val="22"/>
        </w:rPr>
        <w:t xml:space="preserve">Resources: </w:t>
      </w:r>
      <w:r>
        <w:rPr>
          <w:rFonts w:ascii="Calibri" w:cs="Calibri" w:eastAsia="Calibri" w:hAnsi="Calibri"/>
          <w:sz w:val="22"/>
          <w:szCs w:val="22"/>
        </w:rPr>
        <w:t xml:space="preserve">current-year code books or licensed encoder access; official CDC/NCHS and CMS code files (free); AMA CPT licence; synthetic or de-identified chart bank; spreadsheet or LMS dashboard.</w:t>
      </w:r>
    </w:p>
    <w:p>
      <w:pPr>
        <w:pStyle w:val="ListParagraph"/>
        <w:numPr>
          <w:ilvl w:val="0"/>
          <w:numId w:val="2"/>
        </w:numPr>
        <w:spacing w:after="70" w:line="264"/>
      </w:pPr>
      <w:r>
        <w:rPr>
          <w:rFonts w:ascii="Calibri" w:cs="Calibri" w:eastAsia="Calibri" w:hAnsi="Calibri"/>
          <w:b/>
          <w:bCs/>
          <w:sz w:val="22"/>
          <w:szCs w:val="22"/>
        </w:rPr>
        <w:t xml:space="preserve">Cost control: </w:t>
      </w:r>
      <w:r>
        <w:rPr>
          <w:rFonts w:ascii="Calibri" w:cs="Calibri" w:eastAsia="Calibri" w:hAnsi="Calibri"/>
          <w:sz w:val="22"/>
          <w:szCs w:val="22"/>
        </w:rPr>
        <w:t xml:space="preserve">official ICD-10-CM/PCS files and guidelines from CDC/CMS are free; CPT is licensed by the AMA. Start with a low-cost spreadsheet dashboard before investing in specialised software.</w:t>
      </w:r>
    </w:p>
    <w:p>
      <w:pPr>
        <w:pStyle w:val="Heading1"/>
        <w:pBdr>
          <w:bottom w:val="single" w:color="2E75B6" w:sz="8" w:space="2"/>
        </w:pBdr>
        <w:spacing w:after="140" w:before="320"/>
      </w:pPr>
      <w:r>
        <w:rPr>
          <w:rFonts w:ascii="Calibri" w:cs="Calibri" w:eastAsia="Calibri" w:hAnsi="Calibri"/>
          <w:b/>
          <w:bCs/>
          <w:color w:val="1F3864"/>
          <w:sz w:val="32"/>
          <w:szCs w:val="32"/>
        </w:rPr>
        <w:t xml:space="preserve">10.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5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Risk</w:t>
            </w:r>
          </w:p>
        </w:tc>
        <w:tc>
          <w:tcPr>
            <w:tcW w:type="dxa" w:w="2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Likelihood / impact</w:t>
            </w:r>
          </w:p>
        </w:tc>
        <w:tc>
          <w:tcPr>
            <w:tcW w:type="dxa" w:w="45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Mitigation</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Official guidelines released late</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Medium / Medium</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Use the addenda and tabular files first; schedule a quick re-training once guidelines are published</w:t>
            </w:r>
          </w:p>
        </w:tc>
      </w:tr>
      <w:t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Trainer workload from audits and feedback</w:t>
            </w:r>
          </w:p>
        </w:tc>
        <w:tc>
          <w:tcPr>
            <w:tcW w:type="dxa" w:w="2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High / Medium</w:t>
            </w:r>
          </w:p>
        </w:tc>
        <w:tc>
          <w:tcPr>
            <w:tcW w:type="dxa" w:w="4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Use a standard score sheet, peer review for basic charts, and sampling for large batches</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Varied student backgrounds</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High / Medium</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Diagnostic test, bridge modules and peer mentoring</w:t>
            </w:r>
          </w:p>
        </w:tc>
      </w:tr>
      <w:t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Limited access to licensed tools or books</w:t>
            </w:r>
          </w:p>
        </w:tc>
        <w:tc>
          <w:tcPr>
            <w:tcW w:type="dxa" w:w="2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Medium / High</w:t>
            </w:r>
          </w:p>
        </w:tc>
        <w:tc>
          <w:tcPr>
            <w:tcW w:type="dxa" w:w="4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Prioritise free official files; share licences; phase purchases</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Student drop-out or low engagement</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Medium / Medium</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Short weekly goals, visible progress dashboard, recognition for improvement</w:t>
            </w:r>
          </w:p>
        </w:tc>
      </w:tr>
      <w:t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Privacy breach with practice data</w:t>
            </w:r>
          </w:p>
        </w:tc>
        <w:tc>
          <w:tcPr>
            <w:tcW w:type="dxa" w:w="2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Low / High</w:t>
            </w:r>
          </w:p>
        </w:tc>
        <w:tc>
          <w:tcPr>
            <w:tcW w:type="dxa" w:w="45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Use only synthetic or de-identified charts; ethics briefing; controlled file access</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bCs/>
                <w:sz w:val="20"/>
                <w:szCs w:val="20"/>
              </w:rPr>
              <w:t xml:space="preserve">Over-reliance on AI/CAC tools</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Medium / Medium</w:t>
            </w:r>
          </w:p>
        </w:tc>
        <w:tc>
          <w:tcPr>
            <w:tcW w:type="dxa" w:w="4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Mandatory manual verification step; assessments done without tool suggestions</w:t>
            </w:r>
          </w:p>
        </w:tc>
      </w:tr>
    </w:tbl>
    <w:p>
      <w:pPr>
        <w:pStyle w:val="Heading1"/>
        <w:pBdr>
          <w:bottom w:val="single" w:color="2E75B6" w:sz="8" w:space="2"/>
        </w:pBdr>
        <w:spacing w:after="140" w:before="320"/>
      </w:pPr>
      <w:r>
        <w:rPr>
          <w:rFonts w:ascii="Calibri" w:cs="Calibri" w:eastAsia="Calibri" w:hAnsi="Calibri"/>
          <w:b/>
          <w:bCs/>
          <w:color w:val="1F3864"/>
          <w:sz w:val="32"/>
          <w:szCs w:val="32"/>
        </w:rPr>
        <w:t xml:space="preserve">11. Expected Outcomes</w:t>
      </w:r>
    </w:p>
    <w:p>
      <w:pPr>
        <w:pStyle w:val="ListParagraph"/>
        <w:numPr>
          <w:ilvl w:val="0"/>
          <w:numId w:val="2"/>
        </w:numPr>
        <w:spacing w:after="70" w:line="264"/>
      </w:pPr>
      <w:r>
        <w:rPr>
          <w:rFonts w:ascii="Calibri" w:cs="Calibri" w:eastAsia="Calibri" w:hAnsi="Calibri"/>
          <w:sz w:val="22"/>
          <w:szCs w:val="22"/>
        </w:rPr>
        <w:t xml:space="preserve">Higher and more consistent coding accuracy among students, meeting or exceeding the commonly used professional benchmark of about 95%.</w:t>
      </w:r>
    </w:p>
    <w:p>
      <w:pPr>
        <w:pStyle w:val="ListParagraph"/>
        <w:numPr>
          <w:ilvl w:val="0"/>
          <w:numId w:val="2"/>
        </w:numPr>
        <w:spacing w:after="70" w:line="264"/>
      </w:pPr>
      <w:r>
        <w:rPr>
          <w:rFonts w:ascii="Calibri" w:cs="Calibri" w:eastAsia="Calibri" w:hAnsi="Calibri"/>
          <w:sz w:val="22"/>
          <w:szCs w:val="22"/>
        </w:rPr>
        <w:t xml:space="preserve">Fewer repeated errors due to structured feedback, error logs and targeted retraining.</w:t>
      </w:r>
    </w:p>
    <w:p>
      <w:pPr>
        <w:pStyle w:val="ListParagraph"/>
        <w:numPr>
          <w:ilvl w:val="0"/>
          <w:numId w:val="2"/>
        </w:numPr>
        <w:spacing w:after="70" w:line="264"/>
      </w:pPr>
      <w:r>
        <w:rPr>
          <w:rFonts w:ascii="Calibri" w:cs="Calibri" w:eastAsia="Calibri" w:hAnsi="Calibri"/>
          <w:sz w:val="22"/>
          <w:szCs w:val="22"/>
        </w:rPr>
        <w:t xml:space="preserve">Course content that is always aligned with the current code sets and guidelines.</w:t>
      </w:r>
    </w:p>
    <w:p>
      <w:pPr>
        <w:pStyle w:val="ListParagraph"/>
        <w:numPr>
          <w:ilvl w:val="0"/>
          <w:numId w:val="2"/>
        </w:numPr>
        <w:spacing w:after="70" w:line="264"/>
      </w:pPr>
      <w:r>
        <w:rPr>
          <w:rFonts w:ascii="Calibri" w:cs="Calibri" w:eastAsia="Calibri" w:hAnsi="Calibri"/>
          <w:sz w:val="22"/>
          <w:szCs w:val="22"/>
        </w:rPr>
        <w:t xml:space="preserve">Improved understanding of compliance, ethics and compliant query practice.</w:t>
      </w:r>
    </w:p>
    <w:p>
      <w:pPr>
        <w:pStyle w:val="ListParagraph"/>
        <w:numPr>
          <w:ilvl w:val="0"/>
          <w:numId w:val="2"/>
        </w:numPr>
        <w:spacing w:after="70" w:line="264"/>
      </w:pPr>
      <w:r>
        <w:rPr>
          <w:rFonts w:ascii="Calibri" w:cs="Calibri" w:eastAsia="Calibri" w:hAnsi="Calibri"/>
          <w:sz w:val="22"/>
          <w:szCs w:val="22"/>
        </w:rPr>
        <w:t xml:space="preserve">Better preparation for certification exams and for working with encoders and CAC tools.</w:t>
      </w:r>
    </w:p>
    <w:p>
      <w:pPr>
        <w:pStyle w:val="ListParagraph"/>
        <w:numPr>
          <w:ilvl w:val="0"/>
          <w:numId w:val="2"/>
        </w:numPr>
        <w:spacing w:after="70" w:line="264"/>
      </w:pPr>
      <w:r>
        <w:rPr>
          <w:rFonts w:ascii="Calibri" w:cs="Calibri" w:eastAsia="Calibri" w:hAnsi="Calibri"/>
          <w:sz w:val="22"/>
          <w:szCs w:val="22"/>
        </w:rPr>
        <w:t xml:space="preserve">A culture of continuous professional education, with graduates who keep pace with annual updates.</w:t>
      </w:r>
    </w:p>
    <w:p>
      <w:pPr>
        <w:pStyle w:val="ListParagraph"/>
        <w:numPr>
          <w:ilvl w:val="0"/>
          <w:numId w:val="2"/>
        </w:numPr>
        <w:spacing w:after="70" w:line="264"/>
      </w:pPr>
      <w:r>
        <w:rPr>
          <w:rFonts w:ascii="Calibri" w:cs="Calibri" w:eastAsia="Calibri" w:hAnsi="Calibri"/>
          <w:sz w:val="22"/>
          <w:szCs w:val="22"/>
        </w:rPr>
        <w:t xml:space="preserve">A documented, repeatable quality-improvement process that the training provider can use for future batches.</w:t>
      </w:r>
    </w:p>
    <w:p>
      <w:pPr>
        <w:pStyle w:val="Heading1"/>
        <w:pBdr>
          <w:bottom w:val="single" w:color="2E75B6" w:sz="8" w:space="2"/>
        </w:pBdr>
        <w:spacing w:after="140" w:before="320"/>
      </w:pPr>
      <w:r>
        <w:rPr>
          <w:rFonts w:ascii="Calibri" w:cs="Calibri" w:eastAsia="Calibri" w:hAnsi="Calibri"/>
          <w:b/>
          <w:bCs/>
          <w:color w:val="1F3864"/>
          <w:sz w:val="32"/>
          <w:szCs w:val="32"/>
        </w:rPr>
        <w:t xml:space="preserve">12. Conclusion</w:t>
      </w:r>
    </w:p>
    <w:p>
      <w:pPr>
        <w:spacing w:after="120" w:line="276"/>
        <w:jc w:val="both"/>
      </w:pPr>
      <w:r>
        <w:rPr>
          <w:rFonts w:ascii="Calibri" w:cs="Calibri" w:eastAsia="Calibri" w:hAnsi="Calibri"/>
          <w:sz w:val="22"/>
          <w:szCs w:val="22"/>
        </w:rPr>
        <w:t xml:space="preserve">Quality in medical coding starts with quality in training. By combining strong foundations, a guideline-first method, regular updates, an audit-and-feedback loop, compliance culture and certification support, this plan gives training courses a practical way to produce accurate, compliant and confident coders. Its use of PDCA, SMART goals and Kirkpatrick evaluation makes progress measurable, and its phased timeline makes it feasible to start immediately with existing resources and to grow over time.</w:t>
      </w:r>
    </w:p>
    <w:p>
      <w:pPr>
        <w:pStyle w:val="Heading1"/>
        <w:pBdr>
          <w:bottom w:val="single" w:color="2E75B6" w:sz="8" w:space="2"/>
        </w:pBdr>
        <w:spacing w:after="140" w:before="320"/>
      </w:pPr>
      <w:r>
        <w:rPr>
          <w:rFonts w:ascii="Calibri" w:cs="Calibri" w:eastAsia="Calibri" w:hAnsi="Calibri"/>
          <w:b/>
          <w:bCs/>
          <w:color w:val="1F3864"/>
          <w:sz w:val="32"/>
          <w:szCs w:val="32"/>
        </w:rPr>
        <w:t xml:space="preserve">13. References</w:t>
      </w:r>
    </w:p>
    <w:p>
      <w:pPr>
        <w:spacing w:after="120" w:line="276"/>
        <w:jc w:val="left"/>
      </w:pPr>
      <w:r>
        <w:rPr>
          <w:rFonts w:ascii="Calibri" w:cs="Calibri" w:eastAsia="Calibri" w:hAnsi="Calibri"/>
          <w:sz w:val="22"/>
          <w:szCs w:val="22"/>
        </w:rPr>
        <w:t xml:space="preserve">Note: Please verify the latest versions and release dates on the official websites before final submission, as code-set files and guidelines are updated regularly.</w:t>
      </w:r>
    </w:p>
    <w:p>
      <w:pPr>
        <w:pStyle w:val="ListParagraph"/>
        <w:numPr>
          <w:ilvl w:val="0"/>
          <w:numId w:val="3"/>
        </w:numPr>
        <w:spacing w:after="70" w:line="264"/>
      </w:pPr>
      <w:r>
        <w:rPr>
          <w:rFonts w:ascii="Calibri" w:cs="Calibri" w:eastAsia="Calibri" w:hAnsi="Calibri"/>
          <w:sz w:val="21"/>
          <w:szCs w:val="21"/>
        </w:rPr>
        <w:t xml:space="preserve">Centers for Disease Control and Prevention, National Center for Health Statistics (NCHS). ICD-10-CM Files and Addenda (annual updates, effective October 1). cdc.gov/nchs/icd/icd-10-cm</w:t>
      </w:r>
    </w:p>
    <w:p>
      <w:pPr>
        <w:pStyle w:val="ListParagraph"/>
        <w:numPr>
          <w:ilvl w:val="0"/>
          <w:numId w:val="3"/>
        </w:numPr>
        <w:spacing w:after="70" w:line="264"/>
      </w:pPr>
      <w:r>
        <w:rPr>
          <w:rFonts w:ascii="Calibri" w:cs="Calibri" w:eastAsia="Calibri" w:hAnsi="Calibri"/>
          <w:sz w:val="21"/>
          <w:szCs w:val="21"/>
        </w:rPr>
        <w:t xml:space="preserve">Centers for Medicare &amp; Medicaid Services (CMS). ICD-10-CM and ICD-10-PCS annual code updates; ICD-10-CM Official Guidelines for Coding and Reporting. cms.gov</w:t>
      </w:r>
    </w:p>
    <w:p>
      <w:pPr>
        <w:pStyle w:val="ListParagraph"/>
        <w:numPr>
          <w:ilvl w:val="0"/>
          <w:numId w:val="3"/>
        </w:numPr>
        <w:spacing w:after="70" w:line="264"/>
      </w:pPr>
      <w:r>
        <w:rPr>
          <w:rFonts w:ascii="Calibri" w:cs="Calibri" w:eastAsia="Calibri" w:hAnsi="Calibri"/>
          <w:sz w:val="21"/>
          <w:szCs w:val="21"/>
        </w:rPr>
        <w:t xml:space="preserve">American Medical Association. Current Procedural Terminology (CPT®) Professional Edition. ama-assn.org</w:t>
      </w:r>
    </w:p>
    <w:p>
      <w:pPr>
        <w:pStyle w:val="ListParagraph"/>
        <w:numPr>
          <w:ilvl w:val="0"/>
          <w:numId w:val="3"/>
        </w:numPr>
        <w:spacing w:after="70" w:line="264"/>
      </w:pPr>
      <w:r>
        <w:rPr>
          <w:rFonts w:ascii="Calibri" w:cs="Calibri" w:eastAsia="Calibri" w:hAnsi="Calibri"/>
          <w:sz w:val="21"/>
          <w:szCs w:val="21"/>
        </w:rPr>
        <w:t xml:space="preserve">Centers for Medicare &amp; Medicaid Services. Healthcare Common Procedure Coding System (HCPCS) Level II – quarterly and annual updates. cms.gov</w:t>
      </w:r>
    </w:p>
    <w:p>
      <w:pPr>
        <w:pStyle w:val="ListParagraph"/>
        <w:numPr>
          <w:ilvl w:val="0"/>
          <w:numId w:val="3"/>
        </w:numPr>
        <w:spacing w:after="70" w:line="264"/>
      </w:pPr>
      <w:r>
        <w:rPr>
          <w:rFonts w:ascii="Calibri" w:cs="Calibri" w:eastAsia="Calibri" w:hAnsi="Calibri"/>
          <w:sz w:val="21"/>
          <w:szCs w:val="21"/>
        </w:rPr>
        <w:t xml:space="preserve">U.S. Department of Health and Human Services. HIPAA Administrative Simplification: Standard code sets (45 CFR Part 162) and HIPAA Privacy Rule (45 CFR Part 164). hhs.gov</w:t>
      </w:r>
    </w:p>
    <w:p>
      <w:pPr>
        <w:pStyle w:val="ListParagraph"/>
        <w:numPr>
          <w:ilvl w:val="0"/>
          <w:numId w:val="3"/>
        </w:numPr>
        <w:spacing w:after="70" w:line="264"/>
      </w:pPr>
      <w:r>
        <w:rPr>
          <w:rFonts w:ascii="Calibri" w:cs="Calibri" w:eastAsia="Calibri" w:hAnsi="Calibri"/>
          <w:sz w:val="21"/>
          <w:szCs w:val="21"/>
        </w:rPr>
        <w:t xml:space="preserve">American Health Information Management Association (AHIMA). Standards of Ethical Coding. ahima.org</w:t>
      </w:r>
    </w:p>
    <w:p>
      <w:pPr>
        <w:pStyle w:val="ListParagraph"/>
        <w:numPr>
          <w:ilvl w:val="0"/>
          <w:numId w:val="3"/>
        </w:numPr>
        <w:spacing w:after="70" w:line="264"/>
      </w:pPr>
      <w:r>
        <w:rPr>
          <w:rFonts w:ascii="Calibri" w:cs="Calibri" w:eastAsia="Calibri" w:hAnsi="Calibri"/>
          <w:sz w:val="21"/>
          <w:szCs w:val="21"/>
        </w:rPr>
        <w:t xml:space="preserve">AHIMA and ACDIS. Guidelines for Achieving a Compliant Query Practice. ahima.org / acdis.org</w:t>
      </w:r>
    </w:p>
    <w:p>
      <w:pPr>
        <w:pStyle w:val="ListParagraph"/>
        <w:numPr>
          <w:ilvl w:val="0"/>
          <w:numId w:val="3"/>
        </w:numPr>
        <w:spacing w:after="70" w:line="264"/>
      </w:pPr>
      <w:r>
        <w:rPr>
          <w:rFonts w:ascii="Calibri" w:cs="Calibri" w:eastAsia="Calibri" w:hAnsi="Calibri"/>
          <w:sz w:val="21"/>
          <w:szCs w:val="21"/>
        </w:rPr>
        <w:t xml:space="preserve">AAPC. Code of Ethics; CPC® certification exam content outline. aapc.com</w:t>
      </w:r>
    </w:p>
    <w:p>
      <w:pPr>
        <w:pStyle w:val="ListParagraph"/>
        <w:numPr>
          <w:ilvl w:val="0"/>
          <w:numId w:val="3"/>
        </w:numPr>
        <w:spacing w:after="70" w:line="264"/>
      </w:pPr>
      <w:r>
        <w:rPr>
          <w:rFonts w:ascii="Calibri" w:cs="Calibri" w:eastAsia="Calibri" w:hAnsi="Calibri"/>
          <w:sz w:val="21"/>
          <w:szCs w:val="21"/>
        </w:rPr>
        <w:t xml:space="preserve">World Health Organization. International Classification of Diseases (ICD-10 and ICD-11). who.int</w:t>
      </w:r>
    </w:p>
    <w:p>
      <w:pPr>
        <w:pStyle w:val="ListParagraph"/>
        <w:numPr>
          <w:ilvl w:val="0"/>
          <w:numId w:val="3"/>
        </w:numPr>
        <w:spacing w:after="70" w:line="264"/>
      </w:pPr>
      <w:r>
        <w:rPr>
          <w:rFonts w:ascii="Calibri" w:cs="Calibri" w:eastAsia="Calibri" w:hAnsi="Calibri"/>
          <w:sz w:val="21"/>
          <w:szCs w:val="21"/>
        </w:rPr>
        <w:t xml:space="preserve">Kirkpatrick, D. L., &amp; Kirkpatrick, J. D. Evaluating Training Programs: The Four Levels. Berrett-Koehler Publishers.</w:t>
      </w:r>
    </w:p>
    <w:p>
      <w:pPr>
        <w:pStyle w:val="ListParagraph"/>
        <w:numPr>
          <w:ilvl w:val="0"/>
          <w:numId w:val="3"/>
        </w:numPr>
        <w:spacing w:after="70" w:line="264"/>
      </w:pPr>
      <w:r>
        <w:rPr>
          <w:rFonts w:ascii="Calibri" w:cs="Calibri" w:eastAsia="Calibri" w:hAnsi="Calibri"/>
          <w:sz w:val="21"/>
          <w:szCs w:val="21"/>
        </w:rPr>
        <w:t xml:space="preserve">Deming, W. E. Out of the Crisis (PDCA / Plan–Do–Study–Act cycle). MIT Press.</w:t>
      </w:r>
    </w:p>
    <w:p>
      <w:pPr>
        <w:pStyle w:val="ListParagraph"/>
        <w:numPr>
          <w:ilvl w:val="0"/>
          <w:numId w:val="3"/>
        </w:numPr>
        <w:spacing w:after="70" w:line="264"/>
      </w:pPr>
      <w:r>
        <w:rPr>
          <w:rFonts w:ascii="Calibri" w:cs="Calibri" w:eastAsia="Calibri" w:hAnsi="Calibri"/>
          <w:sz w:val="21"/>
          <w:szCs w:val="21"/>
        </w:rPr>
        <w:t xml:space="preserve">Anderson, L. W., &amp; Krathwohl, D. R. (Eds.). A Taxonomy for Learning, Teaching, and Assessing: A Revision of Bloom's Taxonomy of Educational Objectives. Longman.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Sapate Aditya Rajendra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YuvaIntern | Week 1 – Strategic Planning for Quality Improvement in Medical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for Quality Improvement in Medical Coding</dc:title>
  <dc:creator>Sapate Aditya Rajendra</dc:creator>
  <cp:lastModifiedBy>Un-named</cp:lastModifiedBy>
  <cp:revision>1</cp:revision>
  <dcterms:created xsi:type="dcterms:W3CDTF">2026-10-29T10:11:44.063Z</dcterms:created>
  <dcterms:modified xsi:type="dcterms:W3CDTF">2026-10-29T10:11:44.078Z</dcterms:modified>
</cp:coreProperties>
</file>

<file path=docProps/custom.xml><?xml version="1.0" encoding="utf-8"?>
<Properties xmlns="http://schemas.openxmlformats.org/officeDocument/2006/custom-properties" xmlns:vt="http://schemas.openxmlformats.org/officeDocument/2006/docPropsVTypes"/>
</file>