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Calibri" w:hAnsi="Calibri"/>
          <w:b/>
          <w:color w:val="17365D"/>
          <w:sz w:val="52"/>
        </w:rPr>
        <w:t>STRATEGY AND PLANNING</w:t>
        <w:br/>
        <w:t>FOR MEDICAL CONTENT CREATION</w:t>
      </w:r>
    </w:p>
    <w:p>
      <w:pPr>
        <w:jc w:val="center"/>
      </w:pPr>
      <w:r>
        <w:rPr>
          <w:i/>
          <w:color w:val="505050"/>
          <w:sz w:val="30"/>
        </w:rPr>
        <w:t>A comprehensive evidence-based medical communication plan</w:t>
      </w:r>
    </w:p>
    <w:p/>
    <w:p/>
    <w:p/>
    <w:p>
      <w:pPr>
        <w:jc w:val="center"/>
      </w:pPr>
      <w:r>
        <w:rPr>
          <w:b/>
        </w:rPr>
        <w:t>Week 1 Task | Medical Writing</w:t>
      </w:r>
    </w:p>
    <w:p>
      <w:pPr>
        <w:jc w:val="center"/>
      </w:pPr>
      <w:r>
        <w:rPr>
          <w:b/>
        </w:rPr>
        <w:t>Prepared by: Aditya Rajendra Sapate</w:t>
      </w:r>
    </w:p>
    <w:p>
      <w:pPr>
        <w:jc w:val="center"/>
      </w:pPr>
      <w:r>
        <w:t>Organisation: Yuvaintern</w:t>
      </w:r>
    </w:p>
    <w:p>
      <w:pPr>
        <w:jc w:val="center"/>
      </w:pPr>
      <w:r>
        <w:t>Submission date: 28/10/2026</w:t>
      </w:r>
    </w:p>
    <w:p>
      <w:r>
        <w:br w:type="page"/>
      </w:r>
    </w:p>
    <w:p>
      <w:pPr>
        <w:pStyle w:val="Heading1"/>
        <w:pageBreakBefore/>
      </w:pPr>
      <w:r>
        <w:t>Executive Summary</w:t>
      </w:r>
    </w:p>
    <w:p>
      <w:r>
        <w:t>Medical content creation is a structured process for turning reliable health evidence into information that people can understand, evaluate, and use appropriately. It includes scientific and professional materials—such as journal articles, clinical summaries, educational presentations, and regulatory documents—as well as public-facing materials such as patient guides, health articles, infographics, frequently asked questions, and social-media posts. Because health information can influence decisions, medical content must prioritise accuracy, transparency, accessibility, and ethical communication over speed, popularity, or promotional impact.</w:t>
      </w:r>
    </w:p>
    <w:p>
      <w:r>
        <w:t>This strategy proposes a practical 12-week pilot for a small medical-content team serving two principal audiences: healthcare professionals and the general public. The plan establishes audience-specific objectives, topic pillars, editorial standards, source-selection rules, review responsibilities, communication channels, a production calendar, and measurable performance indicators. It uses a hub-and-spoke model: one carefully researched core article can be adapted into a professional summary, a patient-friendly explainer, an infographic, and a short social post without changing the underlying evidence or overstating findings.</w:t>
      </w:r>
    </w:p>
    <w:p>
      <w:r>
        <w:t>The proposed editorial approach follows established guidance on understandable communication from the World Health Organization (WHO) and the US Centers for Disease Control and Prevention (CDC), publication ethics and transparency principles from the International Committee of Medical Journal Editors (ICMJE), and reporting guidance such as CONSORT 2025 for randomised trials. Current professional discussion also highlights responsible use of artificial intelligence (AI), human accountability, structured content, visual summaries, and digital formats. These trends create opportunities, but they do not remove the need for expert judgement and source verification.</w:t>
      </w:r>
    </w:p>
    <w:p>
      <w:r>
        <w:t>The expected outcome is a sustainable, auditable workflow that produces useful content on schedule, makes uncertainty visible, reduces avoidable errors, and supports trust. The plan treats success as more than views or likes: it also measures factual quality, readability, accessibility, audience comprehension, correction rates, and whether content helps readers identify appropriate next steps. The strategy is designed as an adaptable framework rather than a substitute for clinical judgement, legal review, or organisation-specific regulatory procedures.</w:t>
      </w:r>
    </w:p>
    <w:p>
      <w:pPr>
        <w:pStyle w:val="Heading1"/>
        <w:pageBreakBefore/>
      </w:pPr>
      <w:r>
        <w:t>Table of Contents</w:t>
      </w:r>
    </w:p>
    <w:p>
      <w:pPr>
        <w:pStyle w:val="ListBullet"/>
      </w:pPr>
      <w:r>
        <w:t>1. Introduction and Rationale</w:t>
      </w:r>
    </w:p>
    <w:p>
      <w:pPr>
        <w:pStyle w:val="ListBullet"/>
      </w:pPr>
      <w:r>
        <w:t>2. Current Landscape and Trends in Medical Writing</w:t>
      </w:r>
    </w:p>
    <w:p>
      <w:pPr>
        <w:pStyle w:val="ListBullet"/>
      </w:pPr>
      <w:r>
        <w:t>3. Strategic Objectives and Success Criteria</w:t>
      </w:r>
    </w:p>
    <w:p>
      <w:pPr>
        <w:pStyle w:val="ListBullet"/>
      </w:pPr>
      <w:r>
        <w:t>4. Audience Analysis and Personas</w:t>
      </w:r>
    </w:p>
    <w:p>
      <w:pPr>
        <w:pStyle w:val="ListBullet"/>
      </w:pPr>
      <w:r>
        <w:t>5. Editorial Themes and Content Outline</w:t>
      </w:r>
    </w:p>
    <w:p>
      <w:pPr>
        <w:pStyle w:val="ListBullet"/>
      </w:pPr>
      <w:r>
        <w:t>6. Evidence Standards and Research Workflow</w:t>
      </w:r>
    </w:p>
    <w:p>
      <w:pPr>
        <w:pStyle w:val="ListBullet"/>
      </w:pPr>
      <w:r>
        <w:t>7. Medical, Ethical, and Editorial Governance</w:t>
      </w:r>
    </w:p>
    <w:p>
      <w:pPr>
        <w:pStyle w:val="ListBullet"/>
      </w:pPr>
      <w:r>
        <w:t>8. Communication Channels and Distribution</w:t>
      </w:r>
    </w:p>
    <w:p>
      <w:pPr>
        <w:pStyle w:val="ListBullet"/>
      </w:pPr>
      <w:r>
        <w:t>9. Production Workflow and Roles</w:t>
      </w:r>
    </w:p>
    <w:p>
      <w:pPr>
        <w:pStyle w:val="ListBullet"/>
      </w:pPr>
      <w:r>
        <w:t>10. Twelve-Week Content Calendar</w:t>
      </w:r>
    </w:p>
    <w:p>
      <w:pPr>
        <w:pStyle w:val="ListBullet"/>
      </w:pPr>
      <w:r>
        <w:t>11. Accessibility, Language, and Engagement</w:t>
      </w:r>
    </w:p>
    <w:p>
      <w:pPr>
        <w:pStyle w:val="ListBullet"/>
      </w:pPr>
      <w:r>
        <w:t>12. Measurement and Evaluation</w:t>
      </w:r>
    </w:p>
    <w:p>
      <w:pPr>
        <w:pStyle w:val="ListBullet"/>
      </w:pPr>
      <w:r>
        <w:t>13. Risks, Challenges, and Mitigation</w:t>
      </w:r>
    </w:p>
    <w:p>
      <w:pPr>
        <w:pStyle w:val="ListBullet"/>
      </w:pPr>
      <w:r>
        <w:t>14. Resources and Implementation Requirements</w:t>
      </w:r>
    </w:p>
    <w:p>
      <w:pPr>
        <w:pStyle w:val="ListBullet"/>
      </w:pPr>
      <w:r>
        <w:t>15. Conclusion</w:t>
      </w:r>
    </w:p>
    <w:p>
      <w:pPr>
        <w:pStyle w:val="ListBullet"/>
      </w:pPr>
      <w:r>
        <w:t>References and Useful Resources</w:t>
      </w:r>
    </w:p>
    <w:p>
      <w:pPr>
        <w:pStyle w:val="Heading1"/>
        <w:pageBreakBefore/>
      </w:pPr>
      <w:r>
        <w:t>1. Introduction and Rationale</w:t>
      </w:r>
    </w:p>
    <w:p>
      <w:r>
        <w:t>Health information is produced in a crowded environment that includes scientific journals, government health agencies, hospitals, pharmaceutical organisations, patient groups, news outlets, and social platforms. Readers may encounter accurate guidance alongside outdated claims, incomplete interpretations, misleading headlines, and personal anecdotes presented as universal evidence. Medical writers help bridge the gap between research and understanding. Their role is not simply to simplify technical language; it is to preserve meaning, explain evidence in context, identify uncertainty, and help each audience understand what the findings do and do not support.</w:t>
      </w:r>
    </w:p>
    <w:p>
      <w:r>
        <w:t>A strong medical-content strategy begins with a defined communication problem. For example, readers may not understand the difference between a symptom and a diagnosis, professionals may need a concise summary of new evidence, or patients may struggle to interpret risk information. The strategy must identify who needs the information, what they should understand after reading it, what evidence supports the message, and which format is most likely to serve their needs. The WHO recommends communication that is understandable, relevant, credible, timely, and actionable. The CDC similarly advises communicators to know the audience and purpose, put the main message first, use familiar words, organise information with headings, and test materials.</w:t>
      </w:r>
    </w:p>
    <w:p>
      <w:r>
        <w:t>The central principle of this plan is ‘evidence first, audience always’. Evidence first means every medical claim must be traceable to a suitable source and interpreted according to the strength and limits of the evidence. Audience always means that the content should be designed around the reader’s health literacy, language, context, questions, and likely next step. The same evidence may require different formats for a clinician, a pharmacy student, and a member of the public, but the core facts must remain consistent.</w:t>
      </w:r>
    </w:p>
    <w:p>
      <w:r>
        <w:t>The scope is educational medical communication, not personalised diagnosis or treatment. The proposed pilot will focus on general health literacy, medicine safety, prevention, understanding clinical evidence, and responsible interpretation of health news. It will not provide individual treatment recommendations, make unsupported product claims, or replace consultation with a qualified healthcare professional. Any content involving urgent symptoms or high-risk decisions will be reviewed carefully and will direct readers to appropriate professional or emergency services.</w:t>
      </w:r>
    </w:p>
    <w:p>
      <w:pPr>
        <w:pStyle w:val="Heading1"/>
        <w:pageBreakBefore/>
      </w:pPr>
      <w:r>
        <w:t>2. Current Landscape and Trends in Medical Writing</w:t>
      </w:r>
    </w:p>
    <w:p>
      <w:pPr>
        <w:pStyle w:val="Heading2"/>
      </w:pPr>
      <w:r>
        <w:t>2.1 Evidence-based and transparent communication</w:t>
      </w:r>
    </w:p>
    <w:p>
      <w:r>
        <w:t>Medical audiences increasingly expect content to make its evidence trail visible. A high-quality article should distinguish established knowledge from emerging findings, identify the type of study behind a claim, and explain relevant limitations. Randomised trials, observational studies, systematic reviews, case reports, and expert opinions answer different questions and carry different risks of bias. A press release about a small preliminary study should not be written as though it establishes a new standard of care. Reporting checklists such as CONSORT help authors report randomised trials clearly and completely; they are reporting aids, not guarantees that a trial is well designed or that its conclusions are correct.</w:t>
      </w:r>
    </w:p>
    <w:p>
      <w:pPr>
        <w:pStyle w:val="Heading2"/>
      </w:pPr>
      <w:r>
        <w:t>2.2 Plain language and health literacy</w:t>
      </w:r>
    </w:p>
    <w:p>
      <w:r>
        <w:t>Plain language is not the same as removing scientific detail. It means making the essential message easier to find and understand while retaining important qualifiers. Writers should explain unavoidable technical terms, use short paragraphs, present the most important information early, and avoid unnecessary abbreviations. Numerical information requires special care: relative risk alone may exaggerate the apparent impact of an intervention, while absolute numbers and the time period can help readers understand the scale of a benefit or harm. Where appropriate, writers should use natural frequencies, simple charts, and clearly labelled denominators.</w:t>
      </w:r>
    </w:p>
    <w:p>
      <w:pPr>
        <w:pStyle w:val="Heading2"/>
      </w:pPr>
      <w:r>
        <w:t>2.3 Digital-first and multi-format publishing</w:t>
      </w:r>
    </w:p>
    <w:p>
      <w:r>
        <w:t>Medical information is now consumed through websites, email newsletters, online learning platforms, professional networks, video, and mobile devices. A digital-first approach allows content to be updated, linked to primary sources, and adapted for different reading contexts. Visual abstracts, short explainers, checklists, and accessible infographics can improve discoverability and help readers navigate complex topics. However, visual design must not distort the evidence: axes should be labelled, comparisons should use consistent scales, and images should not imply a treatment effect that the data do not establish.</w:t>
      </w:r>
    </w:p>
    <w:p>
      <w:pPr>
        <w:pStyle w:val="Heading2"/>
      </w:pPr>
      <w:r>
        <w:t>2.4 Artificial intelligence and automation</w:t>
      </w:r>
    </w:p>
    <w:p>
      <w:r>
        <w:t>AI-enabled tools can assist with brainstorming, outlining, language editing, summarising long documents, terminology checks, and adapting content into different formats. Professional discussion in medical writing increasingly considers how AI can support regulatory and scientific workflows. The main risks include fabricated references, inaccurate summaries, omission of caveats, privacy breaches, biased outputs, and text that sounds authoritative despite being wrong. AI should therefore be treated as an assistant, not an accountable author or source of medical truth. A human writer must verify every claim against the original source, follow organisational rules on disclosure, and never upload confidential, identifiable, or unpublished information to an unapproved tool.</w:t>
      </w:r>
    </w:p>
    <w:p>
      <w:pPr>
        <w:pStyle w:val="Heading2"/>
      </w:pPr>
      <w:r>
        <w:t>2.5 Ethical publishing and accountability</w:t>
      </w:r>
    </w:p>
    <w:p>
      <w:r>
        <w:t>Publication ethics remain central. The ICMJE recommendations address authorship, contributor roles, conflicts of interest, peer review, and transparency. Writers should not invent data, selectively omit unfavourable findings, disguise promotional content as independent education, or use citations that do not support the statement being made. Financial relationships and other relevant conflicts should be disclosed. If an error is discovered after publication, the team should correct it visibly and promptly, retain a record of the change, and explain the impact when material.</w:t>
      </w:r>
    </w:p>
    <w:p>
      <w:pPr>
        <w:pStyle w:val="Heading2"/>
      </w:pPr>
      <w:r>
        <w:t>2.6 Opportunities and challenges</w:t>
      </w:r>
    </w:p>
    <w:p>
      <w:r>
        <w:t>Opportunities include improving health literacy, supporting evidence-informed practice, making research more accessible, creating multilingual resources, and repurposing reviewed content efficiently. Challenges include information overload, rapidly changing recommendations, unequal internet access, language barriers, low trust, misinformation, and pressure to publish quickly. A realistic strategy balances speed with a minimum quality threshold: if a claim cannot be verified or reviewed in time, it should be delayed, narrowed, or omitted rather than published speculatively.</w:t>
      </w:r>
    </w:p>
    <w:p>
      <w:pPr>
        <w:pStyle w:val="Heading1"/>
        <w:pageBreakBefore/>
      </w:pPr>
      <w:r>
        <w:t>3. Strategic Objectives and Success Criteria</w:t>
      </w:r>
    </w:p>
    <w:p>
      <w:r>
        <w:t>The overarching goal is to produce trustworthy, useful, accessible medical content that helps defined audiences understand health evidence and take appropriate next steps. The following SMART objectives will guide the 12-week pilot. Targets are planning assumptions and should be adjusted after a baseline assessment.</w:t>
      </w:r>
    </w:p>
    <w:p>
      <w:pPr>
        <w:pStyle w:val="ListBullet"/>
      </w:pPr>
      <w:r>
        <w:t>Accuracy: ensure 100% of published medical claims are supported by a source recorded in the content evidence log, with a named reviewer for each item.</w:t>
      </w:r>
    </w:p>
    <w:p>
      <w:pPr>
        <w:pStyle w:val="ListBullet"/>
      </w:pPr>
      <w:r>
        <w:t>Quality: complete medical review and editorial review for every high-risk or clinically consequential item before publication.</w:t>
      </w:r>
    </w:p>
    <w:p>
      <w:pPr>
        <w:pStyle w:val="ListBullet"/>
      </w:pPr>
      <w:r>
        <w:t>Consistency: publish two substantial articles and two supporting micro-content items per week by the end of the pilot, provided review capacity is adequate.</w:t>
      </w:r>
    </w:p>
    <w:p>
      <w:pPr>
        <w:pStyle w:val="ListBullet"/>
      </w:pPr>
      <w:r>
        <w:t>Comprehension: achieve at least 80% correct responses on a short reader-comprehension check for tested patient-facing materials, or revise the content and retest.</w:t>
      </w:r>
    </w:p>
    <w:p>
      <w:pPr>
        <w:pStyle w:val="ListBullet"/>
      </w:pPr>
      <w:r>
        <w:t>Accessibility: provide descriptive headings, readable contrast, meaningful alt text for informative images, captions or transcripts for audio/video, and mobile-friendly formatting.</w:t>
      </w:r>
    </w:p>
    <w:p>
      <w:pPr>
        <w:pStyle w:val="ListBullet"/>
      </w:pPr>
      <w:r>
        <w:t>Engagement: establish baseline metrics in weeks 1–2 and aim for a 15% improvement in qualified engagement by week 12, without using sensational headlines or misleading hooks.</w:t>
      </w:r>
    </w:p>
    <w:p>
      <w:pPr>
        <w:pStyle w:val="ListBullet"/>
      </w:pPr>
      <w:r>
        <w:t>Continuous improvement: review performance and corrections monthly, document lessons learned, and update or retire content when recommendations change.</w:t>
      </w:r>
    </w:p>
    <w:p>
      <w:r>
        <w:t>Each content item must have one primary objective, such as explaining a concept, supporting a clinical discussion, correcting a common misconception, or guiding readers to a trusted resource. Avoid trying to achieve every objective in one article. A single overarching communication outcome helps keep the message focused and allows the team to evaluate whether the content achieved its purpose.</w:t>
      </w:r>
    </w:p>
    <w:p>
      <w:pPr>
        <w:pStyle w:val="Heading1"/>
        <w:pageBreakBefore/>
      </w:pPr>
      <w:r>
        <w:t>4. Audience Analysis and Personas</w:t>
      </w:r>
    </w:p>
    <w:p>
      <w:r>
        <w:t>Audience analysis should be completed before topic selection. It should consider prior knowledge, information needs, preferred format, language, access constraints, likely misconceptions, and the action a reader may take after reading. The team should use analytics, search queries, questions from readers, clinician feedback, and short interviews or surveys where possible. Assumptions should be labelled as assumptions until tested.</w:t>
      </w:r>
    </w:p>
    <w:p>
      <w:pPr>
        <w:pStyle w:val="Heading2"/>
      </w:pPr>
      <w:r>
        <w:t>4.1 Primary audience: healthcare professionals</w:t>
      </w:r>
    </w:p>
    <w:p>
      <w:r>
        <w:t>This group includes pharmacists, doctors, nurses, allied health professionals, researchers, and clinical educators. They generally need accurate terminology, concise evidence summaries, transparent methods, clinically relevant outcomes, and links to original research or guidelines. Their time is limited, so summaries should use clear headings, key findings, limitations, and implications without implying that a summary replaces appraisal of the full study. Content for this audience should identify publication date, study design, population, intervention or exposure, comparator, outcomes, and relevant limitations.</w:t>
      </w:r>
    </w:p>
    <w:p>
      <w:pPr>
        <w:pStyle w:val="Heading2"/>
      </w:pPr>
      <w:r>
        <w:t>4.2 Primary audience: general public and patients</w:t>
      </w:r>
    </w:p>
    <w:p>
      <w:r>
        <w:t>Public readers may be seeking help with a symptom, medicine, prevention, a new diagnosis, or a health claim encountered online. They may be anxious or unfamiliar with medical terminology. Content should begin with the most useful answer, explain when professional advice is needed, use non-judgemental language, and avoid assuming that readers have high literacy, reliable broadband, or easy access to care. Avoid telling readers that a single sign proves a disease. Instead, explain that symptoms can have multiple causes and indicate when evaluation is appropriate.</w:t>
      </w:r>
    </w:p>
    <w:p>
      <w:pPr>
        <w:pStyle w:val="Heading2"/>
      </w:pPr>
      <w:r>
        <w:t>4.3 Secondary audience: pharmacy and health-science students</w:t>
      </w:r>
    </w:p>
    <w:p>
      <w:r>
        <w:t>Students need foundational explanations, definitions, examples, diagrams, and a bridge between textbook concepts and current practice. Suitable formats include explainers on study design, medicine safety, pharmacovigilance, evidence appraisal, and medical terminology. Content should support learning rather than encourage memorisation of oversimplified rules. Where the subject is complex, include a glossary, a worked example, and a short self-check.</w:t>
      </w:r>
    </w:p>
    <w:p>
      <w:pPr>
        <w:pStyle w:val="Heading2"/>
      </w:pPr>
      <w:r>
        <w:t>4.4 Audience personas</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shd w:fill="D9EAF7"/>
          </w:tcPr>
          <w:p>
            <w:pPr>
              <w:spacing w:after="60"/>
            </w:pPr>
            <w:r>
              <w:rPr>
                <w:rFonts w:ascii="Calibri" w:hAnsi="Calibri"/>
                <w:sz w:val="17"/>
              </w:rPr>
              <w:t>Persona</w:t>
            </w:r>
          </w:p>
        </w:tc>
        <w:tc>
          <w:tcPr>
            <w:tcW w:type="dxa" w:w="2448"/>
            <w:shd w:fill="D9EAF7"/>
          </w:tcPr>
          <w:p>
            <w:pPr>
              <w:spacing w:after="60"/>
            </w:pPr>
            <w:r>
              <w:rPr>
                <w:rFonts w:ascii="Calibri" w:hAnsi="Calibri"/>
                <w:sz w:val="17"/>
              </w:rPr>
              <w:t>Main need</w:t>
            </w:r>
          </w:p>
        </w:tc>
        <w:tc>
          <w:tcPr>
            <w:tcW w:type="dxa" w:w="2448"/>
            <w:shd w:fill="D9EAF7"/>
          </w:tcPr>
          <w:p>
            <w:pPr>
              <w:spacing w:after="60"/>
            </w:pPr>
            <w:r>
              <w:rPr>
                <w:rFonts w:ascii="Calibri" w:hAnsi="Calibri"/>
                <w:sz w:val="17"/>
              </w:rPr>
              <w:t>Preferred format</w:t>
            </w:r>
          </w:p>
        </w:tc>
        <w:tc>
          <w:tcPr>
            <w:tcW w:type="dxa" w:w="2448"/>
            <w:shd w:fill="D9EAF7"/>
          </w:tcPr>
          <w:p>
            <w:pPr>
              <w:spacing w:after="60"/>
            </w:pPr>
            <w:r>
              <w:rPr>
                <w:rFonts w:ascii="Calibri" w:hAnsi="Calibri"/>
                <w:sz w:val="17"/>
              </w:rPr>
              <w:t>Design implication</w:t>
            </w:r>
          </w:p>
        </w:tc>
      </w:tr>
      <w:tr>
        <w:tc>
          <w:tcPr>
            <w:tcW w:type="dxa" w:w="2448"/>
            <w:vAlign w:val="center"/>
          </w:tcPr>
          <w:p>
            <w:pPr>
              <w:spacing w:after="60"/>
            </w:pPr>
            <w:r>
              <w:rPr>
                <w:rFonts w:ascii="Calibri" w:hAnsi="Calibri"/>
                <w:sz w:val="17"/>
              </w:rPr>
              <w:t>Busy clinician</w:t>
            </w:r>
          </w:p>
        </w:tc>
        <w:tc>
          <w:tcPr>
            <w:tcW w:type="dxa" w:w="2448"/>
            <w:vAlign w:val="center"/>
          </w:tcPr>
          <w:p>
            <w:pPr>
              <w:spacing w:after="60"/>
            </w:pPr>
            <w:r>
              <w:rPr>
                <w:rFonts w:ascii="Calibri" w:hAnsi="Calibri"/>
                <w:sz w:val="17"/>
              </w:rPr>
              <w:t>Reliable summary and limitations</w:t>
            </w:r>
          </w:p>
        </w:tc>
        <w:tc>
          <w:tcPr>
            <w:tcW w:type="dxa" w:w="2448"/>
            <w:vAlign w:val="center"/>
          </w:tcPr>
          <w:p>
            <w:pPr>
              <w:spacing w:after="60"/>
            </w:pPr>
            <w:r>
              <w:rPr>
                <w:rFonts w:ascii="Calibri" w:hAnsi="Calibri"/>
                <w:sz w:val="17"/>
              </w:rPr>
              <w:t>Structured brief, newsletter, reference links</w:t>
            </w:r>
          </w:p>
        </w:tc>
        <w:tc>
          <w:tcPr>
            <w:tcW w:type="dxa" w:w="2448"/>
            <w:vAlign w:val="center"/>
          </w:tcPr>
          <w:p>
            <w:pPr>
              <w:spacing w:after="60"/>
            </w:pPr>
            <w:r>
              <w:rPr>
                <w:rFonts w:ascii="Calibri" w:hAnsi="Calibri"/>
                <w:sz w:val="17"/>
              </w:rPr>
              <w:t>Lead with study question, result, certainty, and caveats</w:t>
            </w:r>
          </w:p>
        </w:tc>
      </w:tr>
      <w:tr>
        <w:tc>
          <w:tcPr>
            <w:tcW w:type="dxa" w:w="2448"/>
            <w:vAlign w:val="center"/>
          </w:tcPr>
          <w:p>
            <w:pPr>
              <w:spacing w:after="60"/>
            </w:pPr>
            <w:r>
              <w:rPr>
                <w:rFonts w:ascii="Calibri" w:hAnsi="Calibri"/>
                <w:sz w:val="17"/>
              </w:rPr>
              <w:t>Public health reader</w:t>
            </w:r>
          </w:p>
        </w:tc>
        <w:tc>
          <w:tcPr>
            <w:tcW w:type="dxa" w:w="2448"/>
            <w:vAlign w:val="center"/>
          </w:tcPr>
          <w:p>
            <w:pPr>
              <w:spacing w:after="60"/>
            </w:pPr>
            <w:r>
              <w:rPr>
                <w:rFonts w:ascii="Calibri" w:hAnsi="Calibri"/>
                <w:sz w:val="17"/>
              </w:rPr>
              <w:t>Clear explanation and practical next step</w:t>
            </w:r>
          </w:p>
        </w:tc>
        <w:tc>
          <w:tcPr>
            <w:tcW w:type="dxa" w:w="2448"/>
            <w:vAlign w:val="center"/>
          </w:tcPr>
          <w:p>
            <w:pPr>
              <w:spacing w:after="60"/>
            </w:pPr>
            <w:r>
              <w:rPr>
                <w:rFonts w:ascii="Calibri" w:hAnsi="Calibri"/>
                <w:sz w:val="17"/>
              </w:rPr>
              <w:t>FAQ, article, infographic, short video</w:t>
            </w:r>
          </w:p>
        </w:tc>
        <w:tc>
          <w:tcPr>
            <w:tcW w:type="dxa" w:w="2448"/>
            <w:vAlign w:val="center"/>
          </w:tcPr>
          <w:p>
            <w:pPr>
              <w:spacing w:after="60"/>
            </w:pPr>
            <w:r>
              <w:rPr>
                <w:rFonts w:ascii="Calibri" w:hAnsi="Calibri"/>
                <w:sz w:val="17"/>
              </w:rPr>
              <w:t>Use plain language, define terms, avoid alarmist framing</w:t>
            </w:r>
          </w:p>
        </w:tc>
      </w:tr>
      <w:tr>
        <w:tc>
          <w:tcPr>
            <w:tcW w:type="dxa" w:w="2448"/>
            <w:vAlign w:val="center"/>
          </w:tcPr>
          <w:p>
            <w:pPr>
              <w:spacing w:after="60"/>
            </w:pPr>
            <w:r>
              <w:rPr>
                <w:rFonts w:ascii="Calibri" w:hAnsi="Calibri"/>
                <w:sz w:val="17"/>
              </w:rPr>
              <w:t>Pharmacy student</w:t>
            </w:r>
          </w:p>
        </w:tc>
        <w:tc>
          <w:tcPr>
            <w:tcW w:type="dxa" w:w="2448"/>
            <w:vAlign w:val="center"/>
          </w:tcPr>
          <w:p>
            <w:pPr>
              <w:spacing w:after="60"/>
            </w:pPr>
            <w:r>
              <w:rPr>
                <w:rFonts w:ascii="Calibri" w:hAnsi="Calibri"/>
                <w:sz w:val="17"/>
              </w:rPr>
              <w:t>Learn concepts and apply them</w:t>
            </w:r>
          </w:p>
        </w:tc>
        <w:tc>
          <w:tcPr>
            <w:tcW w:type="dxa" w:w="2448"/>
            <w:vAlign w:val="center"/>
          </w:tcPr>
          <w:p>
            <w:pPr>
              <w:spacing w:after="60"/>
            </w:pPr>
            <w:r>
              <w:rPr>
                <w:rFonts w:ascii="Calibri" w:hAnsi="Calibri"/>
                <w:sz w:val="17"/>
              </w:rPr>
              <w:t>Explainer, diagram, quiz, downloadable checklist</w:t>
            </w:r>
          </w:p>
        </w:tc>
        <w:tc>
          <w:tcPr>
            <w:tcW w:type="dxa" w:w="2448"/>
            <w:vAlign w:val="center"/>
          </w:tcPr>
          <w:p>
            <w:pPr>
              <w:spacing w:after="60"/>
            </w:pPr>
            <w:r>
              <w:rPr>
                <w:rFonts w:ascii="Calibri" w:hAnsi="Calibri"/>
                <w:sz w:val="17"/>
              </w:rPr>
              <w:t>Add examples, glossary, and knowledge checks</w:t>
            </w:r>
          </w:p>
        </w:tc>
      </w:tr>
      <w:tr>
        <w:tc>
          <w:tcPr>
            <w:tcW w:type="dxa" w:w="2448"/>
            <w:vAlign w:val="center"/>
          </w:tcPr>
          <w:p>
            <w:pPr>
              <w:spacing w:after="60"/>
            </w:pPr>
            <w:r>
              <w:rPr>
                <w:rFonts w:ascii="Calibri" w:hAnsi="Calibri"/>
                <w:sz w:val="17"/>
              </w:rPr>
              <w:t>Caregiver / patient</w:t>
            </w:r>
          </w:p>
        </w:tc>
        <w:tc>
          <w:tcPr>
            <w:tcW w:type="dxa" w:w="2448"/>
            <w:vAlign w:val="center"/>
          </w:tcPr>
          <w:p>
            <w:pPr>
              <w:spacing w:after="60"/>
            </w:pPr>
            <w:r>
              <w:rPr>
                <w:rFonts w:ascii="Calibri" w:hAnsi="Calibri"/>
                <w:sz w:val="17"/>
              </w:rPr>
              <w:t>Understand care information safely</w:t>
            </w:r>
          </w:p>
        </w:tc>
        <w:tc>
          <w:tcPr>
            <w:tcW w:type="dxa" w:w="2448"/>
            <w:vAlign w:val="center"/>
          </w:tcPr>
          <w:p>
            <w:pPr>
              <w:spacing w:after="60"/>
            </w:pPr>
            <w:r>
              <w:rPr>
                <w:rFonts w:ascii="Calibri" w:hAnsi="Calibri"/>
                <w:sz w:val="17"/>
              </w:rPr>
              <w:t>Step-by-step guide, printable resource</w:t>
            </w:r>
          </w:p>
        </w:tc>
        <w:tc>
          <w:tcPr>
            <w:tcW w:type="dxa" w:w="2448"/>
            <w:vAlign w:val="center"/>
          </w:tcPr>
          <w:p>
            <w:pPr>
              <w:spacing w:after="60"/>
            </w:pPr>
            <w:r>
              <w:rPr>
                <w:rFonts w:ascii="Calibri" w:hAnsi="Calibri"/>
                <w:sz w:val="17"/>
              </w:rPr>
              <w:t>Use supportive tone and clear escalation advice</w:t>
            </w:r>
          </w:p>
        </w:tc>
      </w:tr>
    </w:tbl>
    <w:p>
      <w:r>
        <w:t>Segmentation should never be used to stereotype readers. Personas are working tools and must be refined using feedback. When audiences have different needs, produce separate versions rather than forcing a single text to serve every reader.</w:t>
      </w:r>
    </w:p>
    <w:p>
      <w:pPr>
        <w:pStyle w:val="Heading1"/>
        <w:pageBreakBefore/>
      </w:pPr>
      <w:r>
        <w:t>5. Editorial Themes and Content Outline</w:t>
      </w:r>
    </w:p>
    <w:p>
      <w:r>
        <w:t>The editorial calendar will use five topic pillars. Each pillar supports a distinct reader need while maintaining a consistent evidence standard.</w:t>
      </w:r>
    </w:p>
    <w:p>
      <w:pPr>
        <w:pStyle w:val="Heading2"/>
      </w:pPr>
      <w:r>
        <w:t>Pillar 1: Health literacy and prevention</w:t>
      </w:r>
    </w:p>
    <w:p>
      <w:r>
        <w:t>Topics: understanding common health terms; preventive health checks; vaccines and prevention principles; reading a health headline; when a symptom needs professional assessment; how to prepare questions for a healthcare appointment. Content should focus on general education and refer to current national or international guidance where relevant.</w:t>
      </w:r>
    </w:p>
    <w:p>
      <w:pPr>
        <w:pStyle w:val="Heading2"/>
      </w:pPr>
      <w:r>
        <w:t>Pillar 2: Medicine safety and responsible use</w:t>
      </w:r>
    </w:p>
    <w:p>
      <w:r>
        <w:t>Topics: reading a medicine label; why doses should not be changed without appropriate advice; side effects versus allergies; safe storage; medication adherence barriers; avoiding duplicate ingredients in over-the-counter products; reporting suspected adverse drug reactions. Content should avoid individual dosing recommendations unless the scope and review process explicitly permit them.</w:t>
      </w:r>
    </w:p>
    <w:p>
      <w:pPr>
        <w:pStyle w:val="Heading2"/>
      </w:pPr>
      <w:r>
        <w:t>Pillar 3: Understanding medical evidence</w:t>
      </w:r>
    </w:p>
    <w:p>
      <w:r>
        <w:t>Topics: randomised trials versus observational studies; systematic reviews and meta-analyses; sample size and uncertainty; absolute versus relative risk; statistical significance versus clinical importance; why one study rarely settles a question; conflicts of interest; interpreting limitations. These subjects help readers assess claims rather than simply accept a headline.</w:t>
      </w:r>
    </w:p>
    <w:p>
      <w:pPr>
        <w:pStyle w:val="Heading2"/>
      </w:pPr>
      <w:r>
        <w:t>Pillar 4: Pharmacy and healthcare careers</w:t>
      </w:r>
    </w:p>
    <w:p>
      <w:r>
        <w:t>Topics: the role of pharmacists in patient safety; pharmacovigilance basics; quality assurance and good manufacturing practice at a high level; how medical writing supports research; responsible scientific communication; differences between clinical, regulatory, and public-facing writing. Educational career content should be accurate and avoid guaranteeing jobs, salaries, or certification outcomes.</w:t>
      </w:r>
    </w:p>
    <w:p>
      <w:pPr>
        <w:pStyle w:val="Heading2"/>
      </w:pPr>
      <w:r>
        <w:t>Pillar 5: Emerging health news and myth checks</w:t>
      </w:r>
    </w:p>
    <w:p>
      <w:r>
        <w:t>Topics: how to evaluate a viral health claim; what a new guideline actually changes; common misconceptions about supplements or medicines; responsible interpretation of AI-generated health information. The team should not repeat a false claim in a sensational headline. Corrections should explain the evidence and uncertainty without humiliating readers.</w:t>
      </w:r>
    </w:p>
    <w:p>
      <w:pPr>
        <w:pStyle w:val="Heading2"/>
      </w:pPr>
      <w:r>
        <w:t>5.1 Standard article structure</w:t>
      </w:r>
    </w:p>
    <w:p>
      <w:pPr>
        <w:pStyle w:val="ListNumber"/>
      </w:pPr>
      <w:r>
        <w:t>Title: specific, accurate, and proportionate to the evidence.</w:t>
      </w:r>
    </w:p>
    <w:p>
      <w:pPr>
        <w:pStyle w:val="ListNumber"/>
      </w:pPr>
      <w:r>
        <w:t>Opening summary: answer the central question in two to four sentences.</w:t>
      </w:r>
    </w:p>
    <w:p>
      <w:pPr>
        <w:pStyle w:val="ListNumber"/>
      </w:pPr>
      <w:r>
        <w:t>Why it matters: describe the reader problem and context.</w:t>
      </w:r>
    </w:p>
    <w:p>
      <w:pPr>
        <w:pStyle w:val="ListNumber"/>
      </w:pPr>
      <w:r>
        <w:t>What the evidence says: explain key findings with citations and dates.</w:t>
      </w:r>
    </w:p>
    <w:p>
      <w:pPr>
        <w:pStyle w:val="ListNumber"/>
      </w:pPr>
      <w:r>
        <w:t>What remains uncertain: identify limitations, disagreements, or gaps.</w:t>
      </w:r>
    </w:p>
    <w:p>
      <w:pPr>
        <w:pStyle w:val="ListNumber"/>
      </w:pPr>
      <w:r>
        <w:t>Practical takeaways: give safe, general next steps appropriate to the audience.</w:t>
      </w:r>
    </w:p>
    <w:p>
      <w:pPr>
        <w:pStyle w:val="ListNumber"/>
      </w:pPr>
      <w:r>
        <w:t>When to seek professional advice: include when relevant and proportionate.</w:t>
      </w:r>
    </w:p>
    <w:p>
      <w:pPr>
        <w:pStyle w:val="ListNumber"/>
      </w:pPr>
      <w:r>
        <w:t>Sources and review details: list references, publication/update date, and reviewer role.</w:t>
      </w:r>
    </w:p>
    <w:p>
      <w:pPr>
        <w:pStyle w:val="Heading1"/>
        <w:pageBreakBefore/>
      </w:pPr>
      <w:r>
        <w:t>6. Evidence Standards and Research Workflow</w:t>
      </w:r>
    </w:p>
    <w:p>
      <w:r>
        <w:t>Research must be reproducible enough that another reviewer can understand where claims came from and why particular sources were selected. Writers should start with a focused question and define the intended audience before searching. For clinical questions, a PICO framework—Population, Intervention, Comparator, Outcome—can help clarify the search. For general education, a question map can identify definitions, common misconceptions, practical concerns, and the type of evidence required.</w:t>
      </w:r>
    </w:p>
    <w:p>
      <w:pPr>
        <w:pStyle w:val="Heading2"/>
      </w:pPr>
      <w:r>
        <w:t>6.1 Source hierarchy and source selection</w:t>
      </w:r>
    </w:p>
    <w:p>
      <w:r>
        <w:t>Where available, prioritise current clinical guidelines from recognised authorities, systematic reviews, high-quality primary studies, official medicine information, and reputable public-health organisations. Use original research to verify important details rather than relying only on news articles or summaries. Reputable sources include WHO, national health ministries and regulators, PubMed-indexed journals, Cochrane reviews, professional societies, and the journal or trial registry record. Source quality depends on the question: a regulator is appropriate for approved product information, while a systematic review may be more useful for comparing a body of evidence.</w:t>
      </w:r>
    </w:p>
    <w:p>
      <w:r>
        <w:t>For each source, record the author or organisation, title, publication date, URL or DOI, source type, key finding, limitations, and the claims it supports. Check whether a guideline has been superseded, whether a paper has an expression of concern or retraction, and whether the population studied matches the population described in the content. If the evidence is mixed, represent the disagreement fairly rather than selecting only studies that support a preferred conclusion.</w:t>
      </w:r>
    </w:p>
    <w:p>
      <w:pPr>
        <w:pStyle w:val="Heading2"/>
      </w:pPr>
      <w:r>
        <w:t>6.2 Evidence log and claim verification</w:t>
      </w:r>
    </w:p>
    <w:p>
      <w:r>
        <w:t>Maintain a claim-by-claim evidence log. Every clinically meaningful sentence should be linked to a source or clearly identified as background explanation. Reviewers should ask: Does the source directly support the statement? Is the result described with the right magnitude and unit? Is the difference statistically and clinically meaningful? Are important harms or limitations missing? Does the wording imply causation from observational data? Are results being generalised beyond the studied population? Claims that cannot be verified should be removed, narrowed, or explicitly labelled as uncertain.</w:t>
      </w:r>
    </w:p>
    <w:p>
      <w:pPr>
        <w:pStyle w:val="Heading2"/>
      </w:pPr>
      <w:r>
        <w:t>6.3 Statistics and uncertainty</w:t>
      </w:r>
    </w:p>
    <w:p>
      <w:r>
        <w:t>Numbers should be checked against the original publication and independently recalculated when practical. Report denominators, follow-up duration, and absolute values when they are relevant and available. Explain uncertainty without burying the reader in technical detail. A confidence interval is not a guarantee that the true effect lies within a fixed range, and a non-significant result does not prove that two treatments are equivalent. Avoid language such as ‘proves’, ‘cures’, ‘risk-free’, or ‘breakthrough’ unless the evidence and context genuinely justify it.</w:t>
      </w:r>
    </w:p>
    <w:p>
      <w:pPr>
        <w:pStyle w:val="Heading2"/>
      </w:pPr>
      <w:r>
        <w:t>6.4 Reference management and version control</w:t>
      </w:r>
    </w:p>
    <w:p>
      <w:r>
        <w:t>Use a consistent citation style appropriate to the intended publication. Reference-management software or a controlled spreadsheet can reduce formatting errors, but references still need manual verification. Store the approved draft, source log, review comments, and final publication link in a version-controlled folder. Each item should show an owner, status, reviewer, approval date, and next review date. This record supports updates and makes it easier to correct mistakes.</w:t>
      </w:r>
    </w:p>
    <w:p>
      <w:pPr>
        <w:pStyle w:val="Heading1"/>
        <w:pageBreakBefore/>
      </w:pPr>
      <w:r>
        <w:t>7. Medical, Ethical, and Editorial Governance</w:t>
      </w:r>
    </w:p>
    <w:p>
      <w:pPr>
        <w:pStyle w:val="Heading2"/>
      </w:pPr>
      <w:r>
        <w:t>7.1 Review and approval</w:t>
      </w:r>
    </w:p>
    <w:p>
      <w:r>
        <w:t>All content should pass an editorial check for structure, readability, grammar, and audience fit. Medical review is required for clinical claims, medicine safety, guideline interpretation, or potentially consequential recommendations. High-risk topics may need a second subject-matter reviewer, legal or regulatory review, or a communications lead. The reviewer’s name or role, review date, and outstanding issues should be documented. Review is not a formality: reviewers should challenge claims, examine cited sources, and ensure that the text does not imply more certainty than the evidence supports.</w:t>
      </w:r>
    </w:p>
    <w:p>
      <w:pPr>
        <w:pStyle w:val="Heading2"/>
      </w:pPr>
      <w:r>
        <w:t>7.2 Ethics, conflicts, and independence</w:t>
      </w:r>
    </w:p>
    <w:p>
      <w:r>
        <w:t>Disclose relevant financial relationships, sponsorship, affiliations, and conflicts of interest. Sponsored content should be labelled clearly and separated from independent editorial decisions. Do not hide negative results or use selective citations to create a misleading impression. Follow authorship and contributor policies, including current ICMJE guidance where relevant. AI systems should not be listed as authors; human contributors remain accountable for the content and must follow the target journal or organisation’s disclosure policy.</w:t>
      </w:r>
    </w:p>
    <w:p>
      <w:pPr>
        <w:pStyle w:val="Heading2"/>
      </w:pPr>
      <w:r>
        <w:t>7.3 Privacy, consent, and case examples</w:t>
      </w:r>
    </w:p>
    <w:p>
      <w:r>
        <w:t>Do not include identifiable patient information without an appropriate lawful basis, permissions, and consent where required. Removing a name alone may not adequately de-identify a case. Use composite or hypothetical examples when they teach the same principle without exposing personal information, and label them as illustrative. Store files securely, limit access to those who need it, and follow applicable organisational and legal requirements.</w:t>
      </w:r>
    </w:p>
    <w:p>
      <w:pPr>
        <w:pStyle w:val="Heading2"/>
      </w:pPr>
      <w:r>
        <w:t>7.4 Responsible use of AI</w:t>
      </w:r>
    </w:p>
    <w:p>
      <w:r>
        <w:t>Permitted uses may include outlining, grammar suggestions, readability checks, and format adaptation when the organisation allows them. Prohibited or restricted uses should include fabricating references, inventing clinical details, generating final claims without verification, uploading confidential information to unapproved systems, and using AI to imitate a real expert’s endorsement. A human reviewer must check all facts, citations, numbers, and nuance. Record AI assistance when required by policy or publication instructions. If an AI-generated summary cannot be reconciled with the original source, discard it.</w:t>
      </w:r>
    </w:p>
    <w:p>
      <w:pPr>
        <w:pStyle w:val="Heading2"/>
      </w:pPr>
      <w:r>
        <w:t>7.5 Corrections and content maintenance</w:t>
      </w:r>
    </w:p>
    <w:p>
      <w:r>
        <w:t>Each item should have a review interval based on risk and how quickly the topic changes. Stable foundational content may be reviewed annually; medicine safety, active public-health issues, and rapidly changing guidance may need earlier review or event-triggered updates. A correction policy should define how readers can report errors, who triages reports, who approves changes, and how significant corrections are communicated. Never silently alter a material error in a way that conceals the history of the correction.</w:t>
      </w:r>
    </w:p>
    <w:p>
      <w:pPr>
        <w:pStyle w:val="Heading1"/>
        <w:pageBreakBefore/>
      </w:pPr>
      <w:r>
        <w:t>8. Communication Channels and Distribution</w:t>
      </w:r>
    </w:p>
    <w:p>
      <w:r>
        <w:t>Channel choice should follow audience behaviour and the purpose of the content, not a desire to be present everywhere. Start with a reliable owned hub—such as a website, learning portal, or shared publication page—where the full article, citations, update date, and correction information can live. Other channels should direct readers to that canonical version.</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shd w:fill="D9EAF7"/>
          </w:tcPr>
          <w:p>
            <w:pPr>
              <w:spacing w:after="60"/>
            </w:pPr>
            <w:r>
              <w:rPr>
                <w:rFonts w:ascii="Calibri" w:hAnsi="Calibri"/>
                <w:sz w:val="17"/>
              </w:rPr>
              <w:t>Channel</w:t>
            </w:r>
          </w:p>
        </w:tc>
        <w:tc>
          <w:tcPr>
            <w:tcW w:type="dxa" w:w="2448"/>
            <w:shd w:fill="D9EAF7"/>
          </w:tcPr>
          <w:p>
            <w:pPr>
              <w:spacing w:after="60"/>
            </w:pPr>
            <w:r>
              <w:rPr>
                <w:rFonts w:ascii="Calibri" w:hAnsi="Calibri"/>
                <w:sz w:val="17"/>
              </w:rPr>
              <w:t>Best use</w:t>
            </w:r>
          </w:p>
        </w:tc>
        <w:tc>
          <w:tcPr>
            <w:tcW w:type="dxa" w:w="2448"/>
            <w:shd w:fill="D9EAF7"/>
          </w:tcPr>
          <w:p>
            <w:pPr>
              <w:spacing w:after="60"/>
            </w:pPr>
            <w:r>
              <w:rPr>
                <w:rFonts w:ascii="Calibri" w:hAnsi="Calibri"/>
                <w:sz w:val="17"/>
              </w:rPr>
              <w:t>Format</w:t>
            </w:r>
          </w:p>
        </w:tc>
        <w:tc>
          <w:tcPr>
            <w:tcW w:type="dxa" w:w="2448"/>
            <w:shd w:fill="D9EAF7"/>
          </w:tcPr>
          <w:p>
            <w:pPr>
              <w:spacing w:after="60"/>
            </w:pPr>
            <w:r>
              <w:rPr>
                <w:rFonts w:ascii="Calibri" w:hAnsi="Calibri"/>
                <w:sz w:val="17"/>
              </w:rPr>
              <w:t>Quality control</w:t>
            </w:r>
          </w:p>
        </w:tc>
      </w:tr>
      <w:tr>
        <w:tc>
          <w:tcPr>
            <w:tcW w:type="dxa" w:w="2448"/>
          </w:tcPr>
          <w:p>
            <w:pPr>
              <w:spacing w:after="60"/>
            </w:pPr>
            <w:r>
              <w:rPr>
                <w:rFonts w:ascii="Calibri" w:hAnsi="Calibri"/>
                <w:sz w:val="17"/>
              </w:rPr>
              <w:t>Website / blog</w:t>
            </w:r>
          </w:p>
        </w:tc>
        <w:tc>
          <w:tcPr>
            <w:tcW w:type="dxa" w:w="2448"/>
          </w:tcPr>
          <w:p>
            <w:pPr>
              <w:spacing w:after="60"/>
            </w:pPr>
            <w:r>
              <w:rPr>
                <w:rFonts w:ascii="Calibri" w:hAnsi="Calibri"/>
                <w:sz w:val="17"/>
              </w:rPr>
              <w:t>Durable reference and search discovery</w:t>
            </w:r>
          </w:p>
        </w:tc>
        <w:tc>
          <w:tcPr>
            <w:tcW w:type="dxa" w:w="2448"/>
          </w:tcPr>
          <w:p>
            <w:pPr>
              <w:spacing w:after="60"/>
            </w:pPr>
            <w:r>
              <w:rPr>
                <w:rFonts w:ascii="Calibri" w:hAnsi="Calibri"/>
                <w:sz w:val="17"/>
              </w:rPr>
              <w:t>Full article, FAQ, source links</w:t>
            </w:r>
          </w:p>
        </w:tc>
        <w:tc>
          <w:tcPr>
            <w:tcW w:type="dxa" w:w="2448"/>
          </w:tcPr>
          <w:p>
            <w:pPr>
              <w:spacing w:after="60"/>
            </w:pPr>
            <w:r>
              <w:rPr>
                <w:rFonts w:ascii="Calibri" w:hAnsi="Calibri"/>
                <w:sz w:val="17"/>
              </w:rPr>
              <w:t>Metadata, review date, accessibility, update owner</w:t>
            </w:r>
          </w:p>
        </w:tc>
      </w:tr>
      <w:tr>
        <w:tc>
          <w:tcPr>
            <w:tcW w:type="dxa" w:w="2448"/>
          </w:tcPr>
          <w:p>
            <w:pPr>
              <w:spacing w:after="60"/>
            </w:pPr>
            <w:r>
              <w:rPr>
                <w:rFonts w:ascii="Calibri" w:hAnsi="Calibri"/>
                <w:sz w:val="17"/>
              </w:rPr>
              <w:t>Email newsletter</w:t>
            </w:r>
          </w:p>
        </w:tc>
        <w:tc>
          <w:tcPr>
            <w:tcW w:type="dxa" w:w="2448"/>
          </w:tcPr>
          <w:p>
            <w:pPr>
              <w:spacing w:after="60"/>
            </w:pPr>
            <w:r>
              <w:rPr>
                <w:rFonts w:ascii="Calibri" w:hAnsi="Calibri"/>
                <w:sz w:val="17"/>
              </w:rPr>
              <w:t>Repeat engagement with professionals or learners</w:t>
            </w:r>
          </w:p>
        </w:tc>
        <w:tc>
          <w:tcPr>
            <w:tcW w:type="dxa" w:w="2448"/>
          </w:tcPr>
          <w:p>
            <w:pPr>
              <w:spacing w:after="60"/>
            </w:pPr>
            <w:r>
              <w:rPr>
                <w:rFonts w:ascii="Calibri" w:hAnsi="Calibri"/>
                <w:sz w:val="17"/>
              </w:rPr>
              <w:t>Brief summary plus links</w:t>
            </w:r>
          </w:p>
        </w:tc>
        <w:tc>
          <w:tcPr>
            <w:tcW w:type="dxa" w:w="2448"/>
          </w:tcPr>
          <w:p>
            <w:pPr>
              <w:spacing w:after="60"/>
            </w:pPr>
            <w:r>
              <w:rPr>
                <w:rFonts w:ascii="Calibri" w:hAnsi="Calibri"/>
                <w:sz w:val="17"/>
              </w:rPr>
              <w:t>Audience segmentation, source links, unsubscribe compliance</w:t>
            </w:r>
          </w:p>
        </w:tc>
      </w:tr>
      <w:tr>
        <w:tc>
          <w:tcPr>
            <w:tcW w:type="dxa" w:w="2448"/>
          </w:tcPr>
          <w:p>
            <w:pPr>
              <w:spacing w:after="60"/>
            </w:pPr>
            <w:r>
              <w:rPr>
                <w:rFonts w:ascii="Calibri" w:hAnsi="Calibri"/>
                <w:sz w:val="17"/>
              </w:rPr>
              <w:t>Professional network</w:t>
            </w:r>
          </w:p>
        </w:tc>
        <w:tc>
          <w:tcPr>
            <w:tcW w:type="dxa" w:w="2448"/>
          </w:tcPr>
          <w:p>
            <w:pPr>
              <w:spacing w:after="60"/>
            </w:pPr>
            <w:r>
              <w:rPr>
                <w:rFonts w:ascii="Calibri" w:hAnsi="Calibri"/>
                <w:sz w:val="17"/>
              </w:rPr>
              <w:t>Share research summaries and career education</w:t>
            </w:r>
          </w:p>
        </w:tc>
        <w:tc>
          <w:tcPr>
            <w:tcW w:type="dxa" w:w="2448"/>
          </w:tcPr>
          <w:p>
            <w:pPr>
              <w:spacing w:after="60"/>
            </w:pPr>
            <w:r>
              <w:rPr>
                <w:rFonts w:ascii="Calibri" w:hAnsi="Calibri"/>
                <w:sz w:val="17"/>
              </w:rPr>
              <w:t>Short post, carousel, visual abstract</w:t>
            </w:r>
          </w:p>
        </w:tc>
        <w:tc>
          <w:tcPr>
            <w:tcW w:type="dxa" w:w="2448"/>
          </w:tcPr>
          <w:p>
            <w:pPr>
              <w:spacing w:after="60"/>
            </w:pPr>
            <w:r>
              <w:rPr>
                <w:rFonts w:ascii="Calibri" w:hAnsi="Calibri"/>
                <w:sz w:val="17"/>
              </w:rPr>
              <w:t>No exaggerated claims; link to full evidence</w:t>
            </w:r>
          </w:p>
        </w:tc>
      </w:tr>
      <w:tr>
        <w:tc>
          <w:tcPr>
            <w:tcW w:type="dxa" w:w="2448"/>
          </w:tcPr>
          <w:p>
            <w:pPr>
              <w:spacing w:after="60"/>
            </w:pPr>
            <w:r>
              <w:rPr>
                <w:rFonts w:ascii="Calibri" w:hAnsi="Calibri"/>
                <w:sz w:val="17"/>
              </w:rPr>
              <w:t>Social platforms</w:t>
            </w:r>
          </w:p>
        </w:tc>
        <w:tc>
          <w:tcPr>
            <w:tcW w:type="dxa" w:w="2448"/>
          </w:tcPr>
          <w:p>
            <w:pPr>
              <w:spacing w:after="60"/>
            </w:pPr>
            <w:r>
              <w:rPr>
                <w:rFonts w:ascii="Calibri" w:hAnsi="Calibri"/>
                <w:sz w:val="17"/>
              </w:rPr>
              <w:t>Reach and quick awareness</w:t>
            </w:r>
          </w:p>
        </w:tc>
        <w:tc>
          <w:tcPr>
            <w:tcW w:type="dxa" w:w="2448"/>
          </w:tcPr>
          <w:p>
            <w:pPr>
              <w:spacing w:after="60"/>
            </w:pPr>
            <w:r>
              <w:rPr>
                <w:rFonts w:ascii="Calibri" w:hAnsi="Calibri"/>
                <w:sz w:val="17"/>
              </w:rPr>
              <w:t>Short explainer, myth check, infographic</w:t>
            </w:r>
          </w:p>
        </w:tc>
        <w:tc>
          <w:tcPr>
            <w:tcW w:type="dxa" w:w="2448"/>
          </w:tcPr>
          <w:p>
            <w:pPr>
              <w:spacing w:after="60"/>
            </w:pPr>
            <w:r>
              <w:rPr>
                <w:rFonts w:ascii="Calibri" w:hAnsi="Calibri"/>
                <w:sz w:val="17"/>
              </w:rPr>
              <w:t>Fact-check each standalone message; moderate comments</w:t>
            </w:r>
          </w:p>
        </w:tc>
      </w:tr>
      <w:tr>
        <w:tc>
          <w:tcPr>
            <w:tcW w:type="dxa" w:w="2448"/>
          </w:tcPr>
          <w:p>
            <w:pPr>
              <w:spacing w:after="60"/>
            </w:pPr>
            <w:r>
              <w:rPr>
                <w:rFonts w:ascii="Calibri" w:hAnsi="Calibri"/>
                <w:sz w:val="17"/>
              </w:rPr>
              <w:t>Video / webinar</w:t>
            </w:r>
          </w:p>
        </w:tc>
        <w:tc>
          <w:tcPr>
            <w:tcW w:type="dxa" w:w="2448"/>
          </w:tcPr>
          <w:p>
            <w:pPr>
              <w:spacing w:after="60"/>
            </w:pPr>
            <w:r>
              <w:rPr>
                <w:rFonts w:ascii="Calibri" w:hAnsi="Calibri"/>
                <w:sz w:val="17"/>
              </w:rPr>
              <w:t>Explain complex concepts or answer common questions</w:t>
            </w:r>
          </w:p>
        </w:tc>
        <w:tc>
          <w:tcPr>
            <w:tcW w:type="dxa" w:w="2448"/>
          </w:tcPr>
          <w:p>
            <w:pPr>
              <w:spacing w:after="60"/>
            </w:pPr>
            <w:r>
              <w:rPr>
                <w:rFonts w:ascii="Calibri" w:hAnsi="Calibri"/>
                <w:sz w:val="17"/>
              </w:rPr>
              <w:t>Captioned video, transcript, Q&amp;A</w:t>
            </w:r>
          </w:p>
        </w:tc>
        <w:tc>
          <w:tcPr>
            <w:tcW w:type="dxa" w:w="2448"/>
          </w:tcPr>
          <w:p>
            <w:pPr>
              <w:spacing w:after="60"/>
            </w:pPr>
            <w:r>
              <w:rPr>
                <w:rFonts w:ascii="Calibri" w:hAnsi="Calibri"/>
                <w:sz w:val="17"/>
              </w:rPr>
              <w:t>Speaker review, accessible captions, clear scope</w:t>
            </w:r>
          </w:p>
        </w:tc>
      </w:tr>
      <w:tr>
        <w:tc>
          <w:tcPr>
            <w:tcW w:type="dxa" w:w="2448"/>
          </w:tcPr>
          <w:p>
            <w:pPr>
              <w:spacing w:after="60"/>
            </w:pPr>
            <w:r>
              <w:rPr>
                <w:rFonts w:ascii="Calibri" w:hAnsi="Calibri"/>
                <w:sz w:val="17"/>
              </w:rPr>
              <w:t>Printable PDF</w:t>
            </w:r>
          </w:p>
        </w:tc>
        <w:tc>
          <w:tcPr>
            <w:tcW w:type="dxa" w:w="2448"/>
          </w:tcPr>
          <w:p>
            <w:pPr>
              <w:spacing w:after="60"/>
            </w:pPr>
            <w:r>
              <w:rPr>
                <w:rFonts w:ascii="Calibri" w:hAnsi="Calibri"/>
                <w:sz w:val="17"/>
              </w:rPr>
              <w:t>Low-bandwidth use and patient education</w:t>
            </w:r>
          </w:p>
        </w:tc>
        <w:tc>
          <w:tcPr>
            <w:tcW w:type="dxa" w:w="2448"/>
          </w:tcPr>
          <w:p>
            <w:pPr>
              <w:spacing w:after="60"/>
            </w:pPr>
            <w:r>
              <w:rPr>
                <w:rFonts w:ascii="Calibri" w:hAnsi="Calibri"/>
                <w:sz w:val="17"/>
              </w:rPr>
              <w:t>Checklist, guide, one-page summary</w:t>
            </w:r>
          </w:p>
        </w:tc>
        <w:tc>
          <w:tcPr>
            <w:tcW w:type="dxa" w:w="2448"/>
          </w:tcPr>
          <w:p>
            <w:pPr>
              <w:spacing w:after="60"/>
            </w:pPr>
            <w:r>
              <w:rPr>
                <w:rFonts w:ascii="Calibri" w:hAnsi="Calibri"/>
                <w:sz w:val="17"/>
              </w:rPr>
              <w:t>Readable print size, version date, plain language</w:t>
            </w:r>
          </w:p>
        </w:tc>
      </w:tr>
    </w:tbl>
    <w:p>
      <w:r>
        <w:t>Distribution should use a repurposing workflow. A reviewed core article may be adapted into a short professional summary, a patient-friendly FAQ, a graphic, and a newsletter item. Each derivative must be checked independently because shortening content can remove a crucial caveat. Do not publish a standalone social post if it becomes misleading without the surrounding explanation. Use captions and transcripts for video, alt text for meaningful images, descriptive link text, sufficient colour contrast, and mobile-friendly layouts.</w:t>
      </w:r>
    </w:p>
    <w:p>
      <w:r>
        <w:t>Community management is part of medical communication. Comments may contain personal health information or requests for diagnosis. Moderators should not diagnose, prescribe, or ask people to post private details publicly. Use a prepared response that explains the educational scope and directs personal questions to a qualified healthcare professional. Escalate credible reports of urgent harm or misinformation according to organisational policy.</w:t>
      </w:r>
    </w:p>
    <w:p>
      <w:pPr>
        <w:pStyle w:val="Heading1"/>
        <w:pageBreakBefore/>
      </w:pPr>
      <w:r>
        <w:t>9. Production Workflow and Roles</w:t>
      </w:r>
    </w:p>
    <w:p>
      <w:r>
        <w:t>The workflow is designed to make responsibilities visible and reduce avoidable rework. In a small team, one person may hold more than one role, but the stages should remain distinct. The writer should not be the sole final approver for high-risk content.</w:t>
      </w:r>
    </w:p>
    <w:p>
      <w:pPr>
        <w:pStyle w:val="ListNumber"/>
      </w:pPr>
      <w:r>
        <w:t>Intake and prioritisation: capture the reader question, intended audience, purpose, urgency, risk level, owner, and proposed format.</w:t>
      </w:r>
    </w:p>
    <w:p>
      <w:pPr>
        <w:pStyle w:val="ListNumber"/>
      </w:pPr>
      <w:r>
        <w:t>Brief and outline: agree the key message, scope, desired reader action, exclusions, and review requirements before drafting.</w:t>
      </w:r>
    </w:p>
    <w:p>
      <w:pPr>
        <w:pStyle w:val="ListNumber"/>
      </w:pPr>
      <w:r>
        <w:t>Research: search reputable sources, confirm currency, assess study quality, and create an evidence log.</w:t>
      </w:r>
    </w:p>
    <w:p>
      <w:pPr>
        <w:pStyle w:val="ListNumber"/>
      </w:pPr>
      <w:r>
        <w:t>Drafting: write to the audience, keep claims traceable, use headings and clear definitions, and mark unresolved questions.</w:t>
      </w:r>
    </w:p>
    <w:p>
      <w:pPr>
        <w:pStyle w:val="ListNumber"/>
      </w:pPr>
      <w:r>
        <w:t>Medical review: verify clinical accuracy, interpretation, safety wording, and consistency with current guidance.</w:t>
      </w:r>
    </w:p>
    <w:p>
      <w:pPr>
        <w:pStyle w:val="ListNumber"/>
      </w:pPr>
      <w:r>
        <w:t>Editorial and accessibility review: check plain language, structure, references, inclusive wording, accessibility, and channel fit.</w:t>
      </w:r>
    </w:p>
    <w:p>
      <w:pPr>
        <w:pStyle w:val="ListNumber"/>
      </w:pPr>
      <w:r>
        <w:t>Approval and publication: resolve comments, obtain sign-off, publish the canonical version, and record metadata.</w:t>
      </w:r>
    </w:p>
    <w:p>
      <w:pPr>
        <w:pStyle w:val="ListNumber"/>
      </w:pPr>
      <w:r>
        <w:t>Distribution and monitoring: adapt approved content, respond to feedback within scope, monitor metrics, and flag correction needs.</w:t>
      </w:r>
    </w:p>
    <w:p>
      <w:pPr>
        <w:pStyle w:val="ListNumber"/>
      </w:pPr>
      <w:r>
        <w:t>Maintenance: review on schedule or when a source changes, update the version record, and retire content that is no longer reliable.</w:t>
      </w:r>
    </w:p>
    <w:p>
      <w:pPr>
        <w:pStyle w:val="Heading2"/>
      </w:pPr>
      <w:r>
        <w:t>9.1 Suggested responsibility matrix</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shd w:fill="D9EAF7"/>
          </w:tcPr>
          <w:p>
            <w:pPr>
              <w:spacing w:after="60"/>
            </w:pPr>
            <w:r>
              <w:rPr>
                <w:rFonts w:ascii="Calibri" w:hAnsi="Calibri"/>
                <w:sz w:val="17"/>
              </w:rPr>
              <w:t>Activity</w:t>
            </w:r>
          </w:p>
        </w:tc>
        <w:tc>
          <w:tcPr>
            <w:tcW w:type="dxa" w:w="2448"/>
            <w:shd w:fill="D9EAF7"/>
          </w:tcPr>
          <w:p>
            <w:pPr>
              <w:spacing w:after="60"/>
            </w:pPr>
            <w:r>
              <w:rPr>
                <w:rFonts w:ascii="Calibri" w:hAnsi="Calibri"/>
                <w:sz w:val="17"/>
              </w:rPr>
              <w:t>Writer / researcher</w:t>
            </w:r>
          </w:p>
        </w:tc>
        <w:tc>
          <w:tcPr>
            <w:tcW w:type="dxa" w:w="2448"/>
            <w:shd w:fill="D9EAF7"/>
          </w:tcPr>
          <w:p>
            <w:pPr>
              <w:spacing w:after="60"/>
            </w:pPr>
            <w:r>
              <w:rPr>
                <w:rFonts w:ascii="Calibri" w:hAnsi="Calibri"/>
                <w:sz w:val="17"/>
              </w:rPr>
              <w:t>Medical reviewer</w:t>
            </w:r>
          </w:p>
        </w:tc>
        <w:tc>
          <w:tcPr>
            <w:tcW w:type="dxa" w:w="2448"/>
            <w:shd w:fill="D9EAF7"/>
          </w:tcPr>
          <w:p>
            <w:pPr>
              <w:spacing w:after="60"/>
            </w:pPr>
            <w:r>
              <w:rPr>
                <w:rFonts w:ascii="Calibri" w:hAnsi="Calibri"/>
                <w:sz w:val="17"/>
              </w:rPr>
              <w:t>Editor / channel lead</w:t>
            </w:r>
          </w:p>
        </w:tc>
      </w:tr>
      <w:tr>
        <w:tc>
          <w:tcPr>
            <w:tcW w:type="dxa" w:w="2448"/>
          </w:tcPr>
          <w:p>
            <w:pPr>
              <w:spacing w:after="60"/>
            </w:pPr>
            <w:r>
              <w:rPr>
                <w:rFonts w:ascii="Calibri" w:hAnsi="Calibri"/>
                <w:sz w:val="17"/>
              </w:rPr>
              <w:t>Brief and outline</w:t>
            </w:r>
          </w:p>
        </w:tc>
        <w:tc>
          <w:tcPr>
            <w:tcW w:type="dxa" w:w="2448"/>
          </w:tcPr>
          <w:p>
            <w:pPr>
              <w:spacing w:after="60"/>
            </w:pPr>
            <w:r>
              <w:rPr>
                <w:rFonts w:ascii="Calibri" w:hAnsi="Calibri"/>
                <w:sz w:val="17"/>
              </w:rPr>
              <w:t>Responsible</w:t>
            </w:r>
          </w:p>
        </w:tc>
        <w:tc>
          <w:tcPr>
            <w:tcW w:type="dxa" w:w="2448"/>
          </w:tcPr>
          <w:p>
            <w:pPr>
              <w:spacing w:after="60"/>
            </w:pPr>
            <w:r>
              <w:rPr>
                <w:rFonts w:ascii="Calibri" w:hAnsi="Calibri"/>
                <w:sz w:val="17"/>
              </w:rPr>
              <w:t>Consulted</w:t>
            </w:r>
          </w:p>
        </w:tc>
        <w:tc>
          <w:tcPr>
            <w:tcW w:type="dxa" w:w="2448"/>
          </w:tcPr>
          <w:p>
            <w:pPr>
              <w:spacing w:after="60"/>
            </w:pPr>
            <w:r>
              <w:rPr>
                <w:rFonts w:ascii="Calibri" w:hAnsi="Calibri"/>
                <w:sz w:val="17"/>
              </w:rPr>
              <w:t>Accountable</w:t>
            </w:r>
          </w:p>
        </w:tc>
      </w:tr>
      <w:tr>
        <w:tc>
          <w:tcPr>
            <w:tcW w:type="dxa" w:w="2448"/>
          </w:tcPr>
          <w:p>
            <w:pPr>
              <w:spacing w:after="60"/>
            </w:pPr>
            <w:r>
              <w:rPr>
                <w:rFonts w:ascii="Calibri" w:hAnsi="Calibri"/>
                <w:sz w:val="17"/>
              </w:rPr>
              <w:t>Evidence log and draft</w:t>
            </w:r>
          </w:p>
        </w:tc>
        <w:tc>
          <w:tcPr>
            <w:tcW w:type="dxa" w:w="2448"/>
          </w:tcPr>
          <w:p>
            <w:pPr>
              <w:spacing w:after="60"/>
            </w:pPr>
            <w:r>
              <w:rPr>
                <w:rFonts w:ascii="Calibri" w:hAnsi="Calibri"/>
                <w:sz w:val="17"/>
              </w:rPr>
              <w:t>Responsible</w:t>
            </w:r>
          </w:p>
        </w:tc>
        <w:tc>
          <w:tcPr>
            <w:tcW w:type="dxa" w:w="2448"/>
          </w:tcPr>
          <w:p>
            <w:pPr>
              <w:spacing w:after="60"/>
            </w:pPr>
            <w:r>
              <w:rPr>
                <w:rFonts w:ascii="Calibri" w:hAnsi="Calibri"/>
                <w:sz w:val="17"/>
              </w:rPr>
              <w:t>Consulted</w:t>
            </w:r>
          </w:p>
        </w:tc>
        <w:tc>
          <w:tcPr>
            <w:tcW w:type="dxa" w:w="2448"/>
          </w:tcPr>
          <w:p>
            <w:pPr>
              <w:spacing w:after="60"/>
            </w:pPr>
            <w:r>
              <w:rPr>
                <w:rFonts w:ascii="Calibri" w:hAnsi="Calibri"/>
                <w:sz w:val="17"/>
              </w:rPr>
              <w:t>Consulted</w:t>
            </w:r>
          </w:p>
        </w:tc>
      </w:tr>
      <w:tr>
        <w:tc>
          <w:tcPr>
            <w:tcW w:type="dxa" w:w="2448"/>
          </w:tcPr>
          <w:p>
            <w:pPr>
              <w:spacing w:after="60"/>
            </w:pPr>
            <w:r>
              <w:rPr>
                <w:rFonts w:ascii="Calibri" w:hAnsi="Calibri"/>
                <w:sz w:val="17"/>
              </w:rPr>
              <w:t>Clinical accuracy approval</w:t>
            </w:r>
          </w:p>
        </w:tc>
        <w:tc>
          <w:tcPr>
            <w:tcW w:type="dxa" w:w="2448"/>
          </w:tcPr>
          <w:p>
            <w:pPr>
              <w:spacing w:after="60"/>
            </w:pPr>
            <w:r>
              <w:rPr>
                <w:rFonts w:ascii="Calibri" w:hAnsi="Calibri"/>
                <w:sz w:val="17"/>
              </w:rPr>
              <w:t>Consulted</w:t>
            </w:r>
          </w:p>
        </w:tc>
        <w:tc>
          <w:tcPr>
            <w:tcW w:type="dxa" w:w="2448"/>
          </w:tcPr>
          <w:p>
            <w:pPr>
              <w:spacing w:after="60"/>
            </w:pPr>
            <w:r>
              <w:rPr>
                <w:rFonts w:ascii="Calibri" w:hAnsi="Calibri"/>
                <w:sz w:val="17"/>
              </w:rPr>
              <w:t>Accountable</w:t>
            </w:r>
          </w:p>
        </w:tc>
        <w:tc>
          <w:tcPr>
            <w:tcW w:type="dxa" w:w="2448"/>
          </w:tcPr>
          <w:p>
            <w:pPr>
              <w:spacing w:after="60"/>
            </w:pPr>
            <w:r>
              <w:rPr>
                <w:rFonts w:ascii="Calibri" w:hAnsi="Calibri"/>
                <w:sz w:val="17"/>
              </w:rPr>
              <w:t>Informed</w:t>
            </w:r>
          </w:p>
        </w:tc>
      </w:tr>
      <w:tr>
        <w:tc>
          <w:tcPr>
            <w:tcW w:type="dxa" w:w="2448"/>
          </w:tcPr>
          <w:p>
            <w:pPr>
              <w:spacing w:after="60"/>
            </w:pPr>
            <w:r>
              <w:rPr>
                <w:rFonts w:ascii="Calibri" w:hAnsi="Calibri"/>
                <w:sz w:val="17"/>
              </w:rPr>
              <w:t>Plain-language / accessibility edit</w:t>
            </w:r>
          </w:p>
        </w:tc>
        <w:tc>
          <w:tcPr>
            <w:tcW w:type="dxa" w:w="2448"/>
          </w:tcPr>
          <w:p>
            <w:pPr>
              <w:spacing w:after="60"/>
            </w:pPr>
            <w:r>
              <w:rPr>
                <w:rFonts w:ascii="Calibri" w:hAnsi="Calibri"/>
                <w:sz w:val="17"/>
              </w:rPr>
              <w:t>Consulted</w:t>
            </w:r>
          </w:p>
        </w:tc>
        <w:tc>
          <w:tcPr>
            <w:tcW w:type="dxa" w:w="2448"/>
          </w:tcPr>
          <w:p>
            <w:pPr>
              <w:spacing w:after="60"/>
            </w:pPr>
            <w:r>
              <w:rPr>
                <w:rFonts w:ascii="Calibri" w:hAnsi="Calibri"/>
                <w:sz w:val="17"/>
              </w:rPr>
              <w:t>Consulted</w:t>
            </w:r>
          </w:p>
        </w:tc>
        <w:tc>
          <w:tcPr>
            <w:tcW w:type="dxa" w:w="2448"/>
          </w:tcPr>
          <w:p>
            <w:pPr>
              <w:spacing w:after="60"/>
            </w:pPr>
            <w:r>
              <w:rPr>
                <w:rFonts w:ascii="Calibri" w:hAnsi="Calibri"/>
                <w:sz w:val="17"/>
              </w:rPr>
              <w:t>Accountable</w:t>
            </w:r>
          </w:p>
        </w:tc>
      </w:tr>
      <w:tr>
        <w:tc>
          <w:tcPr>
            <w:tcW w:type="dxa" w:w="2448"/>
          </w:tcPr>
          <w:p>
            <w:pPr>
              <w:spacing w:after="60"/>
            </w:pPr>
            <w:r>
              <w:rPr>
                <w:rFonts w:ascii="Calibri" w:hAnsi="Calibri"/>
                <w:sz w:val="17"/>
              </w:rPr>
              <w:t>Publication and distribution</w:t>
            </w:r>
          </w:p>
        </w:tc>
        <w:tc>
          <w:tcPr>
            <w:tcW w:type="dxa" w:w="2448"/>
          </w:tcPr>
          <w:p>
            <w:pPr>
              <w:spacing w:after="60"/>
            </w:pPr>
            <w:r>
              <w:rPr>
                <w:rFonts w:ascii="Calibri" w:hAnsi="Calibri"/>
                <w:sz w:val="17"/>
              </w:rPr>
              <w:t>Informed</w:t>
            </w:r>
          </w:p>
        </w:tc>
        <w:tc>
          <w:tcPr>
            <w:tcW w:type="dxa" w:w="2448"/>
          </w:tcPr>
          <w:p>
            <w:pPr>
              <w:spacing w:after="60"/>
            </w:pPr>
            <w:r>
              <w:rPr>
                <w:rFonts w:ascii="Calibri" w:hAnsi="Calibri"/>
                <w:sz w:val="17"/>
              </w:rPr>
              <w:t>Informed</w:t>
            </w:r>
          </w:p>
        </w:tc>
        <w:tc>
          <w:tcPr>
            <w:tcW w:type="dxa" w:w="2448"/>
          </w:tcPr>
          <w:p>
            <w:pPr>
              <w:spacing w:after="60"/>
            </w:pPr>
            <w:r>
              <w:rPr>
                <w:rFonts w:ascii="Calibri" w:hAnsi="Calibri"/>
                <w:sz w:val="17"/>
              </w:rPr>
              <w:t>Responsible</w:t>
            </w:r>
          </w:p>
        </w:tc>
      </w:tr>
      <w:tr>
        <w:tc>
          <w:tcPr>
            <w:tcW w:type="dxa" w:w="2448"/>
          </w:tcPr>
          <w:p>
            <w:pPr>
              <w:spacing w:after="60"/>
            </w:pPr>
            <w:r>
              <w:rPr>
                <w:rFonts w:ascii="Calibri" w:hAnsi="Calibri"/>
                <w:sz w:val="17"/>
              </w:rPr>
              <w:t>Correction of medical error</w:t>
            </w:r>
          </w:p>
        </w:tc>
        <w:tc>
          <w:tcPr>
            <w:tcW w:type="dxa" w:w="2448"/>
          </w:tcPr>
          <w:p>
            <w:pPr>
              <w:spacing w:after="60"/>
            </w:pPr>
            <w:r>
              <w:rPr>
                <w:rFonts w:ascii="Calibri" w:hAnsi="Calibri"/>
                <w:sz w:val="17"/>
              </w:rPr>
              <w:t>Responsible for revision</w:t>
            </w:r>
          </w:p>
        </w:tc>
        <w:tc>
          <w:tcPr>
            <w:tcW w:type="dxa" w:w="2448"/>
          </w:tcPr>
          <w:p>
            <w:pPr>
              <w:spacing w:after="60"/>
            </w:pPr>
            <w:r>
              <w:rPr>
                <w:rFonts w:ascii="Calibri" w:hAnsi="Calibri"/>
                <w:sz w:val="17"/>
              </w:rPr>
              <w:t>Accountable for clinical sign-off</w:t>
            </w:r>
          </w:p>
        </w:tc>
        <w:tc>
          <w:tcPr>
            <w:tcW w:type="dxa" w:w="2448"/>
          </w:tcPr>
          <w:p>
            <w:pPr>
              <w:spacing w:after="60"/>
            </w:pPr>
            <w:r>
              <w:rPr>
                <w:rFonts w:ascii="Calibri" w:hAnsi="Calibri"/>
                <w:sz w:val="17"/>
              </w:rPr>
              <w:t>Responsible for notice and update</w:t>
            </w:r>
          </w:p>
        </w:tc>
      </w:tr>
    </w:tbl>
    <w:p>
      <w:r>
        <w:t>For a solo student project, the same process can be followed by using a checklist and asking a qualified subject-matter expert to review any clinically consequential material. If expert review is unavailable, narrow the content to general education and state the limitation rather than presenting it as professionally approved advice.</w:t>
      </w:r>
    </w:p>
    <w:p>
      <w:pPr>
        <w:pStyle w:val="Heading1"/>
        <w:pageBreakBefore/>
      </w:pPr>
      <w:r>
        <w:t>10. Twelve-Week Content Calendar</w:t>
      </w:r>
    </w:p>
    <w:p>
      <w:r>
        <w:t>The following calendar provides a manageable pilot sequence. It is a planning template; actual topics should be prioritised using audience questions, seasonal relevance, current guidelines, and review capacity. Week 1 is devoted to setup and the first content brief.</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shd w:fill="D9EAF7"/>
          </w:tcPr>
          <w:p>
            <w:pPr>
              <w:spacing w:after="60"/>
            </w:pPr>
            <w:r>
              <w:rPr>
                <w:rFonts w:ascii="Calibri" w:hAnsi="Calibri"/>
                <w:sz w:val="17"/>
              </w:rPr>
              <w:t>Week</w:t>
            </w:r>
          </w:p>
        </w:tc>
        <w:tc>
          <w:tcPr>
            <w:tcW w:type="dxa" w:w="2448"/>
            <w:shd w:fill="D9EAF7"/>
          </w:tcPr>
          <w:p>
            <w:pPr>
              <w:spacing w:after="60"/>
            </w:pPr>
            <w:r>
              <w:rPr>
                <w:rFonts w:ascii="Calibri" w:hAnsi="Calibri"/>
                <w:sz w:val="17"/>
              </w:rPr>
              <w:t>Core deliverable</w:t>
            </w:r>
          </w:p>
        </w:tc>
        <w:tc>
          <w:tcPr>
            <w:tcW w:type="dxa" w:w="2448"/>
            <w:shd w:fill="D9EAF7"/>
          </w:tcPr>
          <w:p>
            <w:pPr>
              <w:spacing w:after="60"/>
            </w:pPr>
            <w:r>
              <w:rPr>
                <w:rFonts w:ascii="Calibri" w:hAnsi="Calibri"/>
                <w:sz w:val="17"/>
              </w:rPr>
              <w:t>Supporting asset</w:t>
            </w:r>
          </w:p>
        </w:tc>
        <w:tc>
          <w:tcPr>
            <w:tcW w:type="dxa" w:w="2448"/>
            <w:shd w:fill="D9EAF7"/>
          </w:tcPr>
          <w:p>
            <w:pPr>
              <w:spacing w:after="60"/>
            </w:pPr>
            <w:r>
              <w:rPr>
                <w:rFonts w:ascii="Calibri" w:hAnsi="Calibri"/>
                <w:sz w:val="17"/>
              </w:rPr>
              <w:t>Key milestone</w:t>
            </w:r>
          </w:p>
        </w:tc>
      </w:tr>
      <w:tr>
        <w:tc>
          <w:tcPr>
            <w:tcW w:type="dxa" w:w="2448"/>
          </w:tcPr>
          <w:p>
            <w:pPr>
              <w:spacing w:after="60"/>
            </w:pPr>
            <w:r>
              <w:rPr>
                <w:rFonts w:ascii="Calibri" w:hAnsi="Calibri"/>
                <w:sz w:val="17"/>
              </w:rPr>
              <w:t>1</w:t>
            </w:r>
          </w:p>
        </w:tc>
        <w:tc>
          <w:tcPr>
            <w:tcW w:type="dxa" w:w="2448"/>
          </w:tcPr>
          <w:p>
            <w:pPr>
              <w:spacing w:after="60"/>
            </w:pPr>
            <w:r>
              <w:rPr>
                <w:rFonts w:ascii="Calibri" w:hAnsi="Calibri"/>
                <w:sz w:val="17"/>
              </w:rPr>
              <w:t>Audience needs scan and editorial charter</w:t>
            </w:r>
          </w:p>
        </w:tc>
        <w:tc>
          <w:tcPr>
            <w:tcW w:type="dxa" w:w="2448"/>
          </w:tcPr>
          <w:p>
            <w:pPr>
              <w:spacing w:after="60"/>
            </w:pPr>
            <w:r>
              <w:rPr>
                <w:rFonts w:ascii="Calibri" w:hAnsi="Calibri"/>
                <w:sz w:val="17"/>
              </w:rPr>
              <w:t>Reader survey / question log</w:t>
            </w:r>
          </w:p>
        </w:tc>
        <w:tc>
          <w:tcPr>
            <w:tcW w:type="dxa" w:w="2448"/>
          </w:tcPr>
          <w:p>
            <w:pPr>
              <w:spacing w:after="60"/>
            </w:pPr>
            <w:r>
              <w:rPr>
                <w:rFonts w:ascii="Calibri" w:hAnsi="Calibri"/>
                <w:sz w:val="17"/>
              </w:rPr>
              <w:t>Agree objectives, scope, approval process</w:t>
            </w:r>
          </w:p>
        </w:tc>
      </w:tr>
      <w:tr>
        <w:tc>
          <w:tcPr>
            <w:tcW w:type="dxa" w:w="2448"/>
          </w:tcPr>
          <w:p>
            <w:pPr>
              <w:spacing w:after="60"/>
            </w:pPr>
            <w:r>
              <w:rPr>
                <w:rFonts w:ascii="Calibri" w:hAnsi="Calibri"/>
                <w:sz w:val="17"/>
              </w:rPr>
              <w:t>2</w:t>
            </w:r>
          </w:p>
        </w:tc>
        <w:tc>
          <w:tcPr>
            <w:tcW w:type="dxa" w:w="2448"/>
          </w:tcPr>
          <w:p>
            <w:pPr>
              <w:spacing w:after="60"/>
            </w:pPr>
            <w:r>
              <w:rPr>
                <w:rFonts w:ascii="Calibri" w:hAnsi="Calibri"/>
                <w:sz w:val="17"/>
              </w:rPr>
              <w:t>How to judge a health claim</w:t>
            </w:r>
          </w:p>
        </w:tc>
        <w:tc>
          <w:tcPr>
            <w:tcW w:type="dxa" w:w="2448"/>
          </w:tcPr>
          <w:p>
            <w:pPr>
              <w:spacing w:after="60"/>
            </w:pPr>
            <w:r>
              <w:rPr>
                <w:rFonts w:ascii="Calibri" w:hAnsi="Calibri"/>
                <w:sz w:val="17"/>
              </w:rPr>
              <w:t>Myth-check infographic</w:t>
            </w:r>
          </w:p>
        </w:tc>
        <w:tc>
          <w:tcPr>
            <w:tcW w:type="dxa" w:w="2448"/>
          </w:tcPr>
          <w:p>
            <w:pPr>
              <w:spacing w:after="60"/>
            </w:pPr>
            <w:r>
              <w:rPr>
                <w:rFonts w:ascii="Calibri" w:hAnsi="Calibri"/>
                <w:sz w:val="17"/>
              </w:rPr>
              <w:t>Baseline metrics and source-log test</w:t>
            </w:r>
          </w:p>
        </w:tc>
      </w:tr>
      <w:tr>
        <w:tc>
          <w:tcPr>
            <w:tcW w:type="dxa" w:w="2448"/>
          </w:tcPr>
          <w:p>
            <w:pPr>
              <w:spacing w:after="60"/>
            </w:pPr>
            <w:r>
              <w:rPr>
                <w:rFonts w:ascii="Calibri" w:hAnsi="Calibri"/>
                <w:sz w:val="17"/>
              </w:rPr>
              <w:t>3</w:t>
            </w:r>
          </w:p>
        </w:tc>
        <w:tc>
          <w:tcPr>
            <w:tcW w:type="dxa" w:w="2448"/>
          </w:tcPr>
          <w:p>
            <w:pPr>
              <w:spacing w:after="60"/>
            </w:pPr>
            <w:r>
              <w:rPr>
                <w:rFonts w:ascii="Calibri" w:hAnsi="Calibri"/>
                <w:sz w:val="17"/>
              </w:rPr>
              <w:t>Understanding medicine labels</w:t>
            </w:r>
          </w:p>
        </w:tc>
        <w:tc>
          <w:tcPr>
            <w:tcW w:type="dxa" w:w="2448"/>
          </w:tcPr>
          <w:p>
            <w:pPr>
              <w:spacing w:after="60"/>
            </w:pPr>
            <w:r>
              <w:rPr>
                <w:rFonts w:ascii="Calibri" w:hAnsi="Calibri"/>
                <w:sz w:val="17"/>
              </w:rPr>
              <w:t>Patient checklist</w:t>
            </w:r>
          </w:p>
        </w:tc>
        <w:tc>
          <w:tcPr>
            <w:tcW w:type="dxa" w:w="2448"/>
          </w:tcPr>
          <w:p>
            <w:pPr>
              <w:spacing w:after="60"/>
            </w:pPr>
            <w:r>
              <w:rPr>
                <w:rFonts w:ascii="Calibri" w:hAnsi="Calibri"/>
                <w:sz w:val="17"/>
              </w:rPr>
              <w:t>Plain-language review</w:t>
            </w:r>
          </w:p>
        </w:tc>
      </w:tr>
      <w:tr>
        <w:tc>
          <w:tcPr>
            <w:tcW w:type="dxa" w:w="2448"/>
          </w:tcPr>
          <w:p>
            <w:pPr>
              <w:spacing w:after="60"/>
            </w:pPr>
            <w:r>
              <w:rPr>
                <w:rFonts w:ascii="Calibri" w:hAnsi="Calibri"/>
                <w:sz w:val="17"/>
              </w:rPr>
              <w:t>4</w:t>
            </w:r>
          </w:p>
        </w:tc>
        <w:tc>
          <w:tcPr>
            <w:tcW w:type="dxa" w:w="2448"/>
          </w:tcPr>
          <w:p>
            <w:pPr>
              <w:spacing w:after="60"/>
            </w:pPr>
            <w:r>
              <w:rPr>
                <w:rFonts w:ascii="Calibri" w:hAnsi="Calibri"/>
                <w:sz w:val="17"/>
              </w:rPr>
              <w:t>Side effects, allergies, and adverse reactions</w:t>
            </w:r>
          </w:p>
        </w:tc>
        <w:tc>
          <w:tcPr>
            <w:tcW w:type="dxa" w:w="2448"/>
          </w:tcPr>
          <w:p>
            <w:pPr>
              <w:spacing w:after="60"/>
            </w:pPr>
            <w:r>
              <w:rPr>
                <w:rFonts w:ascii="Calibri" w:hAnsi="Calibri"/>
                <w:sz w:val="17"/>
              </w:rPr>
              <w:t>FAQ and safety reminder</w:t>
            </w:r>
          </w:p>
        </w:tc>
        <w:tc>
          <w:tcPr>
            <w:tcW w:type="dxa" w:w="2448"/>
          </w:tcPr>
          <w:p>
            <w:pPr>
              <w:spacing w:after="60"/>
            </w:pPr>
            <w:r>
              <w:rPr>
                <w:rFonts w:ascii="Calibri" w:hAnsi="Calibri"/>
                <w:sz w:val="17"/>
              </w:rPr>
              <w:t>Medical review and risk escalation check</w:t>
            </w:r>
          </w:p>
        </w:tc>
      </w:tr>
      <w:tr>
        <w:tc>
          <w:tcPr>
            <w:tcW w:type="dxa" w:w="2448"/>
          </w:tcPr>
          <w:p>
            <w:pPr>
              <w:spacing w:after="60"/>
            </w:pPr>
            <w:r>
              <w:rPr>
                <w:rFonts w:ascii="Calibri" w:hAnsi="Calibri"/>
                <w:sz w:val="17"/>
              </w:rPr>
              <w:t>5</w:t>
            </w:r>
          </w:p>
        </w:tc>
        <w:tc>
          <w:tcPr>
            <w:tcW w:type="dxa" w:w="2448"/>
          </w:tcPr>
          <w:p>
            <w:pPr>
              <w:spacing w:after="60"/>
            </w:pPr>
            <w:r>
              <w:rPr>
                <w:rFonts w:ascii="Calibri" w:hAnsi="Calibri"/>
                <w:sz w:val="17"/>
              </w:rPr>
              <w:t>Clinical trials explained</w:t>
            </w:r>
          </w:p>
        </w:tc>
        <w:tc>
          <w:tcPr>
            <w:tcW w:type="dxa" w:w="2448"/>
          </w:tcPr>
          <w:p>
            <w:pPr>
              <w:spacing w:after="60"/>
            </w:pPr>
            <w:r>
              <w:rPr>
                <w:rFonts w:ascii="Calibri" w:hAnsi="Calibri"/>
                <w:sz w:val="17"/>
              </w:rPr>
              <w:t>Study-design diagram</w:t>
            </w:r>
          </w:p>
        </w:tc>
        <w:tc>
          <w:tcPr>
            <w:tcW w:type="dxa" w:w="2448"/>
          </w:tcPr>
          <w:p>
            <w:pPr>
              <w:spacing w:after="60"/>
            </w:pPr>
            <w:r>
              <w:rPr>
                <w:rFonts w:ascii="Calibri" w:hAnsi="Calibri"/>
                <w:sz w:val="17"/>
              </w:rPr>
              <w:t>Check terminology and study examples</w:t>
            </w:r>
          </w:p>
        </w:tc>
      </w:tr>
      <w:tr>
        <w:tc>
          <w:tcPr>
            <w:tcW w:type="dxa" w:w="2448"/>
          </w:tcPr>
          <w:p>
            <w:pPr>
              <w:spacing w:after="60"/>
            </w:pPr>
            <w:r>
              <w:rPr>
                <w:rFonts w:ascii="Calibri" w:hAnsi="Calibri"/>
                <w:sz w:val="17"/>
              </w:rPr>
              <w:t>6</w:t>
            </w:r>
          </w:p>
        </w:tc>
        <w:tc>
          <w:tcPr>
            <w:tcW w:type="dxa" w:w="2448"/>
          </w:tcPr>
          <w:p>
            <w:pPr>
              <w:spacing w:after="60"/>
            </w:pPr>
            <w:r>
              <w:rPr>
                <w:rFonts w:ascii="Calibri" w:hAnsi="Calibri"/>
                <w:sz w:val="17"/>
              </w:rPr>
              <w:t>Absolute versus relative risk</w:t>
            </w:r>
          </w:p>
        </w:tc>
        <w:tc>
          <w:tcPr>
            <w:tcW w:type="dxa" w:w="2448"/>
          </w:tcPr>
          <w:p>
            <w:pPr>
              <w:spacing w:after="60"/>
            </w:pPr>
            <w:r>
              <w:rPr>
                <w:rFonts w:ascii="Calibri" w:hAnsi="Calibri"/>
                <w:sz w:val="17"/>
              </w:rPr>
              <w:t>Simple numerical example</w:t>
            </w:r>
          </w:p>
        </w:tc>
        <w:tc>
          <w:tcPr>
            <w:tcW w:type="dxa" w:w="2448"/>
          </w:tcPr>
          <w:p>
            <w:pPr>
              <w:spacing w:after="60"/>
            </w:pPr>
            <w:r>
              <w:rPr>
                <w:rFonts w:ascii="Calibri" w:hAnsi="Calibri"/>
                <w:sz w:val="17"/>
              </w:rPr>
              <w:t>Comprehension test with readers</w:t>
            </w:r>
          </w:p>
        </w:tc>
      </w:tr>
      <w:tr>
        <w:tc>
          <w:tcPr>
            <w:tcW w:type="dxa" w:w="2448"/>
          </w:tcPr>
          <w:p>
            <w:pPr>
              <w:spacing w:after="60"/>
            </w:pPr>
            <w:r>
              <w:rPr>
                <w:rFonts w:ascii="Calibri" w:hAnsi="Calibri"/>
                <w:sz w:val="17"/>
              </w:rPr>
              <w:t>7</w:t>
            </w:r>
          </w:p>
        </w:tc>
        <w:tc>
          <w:tcPr>
            <w:tcW w:type="dxa" w:w="2448"/>
          </w:tcPr>
          <w:p>
            <w:pPr>
              <w:spacing w:after="60"/>
            </w:pPr>
            <w:r>
              <w:rPr>
                <w:rFonts w:ascii="Calibri" w:hAnsi="Calibri"/>
                <w:sz w:val="17"/>
              </w:rPr>
              <w:t>What systematic reviews can and cannot tell us</w:t>
            </w:r>
          </w:p>
        </w:tc>
        <w:tc>
          <w:tcPr>
            <w:tcW w:type="dxa" w:w="2448"/>
          </w:tcPr>
          <w:p>
            <w:pPr>
              <w:spacing w:after="60"/>
            </w:pPr>
            <w:r>
              <w:rPr>
                <w:rFonts w:ascii="Calibri" w:hAnsi="Calibri"/>
                <w:sz w:val="17"/>
              </w:rPr>
              <w:t>Professional summary</w:t>
            </w:r>
          </w:p>
        </w:tc>
        <w:tc>
          <w:tcPr>
            <w:tcW w:type="dxa" w:w="2448"/>
          </w:tcPr>
          <w:p>
            <w:pPr>
              <w:spacing w:after="60"/>
            </w:pPr>
            <w:r>
              <w:rPr>
                <w:rFonts w:ascii="Calibri" w:hAnsi="Calibri"/>
                <w:sz w:val="17"/>
              </w:rPr>
              <w:t>Review source hierarchy</w:t>
            </w:r>
          </w:p>
        </w:tc>
      </w:tr>
      <w:tr>
        <w:tc>
          <w:tcPr>
            <w:tcW w:type="dxa" w:w="2448"/>
          </w:tcPr>
          <w:p>
            <w:pPr>
              <w:spacing w:after="60"/>
            </w:pPr>
            <w:r>
              <w:rPr>
                <w:rFonts w:ascii="Calibri" w:hAnsi="Calibri"/>
                <w:sz w:val="17"/>
              </w:rPr>
              <w:t>8</w:t>
            </w:r>
          </w:p>
        </w:tc>
        <w:tc>
          <w:tcPr>
            <w:tcW w:type="dxa" w:w="2448"/>
          </w:tcPr>
          <w:p>
            <w:pPr>
              <w:spacing w:after="60"/>
            </w:pPr>
            <w:r>
              <w:rPr>
                <w:rFonts w:ascii="Calibri" w:hAnsi="Calibri"/>
                <w:sz w:val="17"/>
              </w:rPr>
              <w:t>How pharmacists support medicine safety</w:t>
            </w:r>
          </w:p>
        </w:tc>
        <w:tc>
          <w:tcPr>
            <w:tcW w:type="dxa" w:w="2448"/>
          </w:tcPr>
          <w:p>
            <w:pPr>
              <w:spacing w:after="60"/>
            </w:pPr>
            <w:r>
              <w:rPr>
                <w:rFonts w:ascii="Calibri" w:hAnsi="Calibri"/>
                <w:sz w:val="17"/>
              </w:rPr>
              <w:t>Short professional-network post</w:t>
            </w:r>
          </w:p>
        </w:tc>
        <w:tc>
          <w:tcPr>
            <w:tcW w:type="dxa" w:w="2448"/>
          </w:tcPr>
          <w:p>
            <w:pPr>
              <w:spacing w:after="60"/>
            </w:pPr>
            <w:r>
              <w:rPr>
                <w:rFonts w:ascii="Calibri" w:hAnsi="Calibri"/>
                <w:sz w:val="17"/>
              </w:rPr>
              <w:t>Check role descriptions and claims</w:t>
            </w:r>
          </w:p>
        </w:tc>
      </w:tr>
      <w:tr>
        <w:tc>
          <w:tcPr>
            <w:tcW w:type="dxa" w:w="2448"/>
          </w:tcPr>
          <w:p>
            <w:pPr>
              <w:spacing w:after="60"/>
            </w:pPr>
            <w:r>
              <w:rPr>
                <w:rFonts w:ascii="Calibri" w:hAnsi="Calibri"/>
                <w:sz w:val="17"/>
              </w:rPr>
              <w:t>9</w:t>
            </w:r>
          </w:p>
        </w:tc>
        <w:tc>
          <w:tcPr>
            <w:tcW w:type="dxa" w:w="2448"/>
          </w:tcPr>
          <w:p>
            <w:pPr>
              <w:spacing w:after="60"/>
            </w:pPr>
            <w:r>
              <w:rPr>
                <w:rFonts w:ascii="Calibri" w:hAnsi="Calibri"/>
                <w:sz w:val="17"/>
              </w:rPr>
              <w:t>Pharmacovigilance basics</w:t>
            </w:r>
          </w:p>
        </w:tc>
        <w:tc>
          <w:tcPr>
            <w:tcW w:type="dxa" w:w="2448"/>
          </w:tcPr>
          <w:p>
            <w:pPr>
              <w:spacing w:after="60"/>
            </w:pPr>
            <w:r>
              <w:rPr>
                <w:rFonts w:ascii="Calibri" w:hAnsi="Calibri"/>
                <w:sz w:val="17"/>
              </w:rPr>
              <w:t>Adverse-reaction reporting explainer</w:t>
            </w:r>
          </w:p>
        </w:tc>
        <w:tc>
          <w:tcPr>
            <w:tcW w:type="dxa" w:w="2448"/>
          </w:tcPr>
          <w:p>
            <w:pPr>
              <w:spacing w:after="60"/>
            </w:pPr>
            <w:r>
              <w:rPr>
                <w:rFonts w:ascii="Calibri" w:hAnsi="Calibri"/>
                <w:sz w:val="17"/>
              </w:rPr>
              <w:t>Verify local official reporting route before release</w:t>
            </w:r>
          </w:p>
        </w:tc>
      </w:tr>
      <w:tr>
        <w:tc>
          <w:tcPr>
            <w:tcW w:type="dxa" w:w="2448"/>
          </w:tcPr>
          <w:p>
            <w:pPr>
              <w:spacing w:after="60"/>
            </w:pPr>
            <w:r>
              <w:rPr>
                <w:rFonts w:ascii="Calibri" w:hAnsi="Calibri"/>
                <w:sz w:val="17"/>
              </w:rPr>
              <w:t>10</w:t>
            </w:r>
          </w:p>
        </w:tc>
        <w:tc>
          <w:tcPr>
            <w:tcW w:type="dxa" w:w="2448"/>
          </w:tcPr>
          <w:p>
            <w:pPr>
              <w:spacing w:after="60"/>
            </w:pPr>
            <w:r>
              <w:rPr>
                <w:rFonts w:ascii="Calibri" w:hAnsi="Calibri"/>
                <w:sz w:val="17"/>
              </w:rPr>
              <w:t>Reading a new health headline</w:t>
            </w:r>
          </w:p>
        </w:tc>
        <w:tc>
          <w:tcPr>
            <w:tcW w:type="dxa" w:w="2448"/>
          </w:tcPr>
          <w:p>
            <w:pPr>
              <w:spacing w:after="60"/>
            </w:pPr>
            <w:r>
              <w:rPr>
                <w:rFonts w:ascii="Calibri" w:hAnsi="Calibri"/>
                <w:sz w:val="17"/>
              </w:rPr>
              <w:t>Headline checklist</w:t>
            </w:r>
          </w:p>
        </w:tc>
        <w:tc>
          <w:tcPr>
            <w:tcW w:type="dxa" w:w="2448"/>
          </w:tcPr>
          <w:p>
            <w:pPr>
              <w:spacing w:after="60"/>
            </w:pPr>
            <w:r>
              <w:rPr>
                <w:rFonts w:ascii="Calibri" w:hAnsi="Calibri"/>
                <w:sz w:val="17"/>
              </w:rPr>
              <w:t>Test whether takeaways avoid overstatement</w:t>
            </w:r>
          </w:p>
        </w:tc>
      </w:tr>
      <w:tr>
        <w:tc>
          <w:tcPr>
            <w:tcW w:type="dxa" w:w="2448"/>
          </w:tcPr>
          <w:p>
            <w:pPr>
              <w:spacing w:after="60"/>
            </w:pPr>
            <w:r>
              <w:rPr>
                <w:rFonts w:ascii="Calibri" w:hAnsi="Calibri"/>
                <w:sz w:val="17"/>
              </w:rPr>
              <w:t>11</w:t>
            </w:r>
          </w:p>
        </w:tc>
        <w:tc>
          <w:tcPr>
            <w:tcW w:type="dxa" w:w="2448"/>
          </w:tcPr>
          <w:p>
            <w:pPr>
              <w:spacing w:after="60"/>
            </w:pPr>
            <w:r>
              <w:rPr>
                <w:rFonts w:ascii="Calibri" w:hAnsi="Calibri"/>
                <w:sz w:val="17"/>
              </w:rPr>
              <w:t>AI and health information: benefits and limits</w:t>
            </w:r>
          </w:p>
        </w:tc>
        <w:tc>
          <w:tcPr>
            <w:tcW w:type="dxa" w:w="2448"/>
          </w:tcPr>
          <w:p>
            <w:pPr>
              <w:spacing w:after="60"/>
            </w:pPr>
            <w:r>
              <w:rPr>
                <w:rFonts w:ascii="Calibri" w:hAnsi="Calibri"/>
                <w:sz w:val="17"/>
              </w:rPr>
              <w:t>Responsible-use checklist</w:t>
            </w:r>
          </w:p>
        </w:tc>
        <w:tc>
          <w:tcPr>
            <w:tcW w:type="dxa" w:w="2448"/>
          </w:tcPr>
          <w:p>
            <w:pPr>
              <w:spacing w:after="60"/>
            </w:pPr>
            <w:r>
              <w:rPr>
                <w:rFonts w:ascii="Calibri" w:hAnsi="Calibri"/>
                <w:sz w:val="17"/>
              </w:rPr>
              <w:t>Privacy and AI policy review</w:t>
            </w:r>
          </w:p>
        </w:tc>
      </w:tr>
      <w:tr>
        <w:tc>
          <w:tcPr>
            <w:tcW w:type="dxa" w:w="2448"/>
          </w:tcPr>
          <w:p>
            <w:pPr>
              <w:spacing w:after="60"/>
            </w:pPr>
            <w:r>
              <w:rPr>
                <w:rFonts w:ascii="Calibri" w:hAnsi="Calibri"/>
                <w:sz w:val="17"/>
              </w:rPr>
              <w:t>12</w:t>
            </w:r>
          </w:p>
        </w:tc>
        <w:tc>
          <w:tcPr>
            <w:tcW w:type="dxa" w:w="2448"/>
          </w:tcPr>
          <w:p>
            <w:pPr>
              <w:spacing w:after="60"/>
            </w:pPr>
            <w:r>
              <w:rPr>
                <w:rFonts w:ascii="Calibri" w:hAnsi="Calibri"/>
                <w:sz w:val="17"/>
              </w:rPr>
              <w:t>Pilot review and evergreen resource roundup</w:t>
            </w:r>
          </w:p>
        </w:tc>
        <w:tc>
          <w:tcPr>
            <w:tcW w:type="dxa" w:w="2448"/>
          </w:tcPr>
          <w:p>
            <w:pPr>
              <w:spacing w:after="60"/>
            </w:pPr>
            <w:r>
              <w:rPr>
                <w:rFonts w:ascii="Calibri" w:hAnsi="Calibri"/>
                <w:sz w:val="17"/>
              </w:rPr>
              <w:t>Newsletter / resource page</w:t>
            </w:r>
          </w:p>
        </w:tc>
        <w:tc>
          <w:tcPr>
            <w:tcW w:type="dxa" w:w="2448"/>
          </w:tcPr>
          <w:p>
            <w:pPr>
              <w:spacing w:after="60"/>
            </w:pPr>
            <w:r>
              <w:rPr>
                <w:rFonts w:ascii="Calibri" w:hAnsi="Calibri"/>
                <w:sz w:val="17"/>
              </w:rPr>
              <w:t>Evaluate KPIs and approve next-quarter plan</w:t>
            </w:r>
          </w:p>
        </w:tc>
      </w:tr>
    </w:tbl>
    <w:p>
      <w:r>
        <w:t>For each substantial article, plan approximately five working days: day 1 for brief and research, day 2 for drafting, day 3 for medical review, day 4 for revisions and editorial/accessibility review, and day 5 for approval and scheduling. Short assets can be produced from an approved core article, but should still receive a fact-check. Leave buffer time for reviewer availability, new evidence, and corrections. The team should not promise a fixed publishing frequency if review capacity is insufficient.</w:t>
      </w:r>
    </w:p>
    <w:p>
      <w:pPr>
        <w:pStyle w:val="Heading2"/>
      </w:pPr>
      <w:r>
        <w:t>10.1 Weekly time allocation</w:t>
      </w:r>
    </w:p>
    <w:tbl>
      <w:tblPr>
        <w:tblStyle w:val="LightShading-Accent1"/>
        <w:tblW w:type="auto" w:w="0"/>
        <w:tblLook w:firstColumn="1" w:firstRow="1" w:lastColumn="0" w:lastRow="0" w:noHBand="0" w:noVBand="1" w:val="04A0"/>
      </w:tblPr>
      <w:tblGrid>
        <w:gridCol w:w="3264"/>
        <w:gridCol w:w="3264"/>
        <w:gridCol w:w="3264"/>
      </w:tblGrid>
      <w:tr>
        <w:tc>
          <w:tcPr>
            <w:tcW w:type="dxa" w:w="3264"/>
            <w:shd w:fill="D9EAF7"/>
          </w:tcPr>
          <w:p>
            <w:pPr>
              <w:spacing w:after="60"/>
            </w:pPr>
            <w:r>
              <w:rPr>
                <w:rFonts w:ascii="Calibri" w:hAnsi="Calibri"/>
                <w:sz w:val="17"/>
              </w:rPr>
              <w:t>Task</w:t>
            </w:r>
          </w:p>
        </w:tc>
        <w:tc>
          <w:tcPr>
            <w:tcW w:type="dxa" w:w="3264"/>
            <w:shd w:fill="D9EAF7"/>
          </w:tcPr>
          <w:p>
            <w:pPr>
              <w:spacing w:after="60"/>
            </w:pPr>
            <w:r>
              <w:rPr>
                <w:rFonts w:ascii="Calibri" w:hAnsi="Calibri"/>
                <w:sz w:val="17"/>
              </w:rPr>
              <w:t>Approximate share</w:t>
            </w:r>
          </w:p>
        </w:tc>
        <w:tc>
          <w:tcPr>
            <w:tcW w:type="dxa" w:w="3264"/>
            <w:shd w:fill="D9EAF7"/>
          </w:tcPr>
          <w:p>
            <w:pPr>
              <w:spacing w:after="60"/>
            </w:pPr>
            <w:r>
              <w:rPr>
                <w:rFonts w:ascii="Calibri" w:hAnsi="Calibri"/>
                <w:sz w:val="17"/>
              </w:rPr>
              <w:t>Typical work</w:t>
            </w:r>
          </w:p>
        </w:tc>
      </w:tr>
      <w:tr>
        <w:tc>
          <w:tcPr>
            <w:tcW w:type="dxa" w:w="3264"/>
          </w:tcPr>
          <w:p>
            <w:pPr>
              <w:spacing w:after="60"/>
            </w:pPr>
            <w:r>
              <w:rPr>
                <w:rFonts w:ascii="Calibri" w:hAnsi="Calibri"/>
                <w:sz w:val="17"/>
              </w:rPr>
              <w:t>Audience research and planning</w:t>
            </w:r>
          </w:p>
        </w:tc>
        <w:tc>
          <w:tcPr>
            <w:tcW w:type="dxa" w:w="3264"/>
          </w:tcPr>
          <w:p>
            <w:pPr>
              <w:spacing w:after="60"/>
            </w:pPr>
            <w:r>
              <w:rPr>
                <w:rFonts w:ascii="Calibri" w:hAnsi="Calibri"/>
                <w:sz w:val="17"/>
              </w:rPr>
              <w:t>15%</w:t>
            </w:r>
          </w:p>
        </w:tc>
        <w:tc>
          <w:tcPr>
            <w:tcW w:type="dxa" w:w="3264"/>
          </w:tcPr>
          <w:p>
            <w:pPr>
              <w:spacing w:after="60"/>
            </w:pPr>
            <w:r>
              <w:rPr>
                <w:rFonts w:ascii="Calibri" w:hAnsi="Calibri"/>
                <w:sz w:val="17"/>
              </w:rPr>
              <w:t>Questions, brief, prioritisation</w:t>
            </w:r>
          </w:p>
        </w:tc>
      </w:tr>
      <w:tr>
        <w:tc>
          <w:tcPr>
            <w:tcW w:type="dxa" w:w="3264"/>
          </w:tcPr>
          <w:p>
            <w:pPr>
              <w:spacing w:after="60"/>
            </w:pPr>
            <w:r>
              <w:rPr>
                <w:rFonts w:ascii="Calibri" w:hAnsi="Calibri"/>
                <w:sz w:val="17"/>
              </w:rPr>
              <w:t>Evidence search and appraisal</w:t>
            </w:r>
          </w:p>
        </w:tc>
        <w:tc>
          <w:tcPr>
            <w:tcW w:type="dxa" w:w="3264"/>
          </w:tcPr>
          <w:p>
            <w:pPr>
              <w:spacing w:after="60"/>
            </w:pPr>
            <w:r>
              <w:rPr>
                <w:rFonts w:ascii="Calibri" w:hAnsi="Calibri"/>
                <w:sz w:val="17"/>
              </w:rPr>
              <w:t>25%</w:t>
            </w:r>
          </w:p>
        </w:tc>
        <w:tc>
          <w:tcPr>
            <w:tcW w:type="dxa" w:w="3264"/>
          </w:tcPr>
          <w:p>
            <w:pPr>
              <w:spacing w:after="60"/>
            </w:pPr>
            <w:r>
              <w:rPr>
                <w:rFonts w:ascii="Calibri" w:hAnsi="Calibri"/>
                <w:sz w:val="17"/>
              </w:rPr>
              <w:t>Source selection, claim log, statistics</w:t>
            </w:r>
          </w:p>
        </w:tc>
      </w:tr>
      <w:tr>
        <w:tc>
          <w:tcPr>
            <w:tcW w:type="dxa" w:w="3264"/>
          </w:tcPr>
          <w:p>
            <w:pPr>
              <w:spacing w:after="60"/>
            </w:pPr>
            <w:r>
              <w:rPr>
                <w:rFonts w:ascii="Calibri" w:hAnsi="Calibri"/>
                <w:sz w:val="17"/>
              </w:rPr>
              <w:t>Writing and content adaptation</w:t>
            </w:r>
          </w:p>
        </w:tc>
        <w:tc>
          <w:tcPr>
            <w:tcW w:type="dxa" w:w="3264"/>
          </w:tcPr>
          <w:p>
            <w:pPr>
              <w:spacing w:after="60"/>
            </w:pPr>
            <w:r>
              <w:rPr>
                <w:rFonts w:ascii="Calibri" w:hAnsi="Calibri"/>
                <w:sz w:val="17"/>
              </w:rPr>
              <w:t>25%</w:t>
            </w:r>
          </w:p>
        </w:tc>
        <w:tc>
          <w:tcPr>
            <w:tcW w:type="dxa" w:w="3264"/>
          </w:tcPr>
          <w:p>
            <w:pPr>
              <w:spacing w:after="60"/>
            </w:pPr>
            <w:r>
              <w:rPr>
                <w:rFonts w:ascii="Calibri" w:hAnsi="Calibri"/>
                <w:sz w:val="17"/>
              </w:rPr>
              <w:t>Draft, FAQ, summary, visual script</w:t>
            </w:r>
          </w:p>
        </w:tc>
      </w:tr>
      <w:tr>
        <w:tc>
          <w:tcPr>
            <w:tcW w:type="dxa" w:w="3264"/>
          </w:tcPr>
          <w:p>
            <w:pPr>
              <w:spacing w:after="60"/>
            </w:pPr>
            <w:r>
              <w:rPr>
                <w:rFonts w:ascii="Calibri" w:hAnsi="Calibri"/>
                <w:sz w:val="17"/>
              </w:rPr>
              <w:t>Review and revision</w:t>
            </w:r>
          </w:p>
        </w:tc>
        <w:tc>
          <w:tcPr>
            <w:tcW w:type="dxa" w:w="3264"/>
          </w:tcPr>
          <w:p>
            <w:pPr>
              <w:spacing w:after="60"/>
            </w:pPr>
            <w:r>
              <w:rPr>
                <w:rFonts w:ascii="Calibri" w:hAnsi="Calibri"/>
                <w:sz w:val="17"/>
              </w:rPr>
              <w:t>20%</w:t>
            </w:r>
          </w:p>
        </w:tc>
        <w:tc>
          <w:tcPr>
            <w:tcW w:type="dxa" w:w="3264"/>
          </w:tcPr>
          <w:p>
            <w:pPr>
              <w:spacing w:after="60"/>
            </w:pPr>
            <w:r>
              <w:rPr>
                <w:rFonts w:ascii="Calibri" w:hAnsi="Calibri"/>
                <w:sz w:val="17"/>
              </w:rPr>
              <w:t>Medical and editorial checks</w:t>
            </w:r>
          </w:p>
        </w:tc>
      </w:tr>
      <w:tr>
        <w:tc>
          <w:tcPr>
            <w:tcW w:type="dxa" w:w="3264"/>
          </w:tcPr>
          <w:p>
            <w:pPr>
              <w:spacing w:after="60"/>
            </w:pPr>
            <w:r>
              <w:rPr>
                <w:rFonts w:ascii="Calibri" w:hAnsi="Calibri"/>
                <w:sz w:val="17"/>
              </w:rPr>
              <w:t>Publishing and measurement</w:t>
            </w:r>
          </w:p>
        </w:tc>
        <w:tc>
          <w:tcPr>
            <w:tcW w:type="dxa" w:w="3264"/>
          </w:tcPr>
          <w:p>
            <w:pPr>
              <w:spacing w:after="60"/>
            </w:pPr>
            <w:r>
              <w:rPr>
                <w:rFonts w:ascii="Calibri" w:hAnsi="Calibri"/>
                <w:sz w:val="17"/>
              </w:rPr>
              <w:t>10%</w:t>
            </w:r>
          </w:p>
        </w:tc>
        <w:tc>
          <w:tcPr>
            <w:tcW w:type="dxa" w:w="3264"/>
          </w:tcPr>
          <w:p>
            <w:pPr>
              <w:spacing w:after="60"/>
            </w:pPr>
            <w:r>
              <w:rPr>
                <w:rFonts w:ascii="Calibri" w:hAnsi="Calibri"/>
                <w:sz w:val="17"/>
              </w:rPr>
              <w:t>Metadata, distribution, analytics</w:t>
            </w:r>
          </w:p>
        </w:tc>
      </w:tr>
      <w:tr>
        <w:tc>
          <w:tcPr>
            <w:tcW w:type="dxa" w:w="3264"/>
          </w:tcPr>
          <w:p>
            <w:pPr>
              <w:spacing w:after="60"/>
            </w:pPr>
            <w:r>
              <w:rPr>
                <w:rFonts w:ascii="Calibri" w:hAnsi="Calibri"/>
                <w:sz w:val="17"/>
              </w:rPr>
              <w:t>Contingency / updates</w:t>
            </w:r>
          </w:p>
        </w:tc>
        <w:tc>
          <w:tcPr>
            <w:tcW w:type="dxa" w:w="3264"/>
          </w:tcPr>
          <w:p>
            <w:pPr>
              <w:spacing w:after="60"/>
            </w:pPr>
            <w:r>
              <w:rPr>
                <w:rFonts w:ascii="Calibri" w:hAnsi="Calibri"/>
                <w:sz w:val="17"/>
              </w:rPr>
              <w:t>5%</w:t>
            </w:r>
          </w:p>
        </w:tc>
        <w:tc>
          <w:tcPr>
            <w:tcW w:type="dxa" w:w="3264"/>
          </w:tcPr>
          <w:p>
            <w:pPr>
              <w:spacing w:after="60"/>
            </w:pPr>
            <w:r>
              <w:rPr>
                <w:rFonts w:ascii="Calibri" w:hAnsi="Calibri"/>
                <w:sz w:val="17"/>
              </w:rPr>
              <w:t>Corrections and emerging guidance</w:t>
            </w:r>
          </w:p>
        </w:tc>
      </w:tr>
    </w:tbl>
    <w:p>
      <w:pPr>
        <w:pStyle w:val="Heading1"/>
        <w:pageBreakBefore/>
      </w:pPr>
      <w:r>
        <w:t>11. Accessibility, Language, and Engagement</w:t>
      </w:r>
    </w:p>
    <w:p>
      <w:r>
        <w:t>Accessible medical content supports readers with different literacy levels, languages, disabilities, and devices. Use descriptive headings, short paragraphs, lists for sequential actions, and tables only when they improve comparison. Define abbreviations at first use and avoid unexplained jargon. Use inclusive, non-stigmatising language, especially when discussing weight, mental health, disability, substance use, or chronic illness. Avoid blaming people for health outcomes that may be shaped by access, income, environment, or other social factors.</w:t>
      </w:r>
    </w:p>
    <w:p>
      <w:r>
        <w:t>Translation and localisation require more than word-for-word conversion. A translated version should preserve clinical meaning, adapt examples to the intended setting, and be reviewed by a competent speaker with relevant subject knowledge. Do not assume that every reader can access an online video or a high-resolution graphic; provide a text alternative where practical. Colour should not be the only way to communicate meaning, and images should not reinforce stereotypes or imply that one appearance represents everyone with a condition.</w:t>
      </w:r>
    </w:p>
    <w:p>
      <w:r>
        <w:t>Engagement should be respectful and purposeful. Invite questions that reveal information needs, but do not ask readers to share diagnoses, medicine lists, or identifiable details in public comments. Use reader feedback to improve future content, not to make unsupported claims more appealing. Headlines should accurately reflect the main result and should not imply a cure, guarantee, or dramatic danger unless the evidence supports that framing. A reader should be able to identify the source, publication date, intended audience, and limitations without searching extensively.</w:t>
      </w:r>
    </w:p>
    <w:p>
      <w:pPr>
        <w:pStyle w:val="Heading1"/>
        <w:pageBreakBefore/>
      </w:pPr>
      <w:r>
        <w:t>12. Measurement and Evaluation</w:t>
      </w:r>
    </w:p>
    <w:p>
      <w:r>
        <w:t>Measurement should combine output, quality, audience experience, and impact. Reach alone is insufficient: a sensational but inaccurate post may receive many views while damaging trust. Establish a baseline during the first two weeks and compare later results against that baseline, taking account of topic, channel, and distribution changes.</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shd w:fill="D9EAF7"/>
          </w:tcPr>
          <w:p>
            <w:pPr>
              <w:spacing w:after="60"/>
            </w:pPr>
            <w:r>
              <w:rPr>
                <w:rFonts w:ascii="Calibri" w:hAnsi="Calibri"/>
                <w:sz w:val="17"/>
              </w:rPr>
              <w:t>Dimension</w:t>
            </w:r>
          </w:p>
        </w:tc>
        <w:tc>
          <w:tcPr>
            <w:tcW w:type="dxa" w:w="2448"/>
            <w:shd w:fill="D9EAF7"/>
          </w:tcPr>
          <w:p>
            <w:pPr>
              <w:spacing w:after="60"/>
            </w:pPr>
            <w:r>
              <w:rPr>
                <w:rFonts w:ascii="Calibri" w:hAnsi="Calibri"/>
                <w:sz w:val="17"/>
              </w:rPr>
              <w:t>Indicator</w:t>
            </w:r>
          </w:p>
        </w:tc>
        <w:tc>
          <w:tcPr>
            <w:tcW w:type="dxa" w:w="2448"/>
            <w:shd w:fill="D9EAF7"/>
          </w:tcPr>
          <w:p>
            <w:pPr>
              <w:spacing w:after="60"/>
            </w:pPr>
            <w:r>
              <w:rPr>
                <w:rFonts w:ascii="Calibri" w:hAnsi="Calibri"/>
                <w:sz w:val="17"/>
              </w:rPr>
              <w:t>Method</w:t>
            </w:r>
          </w:p>
        </w:tc>
        <w:tc>
          <w:tcPr>
            <w:tcW w:type="dxa" w:w="2448"/>
            <w:shd w:fill="D9EAF7"/>
          </w:tcPr>
          <w:p>
            <w:pPr>
              <w:spacing w:after="60"/>
            </w:pPr>
            <w:r>
              <w:rPr>
                <w:rFonts w:ascii="Calibri" w:hAnsi="Calibri"/>
                <w:sz w:val="17"/>
              </w:rPr>
              <w:t>Review frequency</w:t>
            </w:r>
          </w:p>
        </w:tc>
      </w:tr>
      <w:tr>
        <w:tc>
          <w:tcPr>
            <w:tcW w:type="dxa" w:w="2448"/>
          </w:tcPr>
          <w:p>
            <w:pPr>
              <w:spacing w:after="60"/>
            </w:pPr>
            <w:r>
              <w:rPr>
                <w:rFonts w:ascii="Calibri" w:hAnsi="Calibri"/>
                <w:sz w:val="17"/>
              </w:rPr>
              <w:t>Output</w:t>
            </w:r>
          </w:p>
        </w:tc>
        <w:tc>
          <w:tcPr>
            <w:tcW w:type="dxa" w:w="2448"/>
          </w:tcPr>
          <w:p>
            <w:pPr>
              <w:spacing w:after="60"/>
            </w:pPr>
            <w:r>
              <w:rPr>
                <w:rFonts w:ascii="Calibri" w:hAnsi="Calibri"/>
                <w:sz w:val="17"/>
              </w:rPr>
              <w:t>Items published versus planned</w:t>
            </w:r>
          </w:p>
        </w:tc>
        <w:tc>
          <w:tcPr>
            <w:tcW w:type="dxa" w:w="2448"/>
          </w:tcPr>
          <w:p>
            <w:pPr>
              <w:spacing w:after="60"/>
            </w:pPr>
            <w:r>
              <w:rPr>
                <w:rFonts w:ascii="Calibri" w:hAnsi="Calibri"/>
                <w:sz w:val="17"/>
              </w:rPr>
              <w:t>Editorial calendar</w:t>
            </w:r>
          </w:p>
        </w:tc>
        <w:tc>
          <w:tcPr>
            <w:tcW w:type="dxa" w:w="2448"/>
          </w:tcPr>
          <w:p>
            <w:pPr>
              <w:spacing w:after="60"/>
            </w:pPr>
            <w:r>
              <w:rPr>
                <w:rFonts w:ascii="Calibri" w:hAnsi="Calibri"/>
                <w:sz w:val="17"/>
              </w:rPr>
              <w:t>Weekly</w:t>
            </w:r>
          </w:p>
        </w:tc>
      </w:tr>
      <w:tr>
        <w:tc>
          <w:tcPr>
            <w:tcW w:type="dxa" w:w="2448"/>
          </w:tcPr>
          <w:p>
            <w:pPr>
              <w:spacing w:after="60"/>
            </w:pPr>
            <w:r>
              <w:rPr>
                <w:rFonts w:ascii="Calibri" w:hAnsi="Calibri"/>
                <w:sz w:val="17"/>
              </w:rPr>
              <w:t>Evidence quality</w:t>
            </w:r>
          </w:p>
        </w:tc>
        <w:tc>
          <w:tcPr>
            <w:tcW w:type="dxa" w:w="2448"/>
          </w:tcPr>
          <w:p>
            <w:pPr>
              <w:spacing w:after="60"/>
            </w:pPr>
            <w:r>
              <w:rPr>
                <w:rFonts w:ascii="Calibri" w:hAnsi="Calibri"/>
                <w:sz w:val="17"/>
              </w:rPr>
              <w:t>Claims with logged sources; review completion</w:t>
            </w:r>
          </w:p>
        </w:tc>
        <w:tc>
          <w:tcPr>
            <w:tcW w:type="dxa" w:w="2448"/>
          </w:tcPr>
          <w:p>
            <w:pPr>
              <w:spacing w:after="60"/>
            </w:pPr>
            <w:r>
              <w:rPr>
                <w:rFonts w:ascii="Calibri" w:hAnsi="Calibri"/>
                <w:sz w:val="17"/>
              </w:rPr>
              <w:t>Evidence log and sign-off checklist</w:t>
            </w:r>
          </w:p>
        </w:tc>
        <w:tc>
          <w:tcPr>
            <w:tcW w:type="dxa" w:w="2448"/>
          </w:tcPr>
          <w:p>
            <w:pPr>
              <w:spacing w:after="60"/>
            </w:pPr>
            <w:r>
              <w:rPr>
                <w:rFonts w:ascii="Calibri" w:hAnsi="Calibri"/>
                <w:sz w:val="17"/>
              </w:rPr>
              <w:t>Every item</w:t>
            </w:r>
          </w:p>
        </w:tc>
      </w:tr>
      <w:tr>
        <w:tc>
          <w:tcPr>
            <w:tcW w:type="dxa" w:w="2448"/>
          </w:tcPr>
          <w:p>
            <w:pPr>
              <w:spacing w:after="60"/>
            </w:pPr>
            <w:r>
              <w:rPr>
                <w:rFonts w:ascii="Calibri" w:hAnsi="Calibri"/>
                <w:sz w:val="17"/>
              </w:rPr>
              <w:t>Accuracy</w:t>
            </w:r>
          </w:p>
        </w:tc>
        <w:tc>
          <w:tcPr>
            <w:tcW w:type="dxa" w:w="2448"/>
          </w:tcPr>
          <w:p>
            <w:pPr>
              <w:spacing w:after="60"/>
            </w:pPr>
            <w:r>
              <w:rPr>
                <w:rFonts w:ascii="Calibri" w:hAnsi="Calibri"/>
                <w:sz w:val="17"/>
              </w:rPr>
              <w:t>Substantive corrections and near-misses</w:t>
            </w:r>
          </w:p>
        </w:tc>
        <w:tc>
          <w:tcPr>
            <w:tcW w:type="dxa" w:w="2448"/>
          </w:tcPr>
          <w:p>
            <w:pPr>
              <w:spacing w:after="60"/>
            </w:pPr>
            <w:r>
              <w:rPr>
                <w:rFonts w:ascii="Calibri" w:hAnsi="Calibri"/>
                <w:sz w:val="17"/>
              </w:rPr>
              <w:t>Correction register</w:t>
            </w:r>
          </w:p>
        </w:tc>
        <w:tc>
          <w:tcPr>
            <w:tcW w:type="dxa" w:w="2448"/>
          </w:tcPr>
          <w:p>
            <w:pPr>
              <w:spacing w:after="60"/>
            </w:pPr>
            <w:r>
              <w:rPr>
                <w:rFonts w:ascii="Calibri" w:hAnsi="Calibri"/>
                <w:sz w:val="17"/>
              </w:rPr>
              <w:t>Monthly</w:t>
            </w:r>
          </w:p>
        </w:tc>
      </w:tr>
      <w:tr>
        <w:tc>
          <w:tcPr>
            <w:tcW w:type="dxa" w:w="2448"/>
          </w:tcPr>
          <w:p>
            <w:pPr>
              <w:spacing w:after="60"/>
            </w:pPr>
            <w:r>
              <w:rPr>
                <w:rFonts w:ascii="Calibri" w:hAnsi="Calibri"/>
                <w:sz w:val="17"/>
              </w:rPr>
              <w:t>Comprehension</w:t>
            </w:r>
          </w:p>
        </w:tc>
        <w:tc>
          <w:tcPr>
            <w:tcW w:type="dxa" w:w="2448"/>
          </w:tcPr>
          <w:p>
            <w:pPr>
              <w:spacing w:after="60"/>
            </w:pPr>
            <w:r>
              <w:rPr>
                <w:rFonts w:ascii="Calibri" w:hAnsi="Calibri"/>
                <w:sz w:val="17"/>
              </w:rPr>
              <w:t>Correct answers to 3–5 key-message questions</w:t>
            </w:r>
          </w:p>
        </w:tc>
        <w:tc>
          <w:tcPr>
            <w:tcW w:type="dxa" w:w="2448"/>
          </w:tcPr>
          <w:p>
            <w:pPr>
              <w:spacing w:after="60"/>
            </w:pPr>
            <w:r>
              <w:rPr>
                <w:rFonts w:ascii="Calibri" w:hAnsi="Calibri"/>
                <w:sz w:val="17"/>
              </w:rPr>
              <w:t>Short reader test or survey</w:t>
            </w:r>
          </w:p>
        </w:tc>
        <w:tc>
          <w:tcPr>
            <w:tcW w:type="dxa" w:w="2448"/>
          </w:tcPr>
          <w:p>
            <w:pPr>
              <w:spacing w:after="60"/>
            </w:pPr>
            <w:r>
              <w:rPr>
                <w:rFonts w:ascii="Calibri" w:hAnsi="Calibri"/>
                <w:sz w:val="17"/>
              </w:rPr>
              <w:t>Per major resource</w:t>
            </w:r>
          </w:p>
        </w:tc>
      </w:tr>
      <w:tr>
        <w:tc>
          <w:tcPr>
            <w:tcW w:type="dxa" w:w="2448"/>
          </w:tcPr>
          <w:p>
            <w:pPr>
              <w:spacing w:after="60"/>
            </w:pPr>
            <w:r>
              <w:rPr>
                <w:rFonts w:ascii="Calibri" w:hAnsi="Calibri"/>
                <w:sz w:val="17"/>
              </w:rPr>
              <w:t>Readability / accessibility</w:t>
            </w:r>
          </w:p>
        </w:tc>
        <w:tc>
          <w:tcPr>
            <w:tcW w:type="dxa" w:w="2448"/>
          </w:tcPr>
          <w:p>
            <w:pPr>
              <w:spacing w:after="60"/>
            </w:pPr>
            <w:r>
              <w:rPr>
                <w:rFonts w:ascii="Calibri" w:hAnsi="Calibri"/>
                <w:sz w:val="17"/>
              </w:rPr>
              <w:t>Checklist completion and user feedback</w:t>
            </w:r>
          </w:p>
        </w:tc>
        <w:tc>
          <w:tcPr>
            <w:tcW w:type="dxa" w:w="2448"/>
          </w:tcPr>
          <w:p>
            <w:pPr>
              <w:spacing w:after="60"/>
            </w:pPr>
            <w:r>
              <w:rPr>
                <w:rFonts w:ascii="Calibri" w:hAnsi="Calibri"/>
                <w:sz w:val="17"/>
              </w:rPr>
              <w:t>Editorial audit and accessibility checks</w:t>
            </w:r>
          </w:p>
        </w:tc>
        <w:tc>
          <w:tcPr>
            <w:tcW w:type="dxa" w:w="2448"/>
          </w:tcPr>
          <w:p>
            <w:pPr>
              <w:spacing w:after="60"/>
            </w:pPr>
            <w:r>
              <w:rPr>
                <w:rFonts w:ascii="Calibri" w:hAnsi="Calibri"/>
                <w:sz w:val="17"/>
              </w:rPr>
              <w:t>Every item</w:t>
            </w:r>
          </w:p>
        </w:tc>
      </w:tr>
      <w:tr>
        <w:tc>
          <w:tcPr>
            <w:tcW w:type="dxa" w:w="2448"/>
          </w:tcPr>
          <w:p>
            <w:pPr>
              <w:spacing w:after="60"/>
            </w:pPr>
            <w:r>
              <w:rPr>
                <w:rFonts w:ascii="Calibri" w:hAnsi="Calibri"/>
                <w:sz w:val="17"/>
              </w:rPr>
              <w:t>Engagement</w:t>
            </w:r>
          </w:p>
        </w:tc>
        <w:tc>
          <w:tcPr>
            <w:tcW w:type="dxa" w:w="2448"/>
          </w:tcPr>
          <w:p>
            <w:pPr>
              <w:spacing w:after="60"/>
            </w:pPr>
            <w:r>
              <w:rPr>
                <w:rFonts w:ascii="Calibri" w:hAnsi="Calibri"/>
                <w:sz w:val="17"/>
              </w:rPr>
              <w:t>Qualified clicks, saves, useful questions, time on page</w:t>
            </w:r>
          </w:p>
        </w:tc>
        <w:tc>
          <w:tcPr>
            <w:tcW w:type="dxa" w:w="2448"/>
          </w:tcPr>
          <w:p>
            <w:pPr>
              <w:spacing w:after="60"/>
            </w:pPr>
            <w:r>
              <w:rPr>
                <w:rFonts w:ascii="Calibri" w:hAnsi="Calibri"/>
                <w:sz w:val="17"/>
              </w:rPr>
              <w:t>Channel analytics</w:t>
            </w:r>
          </w:p>
        </w:tc>
        <w:tc>
          <w:tcPr>
            <w:tcW w:type="dxa" w:w="2448"/>
          </w:tcPr>
          <w:p>
            <w:pPr>
              <w:spacing w:after="60"/>
            </w:pPr>
            <w:r>
              <w:rPr>
                <w:rFonts w:ascii="Calibri" w:hAnsi="Calibri"/>
                <w:sz w:val="17"/>
              </w:rPr>
              <w:t>Monthly</w:t>
            </w:r>
          </w:p>
        </w:tc>
      </w:tr>
      <w:tr>
        <w:tc>
          <w:tcPr>
            <w:tcW w:type="dxa" w:w="2448"/>
          </w:tcPr>
          <w:p>
            <w:pPr>
              <w:spacing w:after="60"/>
            </w:pPr>
            <w:r>
              <w:rPr>
                <w:rFonts w:ascii="Calibri" w:hAnsi="Calibri"/>
                <w:sz w:val="17"/>
              </w:rPr>
              <w:t>Trust</w:t>
            </w:r>
          </w:p>
        </w:tc>
        <w:tc>
          <w:tcPr>
            <w:tcW w:type="dxa" w:w="2448"/>
          </w:tcPr>
          <w:p>
            <w:pPr>
              <w:spacing w:after="60"/>
            </w:pPr>
            <w:r>
              <w:rPr>
                <w:rFonts w:ascii="Calibri" w:hAnsi="Calibri"/>
                <w:sz w:val="17"/>
              </w:rPr>
              <w:t>Reader-reported clarity and source confidence</w:t>
            </w:r>
          </w:p>
        </w:tc>
        <w:tc>
          <w:tcPr>
            <w:tcW w:type="dxa" w:w="2448"/>
          </w:tcPr>
          <w:p>
            <w:pPr>
              <w:spacing w:after="60"/>
            </w:pPr>
            <w:r>
              <w:rPr>
                <w:rFonts w:ascii="Calibri" w:hAnsi="Calibri"/>
                <w:sz w:val="17"/>
              </w:rPr>
              <w:t>Brief survey or interviews</w:t>
            </w:r>
          </w:p>
        </w:tc>
        <w:tc>
          <w:tcPr>
            <w:tcW w:type="dxa" w:w="2448"/>
          </w:tcPr>
          <w:p>
            <w:pPr>
              <w:spacing w:after="60"/>
            </w:pPr>
            <w:r>
              <w:rPr>
                <w:rFonts w:ascii="Calibri" w:hAnsi="Calibri"/>
                <w:sz w:val="17"/>
              </w:rPr>
              <w:t>Quarterly</w:t>
            </w:r>
          </w:p>
        </w:tc>
      </w:tr>
      <w:tr>
        <w:tc>
          <w:tcPr>
            <w:tcW w:type="dxa" w:w="2448"/>
          </w:tcPr>
          <w:p>
            <w:pPr>
              <w:spacing w:after="60"/>
            </w:pPr>
            <w:r>
              <w:rPr>
                <w:rFonts w:ascii="Calibri" w:hAnsi="Calibri"/>
                <w:sz w:val="17"/>
              </w:rPr>
              <w:t>Maintenance</w:t>
            </w:r>
          </w:p>
        </w:tc>
        <w:tc>
          <w:tcPr>
            <w:tcW w:type="dxa" w:w="2448"/>
          </w:tcPr>
          <w:p>
            <w:pPr>
              <w:spacing w:after="60"/>
            </w:pPr>
            <w:r>
              <w:rPr>
                <w:rFonts w:ascii="Calibri" w:hAnsi="Calibri"/>
                <w:sz w:val="17"/>
              </w:rPr>
              <w:t>Items reviewed by due date</w:t>
            </w:r>
          </w:p>
        </w:tc>
        <w:tc>
          <w:tcPr>
            <w:tcW w:type="dxa" w:w="2448"/>
          </w:tcPr>
          <w:p>
            <w:pPr>
              <w:spacing w:after="60"/>
            </w:pPr>
            <w:r>
              <w:rPr>
                <w:rFonts w:ascii="Calibri" w:hAnsi="Calibri"/>
                <w:sz w:val="17"/>
              </w:rPr>
              <w:t>Content inventory</w:t>
            </w:r>
          </w:p>
        </w:tc>
        <w:tc>
          <w:tcPr>
            <w:tcW w:type="dxa" w:w="2448"/>
          </w:tcPr>
          <w:p>
            <w:pPr>
              <w:spacing w:after="60"/>
            </w:pPr>
            <w:r>
              <w:rPr>
                <w:rFonts w:ascii="Calibri" w:hAnsi="Calibri"/>
                <w:sz w:val="17"/>
              </w:rPr>
              <w:t>Monthly</w:t>
            </w:r>
          </w:p>
        </w:tc>
      </w:tr>
    </w:tbl>
    <w:p>
      <w:r>
        <w:t>Targets must be interpreted carefully. High click-through rates may indicate that a headline is useful, but they do not prove comprehension. Longer time on page may indicate interest or confusion. Low engagement can reflect poor distribution rather than poor content. Pair quantitative measures with qualitative feedback and inspect differences between audience groups when the sample size allows. Do not collect more personal data than needed, and protect survey responses appropriately.</w:t>
      </w:r>
    </w:p>
    <w:p>
      <w:r>
        <w:t>A monthly review meeting should answer five questions: What did we publish? Was the evidence and review process followed? What did readers understand or misunderstand? Which topics and formats served the audience best? What should be updated, stopped, or tested next? Decisions and owners should be recorded so that evaluation leads to improvement rather than becoming a reporting exercise.</w:t>
      </w:r>
    </w:p>
    <w:p>
      <w:pPr>
        <w:pStyle w:val="Heading1"/>
        <w:pageBreakBefore/>
      </w:pPr>
      <w:r>
        <w:t>13. Risks, Challenges, and Mitigation</w:t>
      </w:r>
    </w:p>
    <w:tbl>
      <w:tblPr>
        <w:tblStyle w:val="LightShading-Accent1"/>
        <w:tblW w:type="auto" w:w="0"/>
        <w:tblLook w:firstColumn="1" w:firstRow="1" w:lastColumn="0" w:lastRow="0" w:noHBand="0" w:noVBand="1" w:val="04A0"/>
      </w:tblPr>
      <w:tblGrid>
        <w:gridCol w:w="3264"/>
        <w:gridCol w:w="3264"/>
        <w:gridCol w:w="3264"/>
      </w:tblGrid>
      <w:tr>
        <w:tc>
          <w:tcPr>
            <w:tcW w:type="dxa" w:w="3264"/>
            <w:shd w:fill="D9EAF7"/>
          </w:tcPr>
          <w:p>
            <w:pPr>
              <w:spacing w:after="60"/>
            </w:pPr>
            <w:r>
              <w:rPr>
                <w:rFonts w:ascii="Calibri" w:hAnsi="Calibri"/>
                <w:sz w:val="17"/>
              </w:rPr>
              <w:t>Risk</w:t>
            </w:r>
          </w:p>
        </w:tc>
        <w:tc>
          <w:tcPr>
            <w:tcW w:type="dxa" w:w="3264"/>
            <w:shd w:fill="D9EAF7"/>
          </w:tcPr>
          <w:p>
            <w:pPr>
              <w:spacing w:after="60"/>
            </w:pPr>
            <w:r>
              <w:rPr>
                <w:rFonts w:ascii="Calibri" w:hAnsi="Calibri"/>
                <w:sz w:val="17"/>
              </w:rPr>
              <w:t>Potential effect</w:t>
            </w:r>
          </w:p>
        </w:tc>
        <w:tc>
          <w:tcPr>
            <w:tcW w:type="dxa" w:w="3264"/>
            <w:shd w:fill="D9EAF7"/>
          </w:tcPr>
          <w:p>
            <w:pPr>
              <w:spacing w:after="60"/>
            </w:pPr>
            <w:r>
              <w:rPr>
                <w:rFonts w:ascii="Calibri" w:hAnsi="Calibri"/>
                <w:sz w:val="17"/>
              </w:rPr>
              <w:t>Mitigation</w:t>
            </w:r>
          </w:p>
        </w:tc>
      </w:tr>
      <w:tr>
        <w:tc>
          <w:tcPr>
            <w:tcW w:type="dxa" w:w="3264"/>
          </w:tcPr>
          <w:p>
            <w:pPr>
              <w:spacing w:after="60"/>
            </w:pPr>
            <w:r>
              <w:rPr>
                <w:rFonts w:ascii="Calibri" w:hAnsi="Calibri"/>
                <w:sz w:val="17"/>
              </w:rPr>
              <w:t>Outdated guidance</w:t>
            </w:r>
          </w:p>
        </w:tc>
        <w:tc>
          <w:tcPr>
            <w:tcW w:type="dxa" w:w="3264"/>
          </w:tcPr>
          <w:p>
            <w:pPr>
              <w:spacing w:after="60"/>
            </w:pPr>
            <w:r>
              <w:rPr>
                <w:rFonts w:ascii="Calibri" w:hAnsi="Calibri"/>
                <w:sz w:val="17"/>
              </w:rPr>
              <w:t>Readers receive advice that no longer reflects current recommendations</w:t>
            </w:r>
          </w:p>
        </w:tc>
        <w:tc>
          <w:tcPr>
            <w:tcW w:type="dxa" w:w="3264"/>
          </w:tcPr>
          <w:p>
            <w:pPr>
              <w:spacing w:after="60"/>
            </w:pPr>
            <w:r>
              <w:rPr>
                <w:rFonts w:ascii="Calibri" w:hAnsi="Calibri"/>
                <w:sz w:val="17"/>
              </w:rPr>
              <w:t>Record dates, set review intervals, monitor key sources, update promptly</w:t>
            </w:r>
          </w:p>
        </w:tc>
      </w:tr>
      <w:tr>
        <w:tc>
          <w:tcPr>
            <w:tcW w:type="dxa" w:w="3264"/>
          </w:tcPr>
          <w:p>
            <w:pPr>
              <w:spacing w:after="60"/>
            </w:pPr>
            <w:r>
              <w:rPr>
                <w:rFonts w:ascii="Calibri" w:hAnsi="Calibri"/>
                <w:sz w:val="17"/>
              </w:rPr>
              <w:t>Misinterpretation of research</w:t>
            </w:r>
          </w:p>
        </w:tc>
        <w:tc>
          <w:tcPr>
            <w:tcW w:type="dxa" w:w="3264"/>
          </w:tcPr>
          <w:p>
            <w:pPr>
              <w:spacing w:after="60"/>
            </w:pPr>
            <w:r>
              <w:rPr>
                <w:rFonts w:ascii="Calibri" w:hAnsi="Calibri"/>
                <w:sz w:val="17"/>
              </w:rPr>
              <w:t>Correlation is presented as causation or early evidence as definitive</w:t>
            </w:r>
          </w:p>
        </w:tc>
        <w:tc>
          <w:tcPr>
            <w:tcW w:type="dxa" w:w="3264"/>
          </w:tcPr>
          <w:p>
            <w:pPr>
              <w:spacing w:after="60"/>
            </w:pPr>
            <w:r>
              <w:rPr>
                <w:rFonts w:ascii="Calibri" w:hAnsi="Calibri"/>
                <w:sz w:val="17"/>
              </w:rPr>
              <w:t>Use original sources, identify study design, include limitations and reviewer checks</w:t>
            </w:r>
          </w:p>
        </w:tc>
      </w:tr>
      <w:tr>
        <w:tc>
          <w:tcPr>
            <w:tcW w:type="dxa" w:w="3264"/>
          </w:tcPr>
          <w:p>
            <w:pPr>
              <w:spacing w:after="60"/>
            </w:pPr>
            <w:r>
              <w:rPr>
                <w:rFonts w:ascii="Calibri" w:hAnsi="Calibri"/>
                <w:sz w:val="17"/>
              </w:rPr>
              <w:t>AI hallucination or fabricated references</w:t>
            </w:r>
          </w:p>
        </w:tc>
        <w:tc>
          <w:tcPr>
            <w:tcW w:type="dxa" w:w="3264"/>
          </w:tcPr>
          <w:p>
            <w:pPr>
              <w:spacing w:after="60"/>
            </w:pPr>
            <w:r>
              <w:rPr>
                <w:rFonts w:ascii="Calibri" w:hAnsi="Calibri"/>
                <w:sz w:val="17"/>
              </w:rPr>
              <w:t>False claims enter published material</w:t>
            </w:r>
          </w:p>
        </w:tc>
        <w:tc>
          <w:tcPr>
            <w:tcW w:type="dxa" w:w="3264"/>
          </w:tcPr>
          <w:p>
            <w:pPr>
              <w:spacing w:after="60"/>
            </w:pPr>
            <w:r>
              <w:rPr>
                <w:rFonts w:ascii="Calibri" w:hAnsi="Calibri"/>
                <w:sz w:val="17"/>
              </w:rPr>
              <w:t>Verify every citation and claim against original sources; never trust generated references alone</w:t>
            </w:r>
          </w:p>
        </w:tc>
      </w:tr>
      <w:tr>
        <w:tc>
          <w:tcPr>
            <w:tcW w:type="dxa" w:w="3264"/>
          </w:tcPr>
          <w:p>
            <w:pPr>
              <w:spacing w:after="60"/>
            </w:pPr>
            <w:r>
              <w:rPr>
                <w:rFonts w:ascii="Calibri" w:hAnsi="Calibri"/>
                <w:sz w:val="17"/>
              </w:rPr>
              <w:t>Promotional bias or conflict of interest</w:t>
            </w:r>
          </w:p>
        </w:tc>
        <w:tc>
          <w:tcPr>
            <w:tcW w:type="dxa" w:w="3264"/>
          </w:tcPr>
          <w:p>
            <w:pPr>
              <w:spacing w:after="60"/>
            </w:pPr>
            <w:r>
              <w:rPr>
                <w:rFonts w:ascii="Calibri" w:hAnsi="Calibri"/>
                <w:sz w:val="17"/>
              </w:rPr>
              <w:t>Readers mistake marketing for independent education</w:t>
            </w:r>
          </w:p>
        </w:tc>
        <w:tc>
          <w:tcPr>
            <w:tcW w:type="dxa" w:w="3264"/>
          </w:tcPr>
          <w:p>
            <w:pPr>
              <w:spacing w:after="60"/>
            </w:pPr>
            <w:r>
              <w:rPr>
                <w:rFonts w:ascii="Calibri" w:hAnsi="Calibri"/>
                <w:sz w:val="17"/>
              </w:rPr>
              <w:t>Disclose sponsorship and conflicts; separate editorial and commercial decisions</w:t>
            </w:r>
          </w:p>
        </w:tc>
      </w:tr>
      <w:tr>
        <w:tc>
          <w:tcPr>
            <w:tcW w:type="dxa" w:w="3264"/>
          </w:tcPr>
          <w:p>
            <w:pPr>
              <w:spacing w:after="60"/>
            </w:pPr>
            <w:r>
              <w:rPr>
                <w:rFonts w:ascii="Calibri" w:hAnsi="Calibri"/>
                <w:sz w:val="17"/>
              </w:rPr>
              <w:t>Overly technical language</w:t>
            </w:r>
          </w:p>
        </w:tc>
        <w:tc>
          <w:tcPr>
            <w:tcW w:type="dxa" w:w="3264"/>
          </w:tcPr>
          <w:p>
            <w:pPr>
              <w:spacing w:after="60"/>
            </w:pPr>
            <w:r>
              <w:rPr>
                <w:rFonts w:ascii="Calibri" w:hAnsi="Calibri"/>
                <w:sz w:val="17"/>
              </w:rPr>
              <w:t>Readers misunderstand or abandon content</w:t>
            </w:r>
          </w:p>
        </w:tc>
        <w:tc>
          <w:tcPr>
            <w:tcW w:type="dxa" w:w="3264"/>
          </w:tcPr>
          <w:p>
            <w:pPr>
              <w:spacing w:after="60"/>
            </w:pPr>
            <w:r>
              <w:rPr>
                <w:rFonts w:ascii="Calibri" w:hAnsi="Calibri"/>
                <w:sz w:val="17"/>
              </w:rPr>
              <w:t>Use plain language, define terms, test with representative readers</w:t>
            </w:r>
          </w:p>
        </w:tc>
      </w:tr>
      <w:tr>
        <w:tc>
          <w:tcPr>
            <w:tcW w:type="dxa" w:w="3264"/>
          </w:tcPr>
          <w:p>
            <w:pPr>
              <w:spacing w:after="60"/>
            </w:pPr>
            <w:r>
              <w:rPr>
                <w:rFonts w:ascii="Calibri" w:hAnsi="Calibri"/>
                <w:sz w:val="17"/>
              </w:rPr>
              <w:t>Misinformation in comments</w:t>
            </w:r>
          </w:p>
        </w:tc>
        <w:tc>
          <w:tcPr>
            <w:tcW w:type="dxa" w:w="3264"/>
          </w:tcPr>
          <w:p>
            <w:pPr>
              <w:spacing w:after="60"/>
            </w:pPr>
            <w:r>
              <w:rPr>
                <w:rFonts w:ascii="Calibri" w:hAnsi="Calibri"/>
                <w:sz w:val="17"/>
              </w:rPr>
              <w:t>Unsafe claims spread through the discussion</w:t>
            </w:r>
          </w:p>
        </w:tc>
        <w:tc>
          <w:tcPr>
            <w:tcW w:type="dxa" w:w="3264"/>
          </w:tcPr>
          <w:p>
            <w:pPr>
              <w:spacing w:after="60"/>
            </w:pPr>
            <w:r>
              <w:rPr>
                <w:rFonts w:ascii="Calibri" w:hAnsi="Calibri"/>
                <w:sz w:val="17"/>
              </w:rPr>
              <w:t>Moderate consistently, correct calmly, link to reliable sources, escalate high-risk cases</w:t>
            </w:r>
          </w:p>
        </w:tc>
      </w:tr>
      <w:tr>
        <w:tc>
          <w:tcPr>
            <w:tcW w:type="dxa" w:w="3264"/>
          </w:tcPr>
          <w:p>
            <w:pPr>
              <w:spacing w:after="60"/>
            </w:pPr>
            <w:r>
              <w:rPr>
                <w:rFonts w:ascii="Calibri" w:hAnsi="Calibri"/>
                <w:sz w:val="17"/>
              </w:rPr>
              <w:t>Privacy breach</w:t>
            </w:r>
          </w:p>
        </w:tc>
        <w:tc>
          <w:tcPr>
            <w:tcW w:type="dxa" w:w="3264"/>
          </w:tcPr>
          <w:p>
            <w:pPr>
              <w:spacing w:after="60"/>
            </w:pPr>
            <w:r>
              <w:rPr>
                <w:rFonts w:ascii="Calibri" w:hAnsi="Calibri"/>
                <w:sz w:val="17"/>
              </w:rPr>
              <w:t>Sensitive or identifiable information is exposed</w:t>
            </w:r>
          </w:p>
        </w:tc>
        <w:tc>
          <w:tcPr>
            <w:tcW w:type="dxa" w:w="3264"/>
          </w:tcPr>
          <w:p>
            <w:pPr>
              <w:spacing w:after="60"/>
            </w:pPr>
            <w:r>
              <w:rPr>
                <w:rFonts w:ascii="Calibri" w:hAnsi="Calibri"/>
                <w:sz w:val="17"/>
              </w:rPr>
              <w:t>Use approved tools, minimise data, obtain permissions, control access</w:t>
            </w:r>
          </w:p>
        </w:tc>
      </w:tr>
      <w:tr>
        <w:tc>
          <w:tcPr>
            <w:tcW w:type="dxa" w:w="3264"/>
          </w:tcPr>
          <w:p>
            <w:pPr>
              <w:spacing w:after="60"/>
            </w:pPr>
            <w:r>
              <w:rPr>
                <w:rFonts w:ascii="Calibri" w:hAnsi="Calibri"/>
                <w:sz w:val="17"/>
              </w:rPr>
              <w:t>Insufficient review capacity</w:t>
            </w:r>
          </w:p>
        </w:tc>
        <w:tc>
          <w:tcPr>
            <w:tcW w:type="dxa" w:w="3264"/>
          </w:tcPr>
          <w:p>
            <w:pPr>
              <w:spacing w:after="60"/>
            </w:pPr>
            <w:r>
              <w:rPr>
                <w:rFonts w:ascii="Calibri" w:hAnsi="Calibri"/>
                <w:sz w:val="17"/>
              </w:rPr>
              <w:t>Errors or delays increase</w:t>
            </w:r>
          </w:p>
        </w:tc>
        <w:tc>
          <w:tcPr>
            <w:tcW w:type="dxa" w:w="3264"/>
          </w:tcPr>
          <w:p>
            <w:pPr>
              <w:spacing w:after="60"/>
            </w:pPr>
            <w:r>
              <w:rPr>
                <w:rFonts w:ascii="Calibri" w:hAnsi="Calibri"/>
                <w:sz w:val="17"/>
              </w:rPr>
              <w:t>Limit output, prioritise high-risk items, build buffer time, avoid bypassing review</w:t>
            </w:r>
          </w:p>
        </w:tc>
      </w:tr>
      <w:tr>
        <w:tc>
          <w:tcPr>
            <w:tcW w:type="dxa" w:w="3264"/>
          </w:tcPr>
          <w:p>
            <w:pPr>
              <w:spacing w:after="60"/>
            </w:pPr>
            <w:r>
              <w:rPr>
                <w:rFonts w:ascii="Calibri" w:hAnsi="Calibri"/>
                <w:sz w:val="17"/>
              </w:rPr>
              <w:t>Accessibility barriers</w:t>
            </w:r>
          </w:p>
        </w:tc>
        <w:tc>
          <w:tcPr>
            <w:tcW w:type="dxa" w:w="3264"/>
          </w:tcPr>
          <w:p>
            <w:pPr>
              <w:spacing w:after="60"/>
            </w:pPr>
            <w:r>
              <w:rPr>
                <w:rFonts w:ascii="Calibri" w:hAnsi="Calibri"/>
                <w:sz w:val="17"/>
              </w:rPr>
              <w:t>Some readers cannot use the material</w:t>
            </w:r>
          </w:p>
        </w:tc>
        <w:tc>
          <w:tcPr>
            <w:tcW w:type="dxa" w:w="3264"/>
          </w:tcPr>
          <w:p>
            <w:pPr>
              <w:spacing w:after="60"/>
            </w:pPr>
            <w:r>
              <w:rPr>
                <w:rFonts w:ascii="Calibri" w:hAnsi="Calibri"/>
                <w:sz w:val="17"/>
              </w:rPr>
              <w:t>Provide text alternatives, captions, alt text, readable contrast, mobile-friendly layouts</w:t>
            </w:r>
          </w:p>
        </w:tc>
      </w:tr>
      <w:tr>
        <w:tc>
          <w:tcPr>
            <w:tcW w:type="dxa" w:w="3264"/>
          </w:tcPr>
          <w:p>
            <w:pPr>
              <w:spacing w:after="60"/>
            </w:pPr>
            <w:r>
              <w:rPr>
                <w:rFonts w:ascii="Calibri" w:hAnsi="Calibri"/>
                <w:sz w:val="17"/>
              </w:rPr>
              <w:t>Metrics reward sensational content</w:t>
            </w:r>
          </w:p>
        </w:tc>
        <w:tc>
          <w:tcPr>
            <w:tcW w:type="dxa" w:w="3264"/>
          </w:tcPr>
          <w:p>
            <w:pPr>
              <w:spacing w:after="60"/>
            </w:pPr>
            <w:r>
              <w:rPr>
                <w:rFonts w:ascii="Calibri" w:hAnsi="Calibri"/>
                <w:sz w:val="17"/>
              </w:rPr>
              <w:t>Trust and accuracy are sacrificed for reach</w:t>
            </w:r>
          </w:p>
        </w:tc>
        <w:tc>
          <w:tcPr>
            <w:tcW w:type="dxa" w:w="3264"/>
          </w:tcPr>
          <w:p>
            <w:pPr>
              <w:spacing w:after="60"/>
            </w:pPr>
            <w:r>
              <w:rPr>
                <w:rFonts w:ascii="Calibri" w:hAnsi="Calibri"/>
                <w:sz w:val="17"/>
              </w:rPr>
              <w:t>Use a balanced dashboard with comprehension, quality, and correction measures</w:t>
            </w:r>
          </w:p>
        </w:tc>
      </w:tr>
    </w:tbl>
    <w:p>
      <w:r>
        <w:t>A simple risk rating can be applied at intake: low risk for general, stable definitions; medium risk for interpretation of research or changing guidance; high risk for medicine safety, urgent symptoms, or content likely to influence consequential health decisions. Risk level determines reviewer requirements, publication approval, and update frequency. When uncertainty is high, the correct response is to narrow the claim, explain what is unknown, or delay publication.</w:t>
      </w:r>
    </w:p>
    <w:p>
      <w:pPr>
        <w:pStyle w:val="Heading1"/>
        <w:pageBreakBefore/>
      </w:pPr>
      <w:r>
        <w:t>14. Resources and Implementation Requirements</w:t>
      </w:r>
    </w:p>
    <w:p>
      <w:r>
        <w:t>The pilot can be run by a small team with a modest set of tools. The most important resource is qualified review time, not a large software budget. Recommended resources include a shared editorial calendar, source log, reference manager, version-controlled document storage, readability and accessibility checklists, a correction register, and basic channel analytics. All tools should meet the organisation’s privacy and security requirements.</w:t>
      </w:r>
    </w:p>
    <w:p>
      <w:r>
        <w:t>The minimum team consists of a writer/researcher, a subject-matter reviewer, and an editor or channel lead. If these roles are combined, the team should create an independent check for high-risk material. Training should cover source appraisal, research reporting, plain-language writing, statistics, citation management, accessibility, privacy, publication ethics, and responsible AI use. Useful learning references include the WHO communication principles, CDC plain-language resources, ICMJE recommendations, and current reporting guidelines from the EQUATOR Network.</w:t>
      </w:r>
    </w:p>
    <w:p>
      <w:r>
        <w:t>Before launch, create a short editorial charter that records the purpose, audiences, topic boundaries, tone, source hierarchy, approval process, correction policy, AI rules, privacy safeguards, and disclosure requirements. Create a content inventory and assign an owner and review date to each item. Begin with a small pilot rather than a high-volume publishing commitment. At the end of week 12, review the evidence quality, workflow bottlenecks, audience feedback, and performance metrics before expanding the scope.</w:t>
      </w:r>
    </w:p>
    <w:p>
      <w:pPr>
        <w:pStyle w:val="Heading2"/>
      </w:pPr>
      <w:r>
        <w:t>14.1 Pre-publication checklist</w:t>
      </w:r>
    </w:p>
    <w:p>
      <w:pPr>
        <w:pStyle w:val="ListBullet"/>
      </w:pPr>
      <w:r>
        <w:t>The audience and primary communication objective are stated.</w:t>
      </w:r>
    </w:p>
    <w:p>
      <w:pPr>
        <w:pStyle w:val="ListBullet"/>
      </w:pPr>
      <w:r>
        <w:t>Every medical claim has a source and the source supports the exact wording.</w:t>
      </w:r>
    </w:p>
    <w:p>
      <w:pPr>
        <w:pStyle w:val="ListBullet"/>
      </w:pPr>
      <w:r>
        <w:t>Important limitations, harms, uncertainty, and conflicts are represented fairly.</w:t>
      </w:r>
    </w:p>
    <w:p>
      <w:pPr>
        <w:pStyle w:val="ListBullet"/>
      </w:pPr>
      <w:r>
        <w:t>The text distinguishes education from personal diagnosis or treatment.</w:t>
      </w:r>
    </w:p>
    <w:p>
      <w:pPr>
        <w:pStyle w:val="ListBullet"/>
      </w:pPr>
      <w:r>
        <w:t>The title and visuals do not exaggerate the evidence.</w:t>
      </w:r>
    </w:p>
    <w:p>
      <w:pPr>
        <w:pStyle w:val="ListBullet"/>
      </w:pPr>
      <w:r>
        <w:t>Technical terms are explained and the main message appears early.</w:t>
      </w:r>
    </w:p>
    <w:p>
      <w:pPr>
        <w:pStyle w:val="ListBullet"/>
      </w:pPr>
      <w:r>
        <w:t>References, dates, units, links, and statistics have been checked.</w:t>
      </w:r>
    </w:p>
    <w:p>
      <w:pPr>
        <w:pStyle w:val="ListBullet"/>
      </w:pPr>
      <w:r>
        <w:t>Medical and editorial reviews are complete and recorded.</w:t>
      </w:r>
    </w:p>
    <w:p>
      <w:pPr>
        <w:pStyle w:val="ListBullet"/>
      </w:pPr>
      <w:r>
        <w:t>Accessibility and privacy checks are complete.</w:t>
      </w:r>
    </w:p>
    <w:p>
      <w:pPr>
        <w:pStyle w:val="ListBullet"/>
      </w:pPr>
      <w:r>
        <w:t>Publication date, update owner, and next review date are assigned.</w:t>
      </w:r>
    </w:p>
    <w:p>
      <w:pPr>
        <w:pStyle w:val="Heading1"/>
        <w:pageBreakBefore/>
      </w:pPr>
      <w:r>
        <w:t>15. Conclusion</w:t>
      </w:r>
    </w:p>
    <w:p>
      <w:r>
        <w:t>An effective medical-content strategy is a quality system as much as a publishing plan. It connects audience needs to a clear communication objective, reliable evidence, careful interpretation, appropriate formats, accountable review, and measurable outcomes. The proposed strategy makes those connections explicit. It defines two primary audiences and a secondary learning audience; organises content into five editorial pillars; establishes an evidence log and review workflow; selects channels according to audience needs; and provides a 12-week calendar that can be adjusted to available capacity.</w:t>
      </w:r>
    </w:p>
    <w:p>
      <w:r>
        <w:t>The most important expected outcome is improved understanding without loss of scientific accuracy. For healthcare professionals, this means concise summaries that preserve study design, key findings, and limitations. For the public, it means clear explanations, accessible formats, respectful language, and safe next steps. For students, it means structured learning resources that develop the ability to interpret evidence. The strategy also aims to reduce preventable errors through source verification, documented review, transparent correction procedures, and responsible use of AI.</w:t>
      </w:r>
    </w:p>
    <w:p>
      <w:r>
        <w:t>The plan should be judged not by volume alone, but by whether readers can identify the main message, understand the strength of the evidence, recognise uncertainty, and find an appropriate next step. During the pilot, the team should establish baselines, test materials with representative readers, and use feedback to refine topics and formats. The schedule should remain flexible enough to accommodate new evidence and urgent updates, while maintaining a non-negotiable standard for medical review.</w:t>
      </w:r>
    </w:p>
    <w:p>
      <w:r>
        <w:t>In conclusion, evidence-based medical writing combines scientific discipline with empathy and clear communication. When accuracy, transparency, accessibility, and accountability are built into each stage—from topic selection to maintenance—medical content can support better-informed conversations and help readers navigate an increasingly complex health-information environment. This strategy provides a practical foundation for that work and a repeatable process for improving it over time.</w:t>
      </w:r>
    </w:p>
    <w:p>
      <w:pPr>
        <w:pStyle w:val="Heading1"/>
        <w:pageBreakBefore/>
      </w:pPr>
      <w:r>
        <w:t>References and Useful Resources</w:t>
      </w:r>
    </w:p>
    <w:p>
      <w:pPr>
        <w:pStyle w:val="ListNumber"/>
      </w:pPr>
      <w:r>
        <w:t xml:space="preserve">1. World Health Organization. Principle: Understandable — Use plain language. WHO communication principles. Accessed 22 October 2026. </w:t>
      </w:r>
      <w:r>
        <w:rPr>
          <w:color w:val="0563C1"/>
          <w:u w:val="single"/>
        </w:rPr>
        <w:t>https://www.who.int/about/communications/understandable/plain-language</w:t>
      </w:r>
    </w:p>
    <w:p>
      <w:pPr>
        <w:pStyle w:val="ListNumber"/>
      </w:pPr>
      <w:r>
        <w:t xml:space="preserve">2. World Health Organization. Principles for effective communications. WHO. Accessed 22 October 2026. </w:t>
      </w:r>
      <w:r>
        <w:rPr>
          <w:color w:val="0563C1"/>
          <w:u w:val="single"/>
        </w:rPr>
        <w:t>https://www.who.int/about/communications/principles</w:t>
      </w:r>
    </w:p>
    <w:p>
      <w:pPr>
        <w:pStyle w:val="ListNumber"/>
      </w:pPr>
      <w:r>
        <w:t xml:space="preserve">3. Centers for Disease Control and Prevention. Plain Language Materials &amp; Resources. Updated 21 July 2025. </w:t>
      </w:r>
      <w:r>
        <w:rPr>
          <w:color w:val="0563C1"/>
          <w:u w:val="single"/>
        </w:rPr>
        <w:t>https://www.cdc.gov/health-literacy/php/develop-materials/plain-language.html</w:t>
      </w:r>
    </w:p>
    <w:p>
      <w:pPr>
        <w:pStyle w:val="ListNumber"/>
      </w:pPr>
      <w:r>
        <w:t xml:space="preserve">4. International Committee of Medical Journal Editors. Recommendations for the Conduct, Reporting, Editing, and Publication of Scholarly Work in Medical Journals. Updated January 2026. </w:t>
      </w:r>
      <w:r>
        <w:rPr>
          <w:color w:val="0563C1"/>
          <w:u w:val="single"/>
        </w:rPr>
        <w:t>https://www.icmje.org/recommendations/</w:t>
      </w:r>
    </w:p>
    <w:p>
      <w:pPr>
        <w:pStyle w:val="ListNumber"/>
      </w:pPr>
      <w:r>
        <w:t xml:space="preserve">5. Hopewell S, Chan AW, Collins GS, et al. CONSORT 2025 statement: updated guideline for reporting randomised trials. Nature Medicine. 2025. </w:t>
      </w:r>
      <w:r>
        <w:rPr>
          <w:color w:val="0563C1"/>
          <w:u w:val="single"/>
        </w:rPr>
        <w:t>https://www.nature.com/articles/s41591-025-03635-5</w:t>
      </w:r>
    </w:p>
    <w:p>
      <w:pPr>
        <w:pStyle w:val="ListNumber"/>
      </w:pPr>
      <w:r>
        <w:t xml:space="preserve">6. Chamberlain James L, Cooper J. The Evolving Role of Medical Writers: AI as a Partner in Regulatory Submissions. AMWA Journal. 2025;40(2). doi:10.55752/amwa.2025.458. </w:t>
      </w:r>
      <w:r>
        <w:rPr>
          <w:color w:val="0563C1"/>
          <w:u w:val="single"/>
        </w:rPr>
        <w:t>https://doi.org/10.55752/amwa.2025.458</w:t>
      </w:r>
    </w:p>
    <w:p>
      <w:pPr>
        <w:pStyle w:val="ListNumber"/>
      </w:pPr>
      <w:r>
        <w:t xml:space="preserve">7. American Medical Writers Association. The Ethical Medical Writer: Finding Guidance on Ethics and Best Practices. 30 January 2025. </w:t>
      </w:r>
      <w:r>
        <w:rPr>
          <w:color w:val="0563C1"/>
          <w:u w:val="single"/>
        </w:rPr>
        <w:t>https://blog.amwa.org/the-ethical-medical-writer-finding-guidance-on-ethics-and-best-practices</w:t>
      </w:r>
    </w:p>
    <w:p>
      <w:pPr>
        <w:pStyle w:val="ListNumber"/>
      </w:pPr>
      <w:r>
        <w:t xml:space="preserve">8. American Medical Writers Association. Medical Writing: A Professional’s Guide to Advancing Your Career. Professional focus areas and current trends. </w:t>
      </w:r>
      <w:r>
        <w:rPr>
          <w:color w:val="0563C1"/>
          <w:u w:val="single"/>
        </w:rPr>
        <w:t>https://info.amwa.org/medical-writing-a-professionals-guide-to-advancing-your-career</w:t>
      </w:r>
    </w:p>
    <w:p>
      <w:pPr>
        <w:pStyle w:val="ListNumber"/>
      </w:pPr>
      <w:r>
        <w:t xml:space="preserve">9. EQUATOR Network. Enhancing the QUAlity and Transparency Of health Research. Reporting guideline resources. </w:t>
      </w:r>
      <w:r>
        <w:rPr>
          <w:color w:val="0563C1"/>
          <w:u w:val="single"/>
        </w:rPr>
        <w:t>https://www.equator-network.org/</w:t>
      </w:r>
    </w:p>
    <w:p>
      <w:pPr>
        <w:pStyle w:val="ListNumber"/>
      </w:pPr>
      <w:r>
        <w:t xml:space="preserve">10. National Library of Medicine. PubMed: biomedical literature search database. </w:t>
      </w:r>
      <w:r>
        <w:rPr>
          <w:color w:val="0563C1"/>
          <w:u w:val="single"/>
        </w:rPr>
        <w:t>https://pubmed.ncbi.nlm.nih.gov/</w:t>
      </w:r>
    </w:p>
    <w:p>
      <w:pPr>
        <w:pStyle w:val="ListNumber"/>
      </w:pPr>
      <w:r>
        <w:t xml:space="preserve">11. Cochrane. Cochrane Library: evidence synthesis and systematic reviews. </w:t>
      </w:r>
      <w:r>
        <w:rPr>
          <w:color w:val="0563C1"/>
          <w:u w:val="single"/>
        </w:rPr>
        <w:t>https://www.cochranelibrary.com/</w:t>
      </w:r>
    </w:p>
    <w:p>
      <w:pPr>
        <w:pStyle w:val="ListNumber"/>
      </w:pPr>
      <w:r>
        <w:t xml:space="preserve">12. World Health Organization. WHO publications and health-topic resources. </w:t>
      </w:r>
      <w:r>
        <w:rPr>
          <w:color w:val="0563C1"/>
          <w:u w:val="single"/>
        </w:rPr>
        <w:t>https://www.who.int/publications</w:t>
      </w:r>
    </w:p>
    <w:p/>
    <w:p>
      <w:pPr>
        <w:jc w:val="center"/>
      </w:pPr>
      <w:r>
        <w:rPr>
          <w:i/>
          <w:color w:val="646464"/>
        </w:rPr>
        <w:t>End of document</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Medical Content Strategy Plan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1 TASK  |  STRATEGY AND PLANNING FOR MEDICAL CONTENT CREATION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