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FINAL PROJECT DOCUMENTATION</w:t>
        <w:br/>
      </w:r>
    </w:p>
    <w:p>
      <w:r>
        <w:rPr>
          <w:i/>
          <w:sz w:val="26"/>
        </w:rPr>
        <w:t>Spatio-temporal Analysis of Ocean Plastic Density</w:t>
        <w:br/>
        <w:t>and its Impact on Marine Biodiversity</w:t>
        <w:br/>
      </w:r>
    </w:p>
    <w:p>
      <w:r>
        <w:rPr>
          <w:b/>
        </w:rPr>
        <w:t>Student    : Aditya Saxena</w:t>
        <w:br/>
      </w:r>
      <w:r>
        <w:t>Enrollment : A010145025085</w:t>
        <w:br/>
      </w:r>
      <w:r>
        <w:t>Programme  : MCA Semester 2 | Amity University Noida</w:t>
        <w:br/>
      </w:r>
      <w:r>
        <w:t>Faculty    : Dr. Sudhriti Sengupta</w:t>
        <w:br/>
      </w:r>
      <w:r>
        <w:t>Mentor     : Amit Singh | HCLTech</w:t>
        <w:br/>
      </w:r>
      <w:r>
        <w:t>Date       : June 28, 2026</w:t>
        <w:br/>
      </w:r>
    </w:p>
    <w:p>
      <w:r>
        <w:t>____________________________________________________________</w:t>
      </w:r>
    </w:p>
    <w:p>
      <w:pPr>
        <w:pStyle w:val="Heading1"/>
      </w:pPr>
      <w:r>
        <w:t>1. PROBLEM STATEMENT</w:t>
      </w:r>
    </w:p>
    <w:p>
      <w:r>
        <w:t>Ocean plastic pollution is accelerating at approximately 8% annually. The North Indian Ocean — covering the Arabian Sea, Bay of Bengal, Lakshadweep Sea, and Andaman Sea — is among the most ecologically threatened marine regions globally.</w:t>
        <w:br/>
        <w:br/>
        <w:t>Despite this, the precise mathematical relationship between plastic accumulation, rising sea surface temperatures (SST), ocean acidification (pH decline), and marine biodiversity loss has not been spatially quantified at 1°×1° grid cell resolution for this region — until this project.</w:t>
        <w:br/>
        <w:br/>
        <w:t>BOUNDING BOX: Lat 5°N–30°N | Lon 65°E–95°E</w:t>
        <w:br/>
        <w:t>TIME WINDOW : 2015–2026</w:t>
      </w:r>
    </w:p>
    <w:p>
      <w:pPr>
        <w:pStyle w:val="Heading1"/>
      </w:pPr>
      <w:r>
        <w:t>2. METHODOLOGY — SIX-WEEK PIPELINE</w:t>
      </w:r>
    </w:p>
    <w:p>
      <w:r>
        <w:rPr>
          <w:b/>
        </w:rPr>
        <w:t>Week 1 (May 18–24): Environment Provisioning &amp; Data Profiling</w:t>
      </w:r>
    </w:p>
    <w:p>
      <w:pPr>
        <w:pStyle w:val="ListBullet"/>
        <w:ind w:left="576"/>
      </w:pPr>
      <w:r>
        <w:t>Configured Google Colab + Drive. Installed 9 libraries (version-pinned).</w:t>
      </w:r>
    </w:p>
    <w:p>
      <w:pPr>
        <w:pStyle w:val="ListBullet"/>
        <w:ind w:left="576"/>
      </w:pPr>
      <w:r>
        <w:t>Loaded 11 multi-source datasets. Applied bounding box filter.</w:t>
      </w:r>
    </w:p>
    <w:p>
      <w:pPr>
        <w:pStyle w:val="ListBullet"/>
        <w:ind w:left="576"/>
      </w:pPr>
      <w:r>
        <w:t>Schema audit (8 issues found). Missingness profiling: priority_group 87% null.</w:t>
      </w:r>
    </w:p>
    <w:p>
      <w:pPr>
        <w:pStyle w:val="ListBullet"/>
        <w:ind w:left="576"/>
      </w:pPr>
      <w:r>
        <w:t>IQR analysis: zero numeric outliers in plastic density data.</w:t>
      </w:r>
    </w:p>
    <w:p>
      <w:r>
        <w:rPr>
          <w:b/>
        </w:rPr>
        <w:t>Week 2 (May 25–31): Data Cleaning &amp; Unit Standardization</w:t>
      </w:r>
    </w:p>
    <w:p>
      <w:pPr>
        <w:pStyle w:val="ListBullet"/>
        <w:ind w:left="576"/>
      </w:pPr>
      <w:r>
        <w:t>Dropped priority_group (87% null, 10,767/12,374 records).</w:t>
      </w:r>
    </w:p>
    <w:p>
      <w:pPr>
        <w:pStyle w:val="ListBullet"/>
        <w:ind w:left="576"/>
      </w:pPr>
      <w:r>
        <w:t>Median-imputed year and month. Filled categoricals with Unknown.</w:t>
      </w:r>
    </w:p>
    <w:p>
      <w:pPr>
        <w:pStyle w:val="ListBullet"/>
        <w:ind w:left="576"/>
      </w:pPr>
      <w:r>
        <w:t>Converted Plastic_Weight_kg → Plastic_Density_kg_km2 via cos(lat) area formula.</w:t>
      </w:r>
    </w:p>
    <w:p>
      <w:pPr>
        <w:pStyle w:val="ListBullet"/>
        <w:ind w:left="576"/>
      </w:pPr>
      <w:r>
        <w:t>Year filter 2015–2026 removed 1,685 anomalous species records.</w:t>
      </w:r>
    </w:p>
    <w:p>
      <w:pPr>
        <w:pStyle w:val="ListBullet"/>
        <w:ind w:left="576"/>
      </w:pPr>
      <w:r>
        <w:t>152 overlapping grid cells confirmed between plastic and species datasets.</w:t>
      </w:r>
    </w:p>
    <w:p>
      <w:r>
        <w:rPr>
          <w:b/>
        </w:rPr>
        <w:t>Week 3 (June 1–7): Spatial Join &amp; Master Table Construction</w:t>
      </w:r>
    </w:p>
    <w:p>
      <w:pPr>
        <w:pStyle w:val="ListBullet"/>
        <w:ind w:left="576"/>
      </w:pPr>
      <w:r>
        <w:t>Initialized GeoPandas. Built 750-cell 1°×1° grid (25 lat × 30 lon).</w:t>
      </w:r>
    </w:p>
    <w:p>
      <w:pPr>
        <w:pStyle w:val="ListBullet"/>
        <w:ind w:left="576"/>
      </w:pPr>
      <w:r>
        <w:t>Aggregated 170 plastic bbox records → 167 grid-month cells.</w:t>
      </w:r>
    </w:p>
    <w:p>
      <w:pPr>
        <w:pStyle w:val="ListBullet"/>
        <w:ind w:left="576"/>
      </w:pPr>
      <w:r>
        <w:t>Layered 9,472 species records → 1,070 species grid cells.</w:t>
      </w:r>
    </w:p>
    <w:p>
      <w:pPr>
        <w:pStyle w:val="ListBullet"/>
        <w:ind w:left="576"/>
      </w:pPr>
      <w:r>
        <w:t>Compiled Master Table: 1,251 rows × 28 cols.</w:t>
      </w:r>
    </w:p>
    <w:p>
      <w:pPr>
        <w:pStyle w:val="ListBullet"/>
        <w:ind w:left="576"/>
      </w:pPr>
      <w:r>
        <w:t>4 join integrity checks passed. Saved as Parquet + CSV.</w:t>
      </w:r>
    </w:p>
    <w:p>
      <w:r>
        <w:rPr>
          <w:b/>
        </w:rPr>
        <w:t>Week 4 (June 8–14): Hotspot Mapping &amp; Trend Analytics</w:t>
      </w:r>
    </w:p>
    <w:p>
      <w:pPr>
        <w:pStyle w:val="ListBullet"/>
        <w:ind w:left="576"/>
      </w:pPr>
      <w:r>
        <w:t>Extracted 31 hotspot cells (80th percentile threshold: 448.73 kg/cell).</w:t>
      </w:r>
    </w:p>
    <w:p>
      <w:pPr>
        <w:pStyle w:val="ListBullet"/>
        <w:ind w:left="576"/>
      </w:pPr>
      <w:r>
        <w:t>Source attribution: PVC/PS (Industrial) vs PET/PE/PP (Consumer).</w:t>
      </w:r>
    </w:p>
    <w:p>
      <w:pPr>
        <w:pStyle w:val="ListBullet"/>
        <w:ind w:left="576"/>
      </w:pPr>
      <w:r>
        <w:t>KPIs engineered: Temp_Change_C, Regional_Contribution_Pct.</w:t>
      </w:r>
    </w:p>
    <w:p>
      <w:pPr>
        <w:pStyle w:val="ListBullet"/>
        <w:ind w:left="576"/>
      </w:pPr>
      <w:r>
        <w:t>Arabian Sea: 35.82% | Bay of Bengal: 27.05% of total plastic density.</w:t>
      </w:r>
    </w:p>
    <w:p>
      <w:pPr>
        <w:pStyle w:val="ListBullet"/>
        <w:ind w:left="576"/>
      </w:pPr>
      <w:r>
        <w:t>4-panel trajectory plots (2015–2026). Habitat segmentation: Coral/Mangrove/Open Ocean.</w:t>
      </w:r>
    </w:p>
    <w:p>
      <w:r>
        <w:rPr>
          <w:b/>
        </w:rPr>
        <w:t>Week 5 (June 15–21): Statistical Modelling &amp; K-Means Clustering</w:t>
      </w:r>
    </w:p>
    <w:p>
      <w:pPr>
        <w:pStyle w:val="ListBullet"/>
        <w:ind w:left="576"/>
      </w:pPr>
      <w:r>
        <w:t>Pearson: SST vs Species r=-0.6813 (p=1.79e-69). pH vs Species r=0.327.</w:t>
      </w:r>
    </w:p>
    <w:p>
      <w:pPr>
        <w:pStyle w:val="ListBullet"/>
        <w:ind w:left="576"/>
      </w:pPr>
      <w:r>
        <w:t>Linear Regression SST tipping: 30.6286°C (margin 2.1286°C).</w:t>
      </w:r>
    </w:p>
    <w:p>
      <w:pPr>
        <w:pStyle w:val="ListBullet"/>
        <w:ind w:left="576"/>
      </w:pPr>
      <w:r>
        <w:t>pH tipping: 7.879525 (~85 years).</w:t>
      </w:r>
    </w:p>
    <w:p>
      <w:pPr>
        <w:pStyle w:val="ListBullet"/>
        <w:ind w:left="576"/>
      </w:pPr>
      <w:r>
        <w:t>StandardScaler + Elbow method → k=3 confirmed (inertia 860→667).</w:t>
      </w:r>
    </w:p>
    <w:p>
      <w:pPr>
        <w:pStyle w:val="ListBullet"/>
        <w:ind w:left="576"/>
      </w:pPr>
      <w:r>
        <w:t>K-Means: Stable(147)/At-Risk(252)/Critical(101). Silhouette=0.2922.</w:t>
      </w:r>
    </w:p>
    <w:p>
      <w:pPr>
        <w:pStyle w:val="ListBullet"/>
        <w:ind w:left="576"/>
      </w:pPr>
      <w:r>
        <w:t>Folium interactive map: 500 risk markers + 31 hotspot icons.</w:t>
      </w:r>
    </w:p>
    <w:p>
      <w:r>
        <w:rPr>
          <w:b/>
        </w:rPr>
        <w:t>Week 6 (June 22–30): Random Forest Regressor &amp; Dashboard</w:t>
      </w:r>
    </w:p>
    <w:p>
      <w:pPr>
        <w:pStyle w:val="ListBullet"/>
        <w:ind w:left="576"/>
      </w:pPr>
      <w:r>
        <w:t>RF Regressor: best params {'max_depth': 3, 'n_estimators': 100}.</w:t>
      </w:r>
    </w:p>
    <w:p>
      <w:pPr>
        <w:pStyle w:val="ListBullet"/>
        <w:ind w:left="576"/>
      </w:pPr>
      <w:r>
        <w:t>CV R²=0.3498 | Test R²=0.5607 | MAE=12.1069 species.</w:t>
      </w:r>
    </w:p>
    <w:p>
      <w:pPr>
        <w:pStyle w:val="ListBullet"/>
        <w:ind w:left="576"/>
      </w:pPr>
      <w:r>
        <w:t>SST feature importance: 95.31%.</w:t>
      </w:r>
    </w:p>
    <w:p>
      <w:pPr>
        <w:pStyle w:val="ListBullet"/>
        <w:ind w:left="576"/>
      </w:pPr>
      <w:r>
        <w:t>Power BI star schema: 4 tables, 3 relationships, 5 filter slicers.</w:t>
      </w:r>
    </w:p>
    <w:p>
      <w:pPr>
        <w:pStyle w:val="ListBullet"/>
        <w:ind w:left="576"/>
      </w:pPr>
      <w:r>
        <w:t>3-layer interactive Folium dashboard map built.</w:t>
      </w:r>
    </w:p>
    <w:p>
      <w:pPr>
        <w:pStyle w:val="ListBullet"/>
        <w:ind w:left="576"/>
      </w:pPr>
      <w:r>
        <w:t>Final documentation and GitHub push.</w:t>
      </w:r>
    </w:p>
    <w:p>
      <w:pPr>
        <w:pStyle w:val="Heading1"/>
      </w:pPr>
      <w:r>
        <w:t>3. DATASETS USED (11 multi-source files)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Cols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ocean_plastic_pollution_data.csv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Primary plastic pollution — global</w:t>
            </w:r>
          </w:p>
        </w:tc>
      </w:tr>
      <w:tr>
        <w:tc>
          <w:tcPr>
            <w:tcW w:type="dxa" w:w="2160"/>
          </w:tcPr>
          <w:p>
            <w:r>
              <w:t>india_cms_final_master_enriched.csv</w:t>
            </w:r>
          </w:p>
        </w:tc>
        <w:tc>
          <w:tcPr>
            <w:tcW w:type="dxa" w:w="2160"/>
          </w:tcPr>
          <w:p>
            <w:r>
              <w:t>12,374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Marine species — India bbox</w:t>
            </w:r>
          </w:p>
        </w:tc>
      </w:tr>
      <w:tr>
        <w:tc>
          <w:tcPr>
            <w:tcW w:type="dxa" w:w="2160"/>
          </w:tcPr>
          <w:p>
            <w:r>
              <w:t>realistic_ocean_climate_dataset.csv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SST, pH, bleaching, species observed</w:t>
            </w:r>
          </w:p>
        </w:tc>
      </w:tr>
      <w:tr>
        <w:tc>
          <w:tcPr>
            <w:tcW w:type="dxa" w:w="2160"/>
          </w:tcPr>
          <w:p>
            <w:r>
              <w:t>GlobalTemperatures.csv</w:t>
            </w:r>
          </w:p>
        </w:tc>
        <w:tc>
          <w:tcPr>
            <w:tcW w:type="dxa" w:w="2160"/>
          </w:tcPr>
          <w:p>
            <w:r>
              <w:t>3,192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Global temperature 1750–2015</w:t>
            </w:r>
          </w:p>
        </w:tc>
      </w:tr>
      <w:tr>
        <w:tc>
          <w:tcPr>
            <w:tcW w:type="dxa" w:w="2160"/>
          </w:tcPr>
          <w:p>
            <w:r>
              <w:t>sea_level_co2.csv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CO₂, sea level, ocean heat</w:t>
            </w:r>
          </w:p>
        </w:tc>
      </w:tr>
      <w:tr>
        <w:tc>
          <w:tcPr>
            <w:tcW w:type="dxa" w:w="2160"/>
          </w:tcPr>
          <w:p>
            <w:r>
              <w:t>Plastic_Waste_Around_the_World.csv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Country-level plastic waste</w:t>
            </w:r>
          </w:p>
        </w:tc>
      </w:tr>
      <w:tr>
        <w:tc>
          <w:tcPr>
            <w:tcW w:type="dxa" w:w="2160"/>
          </w:tcPr>
          <w:p>
            <w:r>
              <w:t>River_Plastic_Waste_Risk_Scenarios_2015_2060.csv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River plastic leakage</w:t>
            </w:r>
          </w:p>
        </w:tc>
      </w:tr>
      <w:tr>
        <w:tc>
          <w:tcPr>
            <w:tcW w:type="dxa" w:w="2160"/>
          </w:tcPr>
          <w:p>
            <w:r>
              <w:t>protected_sites_india.csv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India protected marine areas</w:t>
            </w:r>
          </w:p>
        </w:tc>
      </w:tr>
      <w:tr>
        <w:tc>
          <w:tcPr>
            <w:tcW w:type="dxa" w:w="2160"/>
          </w:tcPr>
          <w:p>
            <w:r>
              <w:t>ADVENTURE_MICRO_FROM_SCIENTIST.csv</w:t>
            </w:r>
          </w:p>
        </w:tc>
        <w:tc>
          <w:tcPr>
            <w:tcW w:type="dxa" w:w="2160"/>
          </w:tcPr>
          <w:p>
            <w:r>
              <w:t>1,393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Microplastic concentrations</w:t>
            </w:r>
          </w:p>
        </w:tc>
      </w:tr>
      <w:tr>
        <w:tc>
          <w:tcPr>
            <w:tcW w:type="dxa" w:w="2160"/>
          </w:tcPr>
          <w:p>
            <w:r>
              <w:t>GEOMARINE_MICRO.csv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Microplastic concentrations</w:t>
            </w:r>
          </w:p>
        </w:tc>
      </w:tr>
      <w:tr>
        <w:tc>
          <w:tcPr>
            <w:tcW w:type="dxa" w:w="2160"/>
          </w:tcPr>
          <w:p>
            <w:r>
              <w:t>SEA_MICRO.csv</w:t>
            </w:r>
          </w:p>
        </w:tc>
        <w:tc>
          <w:tcPr>
            <w:tcW w:type="dxa" w:w="2160"/>
          </w:tcPr>
          <w:p>
            <w:r>
              <w:t>7,755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Microplastic surface counts</w:t>
            </w:r>
          </w:p>
        </w:tc>
      </w:tr>
    </w:tbl>
    <w:p/>
    <w:p>
      <w:pPr>
        <w:pStyle w:val="Heading1"/>
      </w:pPr>
      <w:r>
        <w:t>4. MODEL PERFORMANCE</w:t>
      </w:r>
    </w:p>
    <w:p>
      <w:pPr>
        <w:pStyle w:val="Heading2"/>
      </w:pPr>
      <w:r>
        <w:t>A. Linear Regression — SST → Species Observed:</w:t>
      </w:r>
    </w:p>
    <w:p>
      <w:r>
        <w:t>Equation : Species = -9.7886*SST + 399.8114</w:t>
        <w:br/>
        <w:t>R²       : 0.4641 (explains 46.4% of species variance)</w:t>
        <w:br/>
        <w:t>MAE      : 11.9903 species</w:t>
        <w:br/>
        <w:t>Tipping  : SST = 30.6286°C (margin: 2.1286°C above current 28.5°C mean)</w:t>
      </w:r>
    </w:p>
    <w:p>
      <w:pPr>
        <w:pStyle w:val="Heading2"/>
      </w:pPr>
      <w:r>
        <w:t>B. Linear Regression — pH → Species Observed:</w:t>
      </w:r>
    </w:p>
    <w:p>
      <w:r>
        <w:t>Equation : Species = 120.1779*pH + (-846.9446)</w:t>
        <w:br/>
        <w:t>R²       : 0.1069</w:t>
        <w:br/>
        <w:t>Tipping  : pH = 7.879525 (margin: 0.1705 units, ~85 years)</w:t>
      </w:r>
    </w:p>
    <w:p>
      <w:pPr>
        <w:pStyle w:val="Heading2"/>
      </w:pPr>
      <w:r>
        <w:t>C. K-Means Clustering (k=3):</w:t>
      </w:r>
    </w:p>
    <w:p>
      <w:r>
        <w:t>Inertia   : 666.9464</w:t>
        <w:br/>
        <w:t>Silhouette Score: 0.2922 (Moderate — expected for ecological gradients)</w:t>
        <w:br/>
        <w:t>Stable   (n=147, 29.4%) : SST 27.052°C, pH 8.09715, Species 140.67</w:t>
        <w:br/>
        <w:t>At-Risk  (n=252, 50.4%) : SST 28.647°C, pH 8.04346, Species 118.63</w:t>
        <w:br/>
        <w:t>Critical (n=101, 20.2%) : SST 30.424°C, pH 7.99705, Species 95.68</w:t>
      </w:r>
    </w:p>
    <w:p>
      <w:pPr>
        <w:pStyle w:val="Heading2"/>
      </w:pPr>
      <w:r>
        <w:t>D. Random Forest Regressor:</w:t>
      </w:r>
    </w:p>
    <w:p>
      <w:r>
        <w:t>Best params : {'max_depth': 3, 'n_estimators': 100}</w:t>
        <w:br/>
        <w:t>CV R²       : 0.3498</w:t>
        <w:br/>
        <w:t>Test R²     : 0.5607 (56.1% variance explained)</w:t>
        <w:br/>
        <w:t>Test MAE    : 12.1069 species</w:t>
        <w:br/>
        <w:t>SST import. : 95.31% | pH import.: 4.69%</w:t>
      </w:r>
    </w:p>
    <w:p>
      <w:pPr>
        <w:pStyle w:val="Heading1"/>
      </w:pPr>
      <w:r>
        <w:t>5. KEY SPATIAL INSIGHTS</w:t>
      </w:r>
    </w:p>
    <w:p>
      <w:pPr>
        <w:pStyle w:val="ListBullet"/>
        <w:ind w:left="576"/>
      </w:pPr>
      <w:r>
        <w:t>Arabian Sea: 35.82% of total plastic density — highest regional share.</w:t>
      </w:r>
    </w:p>
    <w:p>
      <w:pPr>
        <w:pStyle w:val="ListBullet"/>
        <w:ind w:left="576"/>
      </w:pPr>
      <w:r>
        <w:t>Bay of Bengal: 27.05% — second highest; dense coastal drainage.</w:t>
      </w:r>
    </w:p>
    <w:p>
      <w:pPr>
        <w:pStyle w:val="ListBullet"/>
        <w:ind w:left="576"/>
      </w:pPr>
      <w:r>
        <w:t>31 hotspot grid cells identified (80th percentile: ≥448.73 kg/cell).</w:t>
      </w:r>
    </w:p>
    <w:p>
      <w:pPr>
        <w:pStyle w:val="ListBullet"/>
        <w:ind w:left="576"/>
      </w:pPr>
      <w:r>
        <w:t>SST Tipping Point: 30.6286°C — only 2.1286°C away from current 28.5°C mean.</w:t>
      </w:r>
    </w:p>
    <w:p>
      <w:pPr>
        <w:pStyle w:val="ListBullet"/>
        <w:ind w:left="576"/>
      </w:pPr>
      <w:r>
        <w:t>pH Tipping Point: 7.879525 — ~85 years at 0.002 pH/yr acidification rate.</w:t>
      </w:r>
    </w:p>
    <w:p>
      <w:pPr>
        <w:pStyle w:val="ListBullet"/>
        <w:ind w:left="576"/>
      </w:pPr>
      <w:r>
        <w:t>Critical zone: 101 records (20.2%) already at risk.</w:t>
      </w:r>
    </w:p>
    <w:p>
      <w:pPr>
        <w:pStyle w:val="ListBullet"/>
        <w:ind w:left="576"/>
      </w:pPr>
      <w:r>
        <w:t>Critical centroid SST=30.424°C is only 0.204°C below SST tipping point!</w:t>
      </w:r>
    </w:p>
    <w:p>
      <w:pPr>
        <w:pStyle w:val="ListBullet"/>
        <w:ind w:left="576"/>
      </w:pPr>
      <w:r>
        <w:t>50.4% of observations in At-Risk zone — largest monitoring priority.</w:t>
      </w:r>
    </w:p>
    <w:p>
      <w:pPr>
        <w:pStyle w:val="ListBullet"/>
        <w:ind w:left="576"/>
      </w:pPr>
      <w:r>
        <w:t>SST explains 95.31% of RF feature importance — dominant predictor.</w:t>
      </w:r>
    </w:p>
    <w:p>
      <w:pPr>
        <w:pStyle w:val="ListBullet"/>
        <w:ind w:left="576"/>
      </w:pPr>
      <w:r>
        <w:t>Coral Reef zones (Gulf of Mannar, Lakshadweep, Andaman) — highest ecological risk.</w:t>
      </w:r>
    </w:p>
    <w:p>
      <w:pPr>
        <w:pStyle w:val="ListBullet"/>
        <w:ind w:left="576"/>
      </w:pPr>
      <w:r>
        <w:t>Mangrove zones (Sundarbans, Mumbai coast) — microplastic sediment accumulation risk.</w:t>
      </w:r>
    </w:p>
    <w:p>
      <w:pPr>
        <w:pStyle w:val="Heading1"/>
      </w:pPr>
      <w:r>
        <w:t>6. COMPLETE DELIVERABLES</w:t>
      </w:r>
    </w:p>
    <w:p>
      <w:r>
        <w:rPr>
          <w:b/>
        </w:rPr>
        <w:t>DATA OUTPUTS:</w:t>
      </w:r>
    </w:p>
    <w:p>
      <w:pPr>
        <w:pStyle w:val="ListBullet"/>
        <w:ind w:left="576"/>
      </w:pPr>
      <w:r>
        <w:t>master_table_v2.csv          — 1,251 rows × 28 cols</w:t>
      </w:r>
    </w:p>
    <w:p>
      <w:pPr>
        <w:pStyle w:val="ListBullet"/>
        <w:ind w:left="576"/>
      </w:pPr>
      <w:r>
        <w:t>cluster_results.csv          — K-Means labels + Silhouette scores (500 rows)</w:t>
      </w:r>
    </w:p>
    <w:p>
      <w:pPr>
        <w:pStyle w:val="ListBullet"/>
        <w:ind w:left="576"/>
      </w:pPr>
      <w:r>
        <w:t>risk_zone_summary.csv        — K-Means centroid table for Power BI (3 rows)</w:t>
      </w:r>
    </w:p>
    <w:p>
      <w:pPr>
        <w:pStyle w:val="ListBullet"/>
        <w:ind w:left="576"/>
      </w:pPr>
      <w:r>
        <w:t>final_predictions_dashboard.csv — RF predictions + risk labels (500 rows)</w:t>
      </w:r>
    </w:p>
    <w:p>
      <w:pPr>
        <w:pStyle w:val="ListBullet"/>
        <w:ind w:left="576"/>
      </w:pPr>
      <w:r>
        <w:t>dashboard_ready_data.csv     — PBIX-compatible flat file (500 rows)</w:t>
      </w:r>
    </w:p>
    <w:p>
      <w:pPr>
        <w:pStyle w:val="ListBullet"/>
        <w:ind w:left="576"/>
      </w:pPr>
      <w:r>
        <w:t>hotspots.csv                 — 31 hotspot grid cells (top 20% density)</w:t>
      </w:r>
    </w:p>
    <w:p>
      <w:r>
        <w:rPr>
          <w:b/>
        </w:rPr>
        <w:t>MODEL ARTIFACTS:</w:t>
      </w:r>
    </w:p>
    <w:p>
      <w:pPr>
        <w:pStyle w:val="ListBullet"/>
        <w:ind w:left="576"/>
      </w:pPr>
      <w:r>
        <w:t>rf_best_model.joblib         — Trained Random Forest weights</w:t>
      </w:r>
    </w:p>
    <w:p>
      <w:pPr>
        <w:pStyle w:val="ListBullet"/>
        <w:ind w:left="576"/>
      </w:pPr>
      <w:r>
        <w:t>rf_model_meta.json           — RF metrics, params, importances</w:t>
      </w:r>
    </w:p>
    <w:p>
      <w:pPr>
        <w:pStyle w:val="ListBullet"/>
        <w:ind w:left="576"/>
      </w:pPr>
      <w:r>
        <w:t>kmeans_model_meta.json       — K-Means params, centroids, risk map</w:t>
      </w:r>
    </w:p>
    <w:p>
      <w:pPr>
        <w:pStyle w:val="ListBullet"/>
        <w:ind w:left="576"/>
      </w:pPr>
      <w:r>
        <w:t>kmeans_scaler.json           — StandardScaler means and scales</w:t>
      </w:r>
    </w:p>
    <w:p>
      <w:pPr>
        <w:pStyle w:val="ListBullet"/>
        <w:ind w:left="576"/>
      </w:pPr>
      <w:r>
        <w:t>regression_results.json      — Tipping point equations and margins</w:t>
      </w:r>
    </w:p>
    <w:p>
      <w:pPr>
        <w:pStyle w:val="ListBullet"/>
        <w:ind w:left="576"/>
      </w:pPr>
      <w:r>
        <w:t>correlation_results.json     — Pearson r and p-values</w:t>
      </w:r>
    </w:p>
    <w:p>
      <w:pPr>
        <w:pStyle w:val="ListBullet"/>
        <w:ind w:left="576"/>
      </w:pPr>
      <w:r>
        <w:t>iqr_fences.json              — IQR fence values from Week 1</w:t>
      </w:r>
    </w:p>
    <w:p>
      <w:r>
        <w:rPr>
          <w:b/>
        </w:rPr>
        <w:t>DOCUMENTATION:</w:t>
      </w:r>
    </w:p>
    <w:p>
      <w:pPr>
        <w:pStyle w:val="ListBullet"/>
        <w:ind w:left="576"/>
      </w:pPr>
      <w:r>
        <w:t>Final_Project_Documentation.docx — This structural file document</w:t>
      </w:r>
    </w:p>
    <w:p>
      <w:pPr>
        <w:pStyle w:val="ListBullet"/>
        <w:ind w:left="576"/>
      </w:pPr>
      <w:r>
        <w:t>statistical_modelling_report_week5.txt — 4-section modelling report</w:t>
      </w:r>
    </w:p>
    <w:p>
      <w:pPr>
        <w:pStyle w:val="ListBullet"/>
        <w:ind w:left="576"/>
      </w:pPr>
      <w:r>
        <w:t>powerbi_data_model.txt        — Star schema and relationship definitions</w:t>
      </w:r>
    </w:p>
    <w:p>
      <w:pPr>
        <w:pStyle w:val="ListBullet"/>
        <w:ind w:left="576"/>
      </w:pPr>
      <w:r>
        <w:t>master_table_schema.txt       — Master Table column documentation</w:t>
      </w:r>
    </w:p>
    <w:p>
      <w:pPr>
        <w:pStyle w:val="ListBullet"/>
        <w:ind w:left="576"/>
      </w:pPr>
      <w:r>
        <w:t>WPR 1–5 (Amity NTCC format)   — Weekly Progress Reports, all weeks</w:t>
      </w:r>
    </w:p>
    <w:p>
      <w:pPr>
        <w:pStyle w:val="ListBullet"/>
        <w:ind w:left="576"/>
      </w:pPr>
      <w:r>
        <w:t>HCLTech Logsheet (47 days)    — Daily task + skills filled</w:t>
      </w:r>
    </w:p>
    <w:p>
      <w:pPr>
        <w:pStyle w:val="Heading1"/>
      </w:pPr>
      <w:r>
        <w:t>7. TECHNOLOGIES &amp; LIBRARIES</w:t>
      </w:r>
    </w:p>
    <w:p>
      <w:r>
        <w:rPr>
          <w:b/>
        </w:rPr>
        <w:t>Language &amp; Runtime:</w:t>
      </w:r>
    </w:p>
    <w:p>
      <w:pPr>
        <w:pStyle w:val="ListBullet"/>
        <w:ind w:left="576"/>
      </w:pPr>
      <w:r>
        <w:t>Python 3.10 (Google Colab cloud runtime)</w:t>
      </w:r>
    </w:p>
    <w:p>
      <w:r>
        <w:rPr>
          <w:b/>
        </w:rPr>
        <w:t>Data Engineering:</w:t>
      </w:r>
    </w:p>
    <w:p>
      <w:pPr>
        <w:pStyle w:val="ListBullet"/>
        <w:ind w:left="576"/>
      </w:pPr>
      <w:r>
        <w:t>Pandas 2.0.3</w:t>
      </w:r>
    </w:p>
    <w:p>
      <w:pPr>
        <w:pStyle w:val="ListBullet"/>
        <w:ind w:left="576"/>
      </w:pPr>
      <w:r>
        <w:t>NumPy 1.24.3</w:t>
      </w:r>
    </w:p>
    <w:p>
      <w:pPr>
        <w:pStyle w:val="ListBullet"/>
        <w:ind w:left="576"/>
      </w:pPr>
      <w:r>
        <w:t>GeoPandas 0.13.2</w:t>
      </w:r>
    </w:p>
    <w:p>
      <w:pPr>
        <w:pStyle w:val="ListBullet"/>
        <w:ind w:left="576"/>
      </w:pPr>
      <w:r>
        <w:t>Openpyxl 3.1.2</w:t>
      </w:r>
    </w:p>
    <w:p>
      <w:r>
        <w:rPr>
          <w:b/>
        </w:rPr>
        <w:t>Machine Learning:</w:t>
      </w:r>
    </w:p>
    <w:p>
      <w:pPr>
        <w:pStyle w:val="ListBullet"/>
        <w:ind w:left="576"/>
      </w:pPr>
      <w:r>
        <w:t>Scikit-learn 1.3.0 (StandardScaler, KMeans, RandomForestRegressor, GridSearchCV)</w:t>
      </w:r>
    </w:p>
    <w:p>
      <w:pPr>
        <w:pStyle w:val="ListBullet"/>
        <w:ind w:left="576"/>
      </w:pPr>
      <w:r>
        <w:t>SciPy (pearsonr, LinearRegression, p-values)</w:t>
      </w:r>
    </w:p>
    <w:p>
      <w:pPr>
        <w:pStyle w:val="ListBullet"/>
        <w:ind w:left="576"/>
      </w:pPr>
      <w:r>
        <w:t>Joblib (model serialization)</w:t>
      </w:r>
    </w:p>
    <w:p>
      <w:r>
        <w:rPr>
          <w:b/>
        </w:rPr>
        <w:t>Visualization:</w:t>
      </w:r>
    </w:p>
    <w:p>
      <w:pPr>
        <w:pStyle w:val="ListBullet"/>
        <w:ind w:left="576"/>
      </w:pPr>
      <w:r>
        <w:t>Matplotlib 3.7.2</w:t>
      </w:r>
    </w:p>
    <w:p>
      <w:pPr>
        <w:pStyle w:val="ListBullet"/>
        <w:ind w:left="576"/>
      </w:pPr>
      <w:r>
        <w:t>Seaborn 0.12.2</w:t>
      </w:r>
    </w:p>
    <w:p>
      <w:pPr>
        <w:pStyle w:val="ListBullet"/>
        <w:ind w:left="576"/>
      </w:pPr>
      <w:r>
        <w:t>Folium 0.14.0 + HeatMap plugin (interactive maps)</w:t>
      </w:r>
    </w:p>
    <w:p>
      <w:pPr>
        <w:pStyle w:val="Heading1"/>
      </w:pPr>
      <w:r>
        <w:t>CONCLUSION</w:t>
      </w:r>
    </w:p>
    <w:p>
      <w:r>
        <w:t>This project demonstrates that rising Sea Surface Temperature (SST tipping point: 30.63°C, currently 2.13°C away) is the dominant near-term biodiversity threat in the North Indian Ocean.</w:t>
        <w:br/>
        <w:br/>
        <w:t>20.2% of observed locations are already in the Critical SST zone, with the Critical centroid (30.424°C) only 0.204°C below the ecological tipping point — confirming near-threshold conditions.</w:t>
        <w:br/>
        <w:br/>
        <w:t>The Arabian Sea (35.82% plastic density) overlapping with the At-Risk SST zone is the highest-priority intervention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