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Previous Year Production Report 2025</w:t>
      </w:r>
    </w:p>
    <w:p>
      <w:r>
        <w:rPr>
          <w:i/>
          <w:sz w:val="20"/>
        </w:rPr>
        <w:t>NLC India Ltd - Mine-I, Neyveli | SIH26023 demo dataset</w:t>
      </w:r>
    </w:p>
    <w:p>
      <w:pPr>
        <w:pStyle w:val="Heading1"/>
      </w:pPr>
      <w:r>
        <w:t>1. Executive Summary</w:t>
      </w:r>
    </w:p>
    <w:p>
      <w:r>
        <w:t>Mine-I produced 10,381,227 tonnes of lignite over 365 operating days, achieving 97.5% of the annual target of 10,645,955 tonnes. The deficit is attributable primarily to weather: 74 rainy days (13 with heavy rain cutting output to ~35% of plan), compounded on 10 days by equipment stoppages. Machine failures affected 49 days. Overburden removal totalled 5,586,149 cubic metres. Catch-up scheduling recovered most single-day losses within 48 hours, consistent with the extended-hours practice evidenced in Mine-I stoppage reports. The best day was 2025-02-08 at 34,417 t; the worst was 2025-09-23 at 0 t.</w:t>
      </w:r>
    </w:p>
    <w:p>
      <w:pPr>
        <w:pStyle w:val="Heading1"/>
      </w:pPr>
      <w:r>
        <w:t>2. Key Figures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Annual lignite production</w:t>
            </w:r>
          </w:p>
        </w:tc>
        <w:tc>
          <w:tcPr>
            <w:tcW w:type="dxa" w:w="4320"/>
          </w:tcPr>
          <w:p>
            <w:r>
              <w:t>10,381 kt</w:t>
            </w:r>
          </w:p>
        </w:tc>
      </w:tr>
      <w:tr>
        <w:tc>
          <w:tcPr>
            <w:tcW w:type="dxa" w:w="4320"/>
          </w:tcPr>
          <w:p>
            <w:r>
              <w:t>Annual target</w:t>
            </w:r>
          </w:p>
        </w:tc>
        <w:tc>
          <w:tcPr>
            <w:tcW w:type="dxa" w:w="4320"/>
          </w:tcPr>
          <w:p>
            <w:r>
              <w:t>10,646 kt</w:t>
            </w:r>
          </w:p>
        </w:tc>
      </w:tr>
      <w:tr>
        <w:tc>
          <w:tcPr>
            <w:tcW w:type="dxa" w:w="4320"/>
          </w:tcPr>
          <w:p>
            <w:r>
              <w:t>Achievement</w:t>
            </w:r>
          </w:p>
        </w:tc>
        <w:tc>
          <w:tcPr>
            <w:tcW w:type="dxa" w:w="4320"/>
          </w:tcPr>
          <w:p>
            <w:r>
              <w:t>97.5%</w:t>
            </w:r>
          </w:p>
        </w:tc>
      </w:tr>
      <w:tr>
        <w:tc>
          <w:tcPr>
            <w:tcW w:type="dxa" w:w="4320"/>
          </w:tcPr>
          <w:p>
            <w:r>
              <w:t>Overburden removed</w:t>
            </w:r>
          </w:p>
        </w:tc>
        <w:tc>
          <w:tcPr>
            <w:tcW w:type="dxa" w:w="4320"/>
          </w:tcPr>
          <w:p>
            <w:r>
              <w:t>5.59 Mm3</w:t>
            </w:r>
          </w:p>
        </w:tc>
      </w:tr>
      <w:tr>
        <w:tc>
          <w:tcPr>
            <w:tcW w:type="dxa" w:w="4320"/>
          </w:tcPr>
          <w:p>
            <w:r>
              <w:t>Rainy days / heavy-rain days</w:t>
            </w:r>
          </w:p>
        </w:tc>
        <w:tc>
          <w:tcPr>
            <w:tcW w:type="dxa" w:w="4320"/>
          </w:tcPr>
          <w:p>
            <w:r>
              <w:t>74 / 13</w:t>
            </w:r>
          </w:p>
        </w:tc>
      </w:tr>
      <w:tr>
        <w:tc>
          <w:tcPr>
            <w:tcW w:type="dxa" w:w="4320"/>
          </w:tcPr>
          <w:p>
            <w:r>
              <w:t>Machine-failure days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Rain + failure (compounding) days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Strike days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Production vs Target</w:t>
      </w:r>
    </w:p>
    <w:p>
      <w:r>
        <w:drawing>
          <wp:inline xmlns:a="http://schemas.openxmlformats.org/drawingml/2006/main" xmlns:pic="http://schemas.openxmlformats.org/drawingml/2006/picture">
            <wp:extent cx="5760720" cy="2911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Weather Impact Analysis</w:t>
      </w:r>
    </w:p>
    <w:p>
      <w:r>
        <w:drawing>
          <wp:inline xmlns:a="http://schemas.openxmlformats.org/drawingml/2006/main" xmlns:pic="http://schemas.openxmlformats.org/drawingml/2006/picture">
            <wp:extent cx="5760720" cy="26088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Moderate rain reduces output to ~72% of plan and heavy rain to ~35%. Recovery scheduling restored the shortfall over subsequent days up to +18% per day, capping monthly slippage at 5-9 percentage points even in the wettest months.</w:t>
      </w:r>
    </w:p>
    <w:p>
      <w:pPr>
        <w:pStyle w:val="Heading1"/>
      </w:pPr>
      <w:r>
        <w:t>5. Downtime Pareto</w:t>
      </w:r>
    </w:p>
    <w:p>
      <w:r>
        <w:drawing>
          <wp:inline xmlns:a="http://schemas.openxmlformats.org/drawingml/2006/main" xmlns:pic="http://schemas.openxmlformats.org/drawingml/2006/picture">
            <wp:extent cx="5760720" cy="24063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6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Categories follow the Mine-I stoppage-report taxonomy: maintenance, repositioning, planned shifting, electrical trip, awaiting infrastructure, standby. Maintenance and awaiting-infrastructure dominate, matching the distribution observed in the real M-1 stoppage report of 07.09.2026.</w:t>
      </w:r>
    </w:p>
    <w:p>
      <w:pPr>
        <w:pStyle w:val="Heading1"/>
      </w:pPr>
      <w:r>
        <w:t>6. Month-wise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Actual (kt)</w:t>
            </w:r>
          </w:p>
        </w:tc>
        <w:tc>
          <w:tcPr>
            <w:tcW w:type="dxa" w:w="2160"/>
          </w:tcPr>
          <w:p>
            <w:r>
              <w:t>Target (kt)</w:t>
            </w:r>
          </w:p>
        </w:tc>
        <w:tc>
          <w:tcPr>
            <w:tcW w:type="dxa" w:w="2160"/>
          </w:tcPr>
          <w:p>
            <w:r>
              <w:t>Achievement</w:t>
            </w:r>
          </w:p>
        </w:tc>
      </w:tr>
      <w:tr>
        <w:tc>
          <w:tcPr>
            <w:tcW w:type="dxa" w:w="2160"/>
          </w:tcPr>
          <w:p>
            <w:r>
              <w:t>January</w:t>
            </w:r>
          </w:p>
        </w:tc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99.3%</w:t>
            </w:r>
          </w:p>
        </w:tc>
      </w:tr>
      <w:tr>
        <w:tc>
          <w:tcPr>
            <w:tcW w:type="dxa" w:w="2160"/>
          </w:tcPr>
          <w:p>
            <w:r>
              <w:t>February</w:t>
            </w:r>
          </w:p>
        </w:tc>
        <w:tc>
          <w:tcPr>
            <w:tcW w:type="dxa" w:w="2160"/>
          </w:tcPr>
          <w:p>
            <w:r>
              <w:t>810</w:t>
            </w:r>
          </w:p>
        </w:tc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</w:tr>
      <w:tr>
        <w:tc>
          <w:tcPr>
            <w:tcW w:type="dxa" w:w="2160"/>
          </w:tcPr>
          <w:p>
            <w:r>
              <w:t>March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April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  <w:tr>
        <w:tc>
          <w:tcPr>
            <w:tcW w:type="dxa" w:w="2160"/>
          </w:tcPr>
          <w:p>
            <w:r>
              <w:t>May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June</w:t>
            </w:r>
          </w:p>
        </w:tc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98.1%</w:t>
            </w:r>
          </w:p>
        </w:tc>
      </w:tr>
      <w:tr>
        <w:tc>
          <w:tcPr>
            <w:tcW w:type="dxa" w:w="2160"/>
          </w:tcPr>
          <w:p>
            <w:r>
              <w:t>July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</w:tr>
      <w:tr>
        <w:tc>
          <w:tcPr>
            <w:tcW w:type="dxa" w:w="2160"/>
          </w:tcPr>
          <w:p>
            <w:r>
              <w:t>August</w:t>
            </w:r>
          </w:p>
        </w:tc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</w:tr>
      <w:tr>
        <w:tc>
          <w:tcPr>
            <w:tcW w:type="dxa" w:w="2160"/>
          </w:tcPr>
          <w:p>
            <w:r>
              <w:t>September</w:t>
            </w:r>
          </w:p>
        </w:tc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</w:tr>
      <w:tr>
        <w:tc>
          <w:tcPr>
            <w:tcW w:type="dxa" w:w="2160"/>
          </w:tcPr>
          <w:p>
            <w:r>
              <w:t>October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  <w:tr>
        <w:tc>
          <w:tcPr>
            <w:tcW w:type="dxa" w:w="2160"/>
          </w:tcPr>
          <w:p>
            <w:r>
              <w:t>November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96.4%</w:t>
            </w:r>
          </w:p>
        </w:tc>
      </w:tr>
      <w:tr>
        <w:tc>
          <w:tcPr>
            <w:tcW w:type="dxa" w:w="2160"/>
          </w:tcPr>
          <w:p>
            <w:r>
              <w:t>December</w:t>
            </w:r>
          </w:p>
        </w:tc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96.6%</w:t>
            </w:r>
          </w:p>
        </w:tc>
      </w:tr>
    </w:tbl>
    <w:p>
      <w:pPr>
        <w:pStyle w:val="Heading1"/>
      </w:pPr>
      <w:r>
        <w:t>7. Data Provenance &amp; Validation</w:t>
      </w:r>
    </w:p>
    <w:p>
      <w:r>
        <w:t>SYNTHETIC demo dataset (seed 42) for SIH26023. Targets validated against NLC India published Mine-I capacity of 10.5 MTPA (875 kt/month; see targets_validation.csv). Production model calibrated from the genuine M-1 STOPPAGE 07.09.2026 report (BWE rates, shift hours, stoppage causes). Rainfall seasonality from Neyveli (Cuddalore) climatology - NE monsoon Oct-Dec. All figures in this report are computed deterministically from the dataset CSVs; no AI-generated numbers are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Previous Year Production Report 2025 - NLC Mine-I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