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MEMO</w:t>
      </w:r>
    </w:p>
    <w:p>
      <w:pPr>
        <w:spacing w:after="60"/>
      </w:pPr>
      <w:r>
        <w:rPr>
          <w:b/>
          <w:bCs/>
        </w:rPr>
        <w:t xml:space="preserve">To:  </w:t>
      </w:r>
      <w:r>
        <w:t xml:space="preserve">Project file — QResP (Quantum-Resilient Provenance)</w:t>
      </w:r>
    </w:p>
    <w:p>
      <w:pPr>
        <w:spacing w:after="60"/>
      </w:pPr>
      <w:r>
        <w:rPr>
          <w:b/>
          <w:bCs/>
        </w:rPr>
        <w:t xml:space="preserve">From:  </w:t>
      </w:r>
      <w:r>
        <w:t xml:space="preserve">Aditya Sharma</w:t>
      </w:r>
    </w:p>
    <w:p>
      <w:pPr>
        <w:spacing w:after="60"/>
      </w:pPr>
      <w:r>
        <w:rPr>
          <w:b/>
          <w:bCs/>
        </w:rPr>
        <w:t xml:space="preserve">Date:  </w:t>
      </w:r>
      <w:r>
        <w:t xml:space="preserve">July 6, 2026</w:t>
      </w:r>
    </w:p>
    <w:p>
      <w:pPr>
        <w:spacing w:after="60"/>
      </w:pPr>
      <w:r>
        <w:rPr>
          <w:b/>
          <w:bCs/>
        </w:rPr>
        <w:t xml:space="preserve">Re:  </w:t>
      </w:r>
      <w:r>
        <w:t xml:space="preserve">Three open decision problems before Phase II implementation</w:t>
      </w:r>
    </w:p>
    <w:p>
      <w:pPr>
        <w:pBdr>
          <w:bottom w:val="single" w:color="999999" w:sz="6" w:space="8"/>
        </w:pBdr>
        <w:spacing w:after="240"/>
      </w:pPr>
      <w:r>
        <w:t xml:space="preserve"/>
      </w:r>
    </w:p>
    <w:p>
      <w:pPr>
        <w:spacing w:after="200"/>
      </w:pPr>
      <w:r>
        <w:t xml:space="preserve">Chapter 5 of the end-semester report specifies the architecture for the Phase II prototype, the QRNG-grounded ML-DSA signing pipeline, and Section 8.2 commits to three deliverables for the follow-on project (Hybrid Classical–PQC for Secure Communication). Before implementation starts, three decisions that the specification leaves open need to be resolved.</w:t>
      </w:r>
    </w:p>
    <w:p>
      <w:pPr>
        <w:pStyle w:val="Heading2"/>
        <w:spacing w:after="120" w:before="120"/>
      </w:pPr>
      <w:r>
        <w:t xml:space="preserve">1. QRNG backend and fallback behavior</w:t>
      </w:r>
    </w:p>
    <w:p>
      <w:pPr>
        <w:spacing w:after="200"/>
      </w:pPr>
      <w:r>
        <w:t xml:space="preserve">Chapter 5.3 specifies three interchangeable backends in decreasing order of accessibility: the ANU cloud API (default for the reference implementation), IBM Quantum via Qiskit Runtime (requires an account and is subject to queue times), and a local ID Quantique Quantis USB device (offline, with device-independence guarantees the cloud backends do not have). The reference implementation commits to ANU, but the benchmark deliverable in Section 8.2 requires comparing all three. This raises a question the spec does not answer: what should happen when the QRNG service is unreachable in the middle of a signing operation? Failing closed is safer but hurts availability. Falling back silently to the OS PRNG defeats the purpose of the whole pipeline and, if chosen, needs to be disclosed prominently rather than left as an implicit default.</w:t>
      </w:r>
    </w:p>
    <w:p>
      <w:pPr>
        <w:pStyle w:val="Heading2"/>
        <w:spacing w:after="120" w:before="120"/>
      </w:pPr>
      <w:r>
        <w:t xml:space="preserve">2. How to demonstrate the entropy is actually better</w:t>
      </w:r>
    </w:p>
    <w:p>
      <w:pPr>
        <w:spacing w:after="200"/>
      </w:pPr>
      <w:r>
        <w:t xml:space="preserve">Section 8.2 promises a benchmark comparing key-generation latency and entropy quality between the QRNG backends and the OS PRNG baseline, using NIST SP 800-90B tests. The problem is that both sources should pass ordinary statistical randomness tests if implemented correctly, so a simple pass/fail comparison will not show much of a difference. What needs deciding is which specific property to measure (most likely min-entropy estimation rather than pass/fail) and how many samples are needed for the comparison to be statistically meaningful. This should follow the same rigor Phase I applied when it used Wilson confidence intervals and a power analysis to justify n = 1,000.</w:t>
      </w:r>
    </w:p>
    <w:p>
      <w:pPr>
        <w:pStyle w:val="Heading2"/>
        <w:spacing w:after="120" w:before="120"/>
      </w:pPr>
      <w:r>
        <w:t xml:space="preserve">3. Parameter-set consistency</w:t>
      </w:r>
    </w:p>
    <w:p>
      <w:pPr>
        <w:spacing w:after="200"/>
      </w:pPr>
      <w:r>
        <w:t xml:space="preserve">Chapter 5.5 recommends ML-DSA-44 for model signing, based on its smaller footprint and a security level that is already sufficient for this use case. The Phase II ablation plan, however, uses ML-DSA-65 for configurations B, C, and D. This inconsistency should be resolved before implementation begins, since the parameter-set choice also determines the wire format for the hybrid Ed25519 + ML-DSA signing mode described in Section 8.2, specifically whether the signed artifact carries two independent signatures and in what container format.</w:t>
      </w:r>
    </w:p>
    <w:p>
      <w:pPr>
        <w:spacing w:before="100"/>
      </w:pPr>
      <w:r>
        <w:t xml:space="preserve">Resolving these three decisions now will let implementation proceed directly from the Chapter 5 specification, as intended.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2026-07-06T07:53:38.488Z</dcterms:created>
  <dcterms:modified xsi:type="dcterms:W3CDTF">2026-07-06T07:53:38.488Z</dcterms:modified>
</cp:coreProperties>
</file>

<file path=docProps/custom.xml><?xml version="1.0" encoding="utf-8"?>
<Properties xmlns="http://schemas.openxmlformats.org/officeDocument/2006/custom-properties" xmlns:vt="http://schemas.openxmlformats.org/officeDocument/2006/docPropsVTypes"/>
</file>