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2orjph60mc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>
          <w:u w:val="single"/>
        </w:rPr>
      </w:pPr>
      <w:bookmarkStart w:colFirst="0" w:colLast="0" w:name="_p7n28qhhd3y3" w:id="1"/>
      <w:bookmarkEnd w:id="1"/>
      <w:r w:rsidDel="00000000" w:rsidR="00000000" w:rsidRPr="00000000">
        <w:rPr>
          <w:u w:val="single"/>
          <w:rtl w:val="0"/>
        </w:rPr>
        <w:t xml:space="preserve">TASK 1: Campaign Viability Analysis — GlowNest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Unit Economics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Margin = ₹800 − ₹280 = ₹520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Fee = ₹800 × 12% = ₹96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Cost per Unit = ₹3,00,000 ÷ 1,500 = ₹200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 Margin per Ad Unit = ₹520 − ₹96 − ₹200 = ₹224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Monthly Profitability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Margin per Organic Unit = ₹520 − ₹96 = ₹424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Profit from Ad Units = 1,500 × ₹224 = ₹3,36,000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from Organic Units = 2,000 × ₹424 = ₹8,48,000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before Fixed Costs = ₹11,84,000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Less Fixed Costs = ₹1,50,000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Profit = ₹10,34,000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ACOS and TACOS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Ad Revenue = 1,500 × ₹800 = ₹12,00,000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= 3,500 × ₹800 = ₹28,00,000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ACOS = ₹3,00,000 ÷ ₹12,00,000 × 100 = 25% TACOS = ₹3,00,000 ÷ ₹28,00,000 × 100 = 10.7%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Analysis: ACOS of 25% is acceptable because net margin per unit is still positive at ₹224. TACOS of 10.7% is healthy — well below the 15% benchmark. Strong organic sales indicate the brand is building real equity on the platform, not just buying visibility.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Break-Even Ad Spend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profit (fixed) = 2,000 × ₹424 = ₹8,48,000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Break-even equation: 1,500 × (₹424 − X/1,500) + ₹8,48,000 − ₹1,50,000 = 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Solving for X: </w:t>
      </w:r>
      <w:r w:rsidDel="00000000" w:rsidR="00000000" w:rsidRPr="00000000">
        <w:rPr>
          <w:b w:val="1"/>
          <w:bCs w:val="1"/>
          <w:rtl w:val="0"/>
        </w:rPr>
        <w:t xml:space="preserve">Maximum Ad Spend = ₹13,34,000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Break-even ACOS = ₹13,34,000 ÷ ₹12,00,000 × 100 = </w:t>
      </w:r>
      <w:r w:rsidDel="00000000" w:rsidR="00000000" w:rsidRPr="00000000">
        <w:rPr>
          <w:b w:val="1"/>
          <w:bCs w:val="1"/>
          <w:rtl w:val="0"/>
        </w:rPr>
        <w:t xml:space="preserve">111%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Assumption: Units sold via ads remain at 1,500 regardless of spend level.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Scenario — ACOS worsens to 40%, Ad Units drop to 1,200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Spend at 40% ACOS = 40% × (1,200 × ₹800) = ₹3,84,000 Ad Cost per Unit = ₹3,84,000 ÷ 1,200 = ₹320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 Margin per Ad Unit = ₹520 − ₹96 − ₹320 = ₹104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 from Ad Units = 1,200 × ₹104 = ₹1,24,800 Profit from Organic Units = 2,000 × ₹424 = ₹8,48,000 Monthly Profit = ₹9,72,800 − ₹1,50,000 = </w:t>
      </w:r>
      <w:r w:rsidDel="00000000" w:rsidR="00000000" w:rsidRPr="00000000">
        <w:rPr>
          <w:b w:val="1"/>
          <w:bCs w:val="1"/>
          <w:rtl w:val="0"/>
        </w:rPr>
        <w:t xml:space="preserve">₹8,22,800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profit drops from ₹10,34,000 to ₹8,22,800 — a decline of ₹2,11,200. The business remains profitable but the trend is concerning.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 Pause broad match keywords, shift budget to exact match, conduct a negative keyword audit, and improve product listing quality to recover conversion rates.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Scenario — Ad Spend doubled to ₹6,00,000, Units increase to 2,500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Cost per Unit = ₹6,00,000 ÷ 2,500 = ₹240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 Margin per Ad Unit = ₹520 − ₹96 − ₹240 = ₹184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 from Ad Units = 2,500 × ₹184 = ₹4,60,000 Profit from Organic Units = 2,000 × ₹424 = ₹8,48,000 Monthly Profit = ₹13,08,000 − ₹1,50,000 = </w:t>
      </w:r>
      <w:r w:rsidDel="00000000" w:rsidR="00000000" w:rsidRPr="00000000">
        <w:rPr>
          <w:b w:val="1"/>
          <w:bCs w:val="1"/>
          <w:rtl w:val="0"/>
        </w:rPr>
        <w:t xml:space="preserve">₹11,58,000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 profit = ₹11,58,000 − ₹10,34,000 = ₹1,24,000 for ₹3,00,000 extra spend. Diminishing returns are clearly visible — margin per ad unit fell from ₹224 to ₹184.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 Do not double spend immediately. Test at ₹4,50,000 first, monitor unit economics, then decide whether to scale further.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