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Highlights</w:t>
      </w:r>
    </w:p>
    <w:p>
      <w:pPr>
        <w:jc w:val="center"/>
      </w:pPr>
      <w:r>
        <w:rPr>
          <w:i/>
        </w:rPr>
        <w:t>Forecast accuracy does not guarantee carbon-aware scheduling value: A Great Britain trace replay</w:t>
      </w:r>
    </w:p>
    <w:p>
      <w:pPr>
        <w:pStyle w:val="ListBullet"/>
        <w:spacing w:after="120"/>
      </w:pPr>
      <w:r>
        <w:t>HGB reduced forecast MAE by 15.05% against a strong non-ML benchmark.</w:t>
      </w:r>
    </w:p>
    <w:p>
      <w:pPr>
        <w:pStyle w:val="ListBullet"/>
        <w:spacing w:after="120"/>
      </w:pPr>
      <w:r>
        <w:t>Lower forecast error did not improve the primary scheduling outcome.</w:t>
      </w:r>
    </w:p>
    <w:p>
      <w:pPr>
        <w:pStyle w:val="ListBullet"/>
        <w:spacing w:after="120"/>
      </w:pPr>
      <w:r>
        <w:t>Simple climatology captured 92.02% of the perfect-information opportunity.</w:t>
      </w:r>
    </w:p>
    <w:p>
      <w:pPr>
        <w:pStyle w:val="ListBullet"/>
        <w:spacing w:after="120"/>
      </w:pPr>
      <w:r>
        <w:t>Results are attributional estimates, not measured avoided emissions.</w:t>
      </w:r>
    </w:p>
    <w:sectPr w:rsidR="00FC693F" w:rsidRPr="0006063C" w:rsidSect="00034616">
      <w:pgSz w:w="11906" w:h="16838"/>
      <w:pgMar w:top="778" w:right="893" w:bottom="792" w:left="893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Shrivastava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