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Credit Card Fraud Detection System using Unsupervised Isolation Forest Anomaly Detection (AEGIS RiskOps)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Intermediate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20"/>
      </w:pPr>
      <w:r>
        <w:rPr>
          <w:rFonts w:ascii="Arial" w:hAnsi="Arial"/>
          <w:sz w:val="20"/>
        </w:rPr>
        <w:t xml:space="preserve">Banks, payment gateways and cardholders lose tens of billions of dollars to credit card fraud every year (over $32 billion in recent years), and the volume of real-time, contactless and cross-border payments makes manual review of every transaction impossible. The core difficulty is that fraud is extremely rare (only 0.172% of transactions in the benchmark data) and attackers keep changing tactics, so supervised models become biased towards “legitimate” and miss new patterns, while rigid rule-based filters block genuine customers. This project solves it by building an unsupervised anomaly-detection engine that scores each transaction in milliseconds and explains why it was flagged.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20"/>
      </w:pPr>
      <w:r>
        <w:rPr>
          <w:rFonts w:ascii="Arial" w:hAnsi="Arial"/>
          <w:sz w:val="20"/>
        </w:rPr>
        <w:t xml:space="preserve">We built AEGIS RiskOps, a fraud-detection and risk-intelligence platform powered by an unsupervised Isolation Forest (100 trees, scikit-learn) trained on the European Cardholder dataset. Fraudulent transactions are rare and structurally different, so they are isolated in fewer random splits and receive a higher anomaly score; a decision threshold (τ = 0.036042), tuned on validation data to maximise the F1-score, converts the score into a Fraud / Legitimate verdict, a risk percentage and a LOW / MODERATE / HIGH / CRITICAL risk tier. A Flask REST API serves single-transaction and batch scoring, and a Z-score explainability module shows which PCA features (V1–V28) and the amount drove each flag. Every result is logged to SQLite (with optional MySQL sync) and presented in a web dashboard with a risk gauge, batch CSV auditor, live payment-stream radar and Chart.js analytics. Flagged payments are intended to trigger step-up authentication (OTP / 3-D Secure) rather than outright rejection, so genuine customers face minimal friction.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before="60" w:after="100"/>
        <w:jc w:val="center"/>
      </w:pPr>
      <w:r>
        <w:drawing>
          <wp:inline distT="0" distB="0" distL="0" distR="0">
            <wp:extent cx="5212080" cy="2694152"/>
            <wp:docPr id="101" name="DFD Level 0" descr="Data Flow Diagram Level 0 of the AEGIS RiskOps fraud detec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FD Level 0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drawing>
          <wp:inline distT="0" distB="0" distL="0" distR="0">
            <wp:extent cx="5029200" cy="3845486"/>
            <wp:docPr id="102" name="System Block Diagram" descr="System block diagram showing presentation, API, persistence and ML inference layers plus the offline trainin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ystem Block Diagram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4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Frontend / UI: </w:t>
      </w:r>
      <w:r>
        <w:rPr>
          <w:rFonts w:ascii="Arial" w:hAnsi="Arial"/>
          <w:sz w:val="20"/>
        </w:rPr>
        <w:t xml:space="preserve">HTML5, modern CSS and JavaScript (ES6) – single-page Risk Operations dashboard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Backend / Logic: </w:t>
      </w:r>
      <w:r>
        <w:rPr>
          <w:rFonts w:ascii="Arial" w:hAnsi="Arial"/>
          <w:sz w:val="20"/>
        </w:rPr>
        <w:t xml:space="preserve">Python 3.10+, Flask REST API (with CORS), pandas, NumPy, joblib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Database: </w:t>
      </w:r>
      <w:r>
        <w:rPr>
          <w:rFonts w:ascii="Arial" w:hAnsi="Arial"/>
          <w:sz w:val="20"/>
        </w:rPr>
        <w:t xml:space="preserve">SQLite (default, zero-configuration); optional MySQL sync via mysql-connector-python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AI/ML Framework: </w:t>
      </w:r>
      <w:r>
        <w:rPr>
          <w:rFonts w:ascii="Arial" w:hAnsi="Arial"/>
          <w:sz w:val="20"/>
        </w:rPr>
        <w:t xml:space="preserve">scikit-learn – IsolationForest (100 estimators) and StandardScaler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Visualisation: </w:t>
      </w:r>
      <w:r>
        <w:rPr>
          <w:rFonts w:ascii="Arial" w:hAnsi="Arial"/>
          <w:sz w:val="20"/>
        </w:rPr>
        <w:t xml:space="preserve">Chart.js analytics, animated SVG risk gauge, Canvas live-stream radar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Hardware: </w:t>
      </w:r>
      <w:r>
        <w:rPr>
          <w:rFonts w:ascii="Arial" w:hAnsi="Arial"/>
          <w:sz w:val="20"/>
        </w:rPr>
        <w:t xml:space="preserve">Not applicable – runs on a standard PC (dual-core CPU, 4 GB RAM, 500 MB free disk)</w:t>
      </w:r>
    </w:p>
    <w:p>
      <w:pPr>
        <w:spacing w:after="60"/>
      </w:pP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Dataset file name: </w:t>
      </w:r>
      <w:r>
        <w:rPr>
          <w:rFonts w:ascii="Arial" w:hAnsi="Arial"/>
          <w:sz w:val="20"/>
        </w:rPr>
        <w:t xml:space="preserve">creditcard.csv – European Cardholder Dataset (Sept 2013, ML Group, Université Libre de Bruxelles)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Number of rows: </w:t>
      </w:r>
      <w:r>
        <w:rPr>
          <w:rFonts w:ascii="Arial" w:hAnsi="Arial"/>
          <w:sz w:val="20"/>
        </w:rPr>
        <w:t xml:space="preserve">284,807 transactions (283,726 after removing 1,081 duplicates; 492 frauds in raw data, 473 after de-duplication)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Number of columns: </w:t>
      </w:r>
      <w:r>
        <w:rPr>
          <w:rFonts w:ascii="Arial" w:hAnsi="Arial"/>
          <w:sz w:val="20"/>
        </w:rPr>
        <w:t xml:space="preserve">31 (Time, V1–V28, Amount and the binary target Class)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Key columns (list 5): </w:t>
      </w:r>
      <w:r>
        <w:rPr>
          <w:rFonts w:ascii="Arial" w:hAnsi="Arial"/>
          <w:sz w:val="20"/>
        </w:rPr>
        <w:t xml:space="preserve">Time, Amount, V14, V4, Class (plus the PCA components V1–V28 as model inputs)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Any additional data collected: </w:t>
      </w:r>
      <w:r>
        <w:rPr>
          <w:rFonts w:ascii="Arial" w:hAnsi="Arial"/>
          <w:sz w:val="20"/>
        </w:rPr>
        <w:t xml:space="preserve">None – only small sample / test CSV files (25–30 rows) provided for testing the dashboard and CLI</w:t>
      </w:r>
    </w:p>
    <w:p>
      <w:pPr>
        <w:spacing w:after="60"/>
      </w:pP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Metric 1: Model Accuracy — </w:t>
      </w:r>
      <w:r>
        <w:rPr>
          <w:rFonts w:ascii="Arial" w:hAnsi="Arial"/>
          <w:sz w:val="20"/>
        </w:rPr>
        <w:t xml:space="preserve">99.68% (untouched 20% test split of 56,746 transactions)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Metric 2: ROC-AUC — </w:t>
      </w:r>
      <w:r>
        <w:rPr>
          <w:rFonts w:ascii="Arial" w:hAnsi="Arial"/>
          <w:sz w:val="20"/>
        </w:rPr>
        <w:t xml:space="preserve">0.9407 (PR-AUC 0.0913)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Metric 3: F1 Score — </w:t>
      </w:r>
      <w:r>
        <w:rPr>
          <w:rFonts w:ascii="Arial" w:hAnsi="Arial"/>
          <w:sz w:val="20"/>
        </w:rPr>
        <w:t xml:space="preserve">0.2115 (Precision 18.18%, Recall 25.26% at τ = 0.036042)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Metric 4: Response Time — </w:t>
      </w:r>
      <w:r>
        <w:rPr>
          <w:rFonts w:ascii="Arial" w:hAnsi="Arial"/>
          <w:sz w:val="20"/>
        </w:rPr>
        <w:t xml:space="preserve">&lt; 3 ms per transaction; hundreds of rows scored in a batch in under 20 ms</w:t>
      </w:r>
    </w:p>
    <w:p>
      <w:pPr>
        <w:spacing w:after="60"/>
      </w:pPr>
      <w:r>
        <w:rPr>
          <w:rFonts w:ascii="Arial" w:hAnsi="Arial"/>
          <w:b/>
          <w:sz w:val="20"/>
        </w:rPr>
        <w:t xml:space="preserve">Business value achieved: </w:t>
      </w:r>
      <w:r>
        <w:rPr>
          <w:rFonts w:ascii="Arial" w:hAnsi="Arial"/>
          <w:sz w:val="20"/>
        </w:rPr>
        <w:t xml:space="preserve">A label-free, first-line fraud filter that caught 24 of the 95 frauds in the test set (25.26% recall) while flagging only about 0.23% of transactions (132 of 56,746). Its sub-3 ms latency suits real-time payment authorisation, flagged payments are routed to step-up authentication instead of being declined, and analysts receive Z-score explanations and a full audit trail for every decision.</w:t>
      </w:r>
    </w:p>
    <w:p>
      <w:pPr>
        <w:spacing w:after="120"/>
      </w:pPr>
      <w:r>
        <w:rPr>
          <w:rFonts w:ascii="Arial" w:hAnsi="Arial"/>
          <w:i/>
          <w:color w:val="707070"/>
          <w:sz w:val="18"/>
        </w:rPr>
        <w:t xml:space="preserve">Note: because only 0.17% of transactions are fraud, accuracy alone is misleading; ROC-AUC, precision and recall are the more meaningful measures.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70"/>
      </w:pPr>
      <w:r>
        <w:rPr>
          <w:rFonts w:ascii="Arial" w:hAnsi="Arial"/>
          <w:b/>
          <w:sz w:val="20"/>
        </w:rPr>
        <w:t xml:space="preserve">Challenge 1: </w:t>
      </w:r>
      <w:r>
        <w:rPr>
          <w:rFonts w:ascii="Arial" w:hAnsi="Arial"/>
          <w:sz w:val="20"/>
        </w:rPr>
        <w:t xml:space="preserve">Extreme class imbalance (0.172% fraud) – supervised models tend to predict everything as legitimate and look accurate while missing fraud. </w:t>
      </w:r>
      <w:r>
        <w:rPr>
          <w:rFonts w:ascii="Arial" w:hAnsi="Arial"/>
          <w:b/>
          <w:sz w:val="20"/>
        </w:rPr>
        <w:t xml:space="preserve">→ Resolution: </w:t>
      </w:r>
      <w:r>
        <w:rPr>
          <w:rFonts w:ascii="Arial" w:hAnsi="Arial"/>
          <w:sz w:val="20"/>
        </w:rPr>
        <w:t xml:space="preserve">Used an unsupervised Isolation Forest that does not need labelled training data, and judged it with ROC-AUC, PR-AUC, precision, recall and F1 instead of accuracy alone.</w:t>
      </w:r>
    </w:p>
    <w:p>
      <w:pPr>
        <w:spacing w:after="70"/>
      </w:pPr>
      <w:r>
        <w:rPr>
          <w:rFonts w:ascii="Arial" w:hAnsi="Arial"/>
          <w:b/>
          <w:sz w:val="20"/>
        </w:rPr>
        <w:t xml:space="preserve">Challenge 2: </w:t>
      </w:r>
      <w:r>
        <w:rPr>
          <w:rFonts w:ascii="Arial" w:hAnsi="Arial"/>
          <w:sz w:val="20"/>
        </w:rPr>
        <w:t xml:space="preserve">No natural cut-off between “normal” and “fraud” in the raw anomaly score. </w:t>
      </w:r>
      <w:r>
        <w:rPr>
          <w:rFonts w:ascii="Arial" w:hAnsi="Arial"/>
          <w:b/>
          <w:sz w:val="20"/>
        </w:rPr>
        <w:t xml:space="preserve">→ Resolution: </w:t>
      </w:r>
      <w:r>
        <w:rPr>
          <w:rFonts w:ascii="Arial" w:hAnsi="Arial"/>
          <w:sz w:val="20"/>
        </w:rPr>
        <w:t xml:space="preserve">Swept the score range on validation data and fixed the threshold at τ = 0.036042 (maximum F1), then evaluated once on an untouched test set.</w:t>
      </w:r>
    </w:p>
    <w:p>
      <w:pPr>
        <w:spacing w:after="70"/>
      </w:pPr>
      <w:r>
        <w:rPr>
          <w:rFonts w:ascii="Arial" w:hAnsi="Arial"/>
          <w:b/>
          <w:sz w:val="20"/>
        </w:rPr>
        <w:t xml:space="preserve">Challenge 3: </w:t>
      </w:r>
      <w:r>
        <w:rPr>
          <w:rFonts w:ascii="Arial" w:hAnsi="Arial"/>
          <w:sz w:val="20"/>
        </w:rPr>
        <w:t xml:space="preserve">Data quality – 1,081 duplicate transactions and a highly skewed Amount column. </w:t>
      </w:r>
      <w:r>
        <w:rPr>
          <w:rFonts w:ascii="Arial" w:hAnsi="Arial"/>
          <w:b/>
          <w:sz w:val="20"/>
        </w:rPr>
        <w:t xml:space="preserve">→ Resolution: </w:t>
      </w:r>
      <w:r>
        <w:rPr>
          <w:rFonts w:ascii="Arial" w:hAnsi="Arial"/>
          <w:sz w:val="20"/>
        </w:rPr>
        <w:t xml:space="preserve">Removed the duplicates and standardised Amount with StandardScaler so large purchases do not distort tree path lengths.</w:t>
      </w:r>
    </w:p>
    <w:p>
      <w:pPr>
        <w:spacing w:after="70"/>
      </w:pPr>
      <w:r>
        <w:rPr>
          <w:rFonts w:ascii="Arial" w:hAnsi="Arial"/>
          <w:b/>
          <w:sz w:val="20"/>
        </w:rPr>
        <w:t xml:space="preserve">Challenge 4: </w:t>
      </w:r>
      <w:r>
        <w:rPr>
          <w:rFonts w:ascii="Arial" w:hAnsi="Arial"/>
          <w:sz w:val="20"/>
        </w:rPr>
        <w:t xml:space="preserve">Explaining decisions when V1–V28 are anonymised PCA features, and false alarms on rare genuine high-value purchases. </w:t>
      </w:r>
      <w:r>
        <w:rPr>
          <w:rFonts w:ascii="Arial" w:hAnsi="Arial"/>
          <w:b/>
          <w:sz w:val="20"/>
        </w:rPr>
        <w:t xml:space="preserve">→ Resolution: </w:t>
      </w:r>
      <w:r>
        <w:rPr>
          <w:rFonts w:ascii="Arial" w:hAnsi="Arial"/>
          <w:sz w:val="20"/>
        </w:rPr>
        <w:t xml:space="preserve">Added Z-score feature attribution (|z| &gt; 1.8) to show the main drivers, and route flagged payments to OTP / 3-D Secure rather than blocking them.</w:t>
      </w:r>
    </w:p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keepNext/>
        <w:spacing w:after="50"/>
        <w:ind w:left="360" w:hanging="360"/>
      </w:pPr>
      <w:r>
        <w:rPr>
          <w:rFonts w:ascii="Arial" w:hAnsi="Arial"/>
          <w:sz w:val="20"/>
        </w:rPr>
        <w:t xml:space="preserve">1. Liu, F. T., Ting, K. M., &amp; Zhou, Z.-H. (2008). </w:t>
      </w:r>
      <w:r>
        <w:rPr>
          <w:rFonts w:ascii="Arial" w:hAnsi="Arial"/>
          <w:i/>
          <w:sz w:val="20"/>
        </w:rPr>
        <w:t xml:space="preserve">Isolation Forest</w:t>
      </w:r>
      <w:r>
        <w:rPr>
          <w:rFonts w:ascii="Arial" w:hAnsi="Arial"/>
          <w:sz w:val="20"/>
        </w:rPr>
        <w:t xml:space="preserve">. Eighth IEEE International Conference on Data Mining (ICDM), pp. 413–422. DOI: 10.1109/ICDM.2008.17.</w:t>
      </w:r>
    </w:p>
    <w:p>
      <w:pPr>
        <w:keepNext/>
        <w:spacing w:after="50"/>
        <w:ind w:left="360" w:hanging="360"/>
      </w:pPr>
      <w:r>
        <w:rPr>
          <w:rFonts w:ascii="Arial" w:hAnsi="Arial"/>
          <w:sz w:val="20"/>
        </w:rPr>
        <w:t xml:space="preserve">2. Liu, F. T., Ting, K. M., &amp; Zhou, Z.-H. (2012). </w:t>
      </w:r>
      <w:r>
        <w:rPr>
          <w:rFonts w:ascii="Arial" w:hAnsi="Arial"/>
          <w:i/>
          <w:sz w:val="20"/>
        </w:rPr>
        <w:t xml:space="preserve">Isolation-based Anomaly Detection</w:t>
      </w:r>
      <w:r>
        <w:rPr>
          <w:rFonts w:ascii="Arial" w:hAnsi="Arial"/>
          <w:sz w:val="20"/>
        </w:rPr>
        <w:t xml:space="preserve">. ACM Transactions on Knowledge Discovery from Data (TKDD), 6(1), 1–39.</w:t>
      </w:r>
    </w:p>
    <w:p>
      <w:pPr>
        <w:keepNext/>
        <w:spacing w:after="50"/>
        <w:ind w:left="360" w:hanging="360"/>
      </w:pPr>
      <w:r>
        <w:rPr>
          <w:rFonts w:ascii="Arial" w:hAnsi="Arial"/>
          <w:sz w:val="20"/>
        </w:rPr>
        <w:t xml:space="preserve">3. Dal Pozzolo, A., Caelen, O., Johnson, R. A., &amp; Bontempi, G. (2015). </w:t>
      </w:r>
      <w:r>
        <w:rPr>
          <w:rFonts w:ascii="Arial" w:hAnsi="Arial"/>
          <w:i/>
          <w:sz w:val="20"/>
        </w:rPr>
        <w:t xml:space="preserve">Calibrating Probability with Undersampling for Unbalanced Classification</w:t>
      </w:r>
      <w:r>
        <w:rPr>
          <w:rFonts w:ascii="Arial" w:hAnsi="Arial"/>
          <w:sz w:val="20"/>
        </w:rPr>
        <w:t xml:space="preserve">. IEEE Symposium Series on Computational Intelligence (SSCI), pp. 159–166.</w:t>
      </w:r>
    </w:p>
    <w:p>
      <w:pPr>
        <w:keepNext/>
        <w:spacing w:after="50"/>
        <w:ind w:left="360" w:hanging="360"/>
      </w:pPr>
      <w:r>
        <w:rPr>
          <w:rFonts w:ascii="Arial" w:hAnsi="Arial"/>
          <w:sz w:val="20"/>
        </w:rPr>
        <w:t xml:space="preserve">4. Pedregosa, F., et al. (2011). </w:t>
      </w:r>
      <w:r>
        <w:rPr>
          <w:rFonts w:ascii="Arial" w:hAnsi="Arial"/>
          <w:i/>
          <w:sz w:val="20"/>
        </w:rPr>
        <w:t xml:space="preserve">Scikit-learn: Machine Learning in Python</w:t>
      </w:r>
      <w:r>
        <w:rPr>
          <w:rFonts w:ascii="Arial" w:hAnsi="Arial"/>
          <w:sz w:val="20"/>
        </w:rPr>
        <w:t xml:space="preserve">. Journal of Machine Learning Research, 12, 2825–2830.</w:t>
      </w:r>
    </w:p>
    <w:p>
      <w:pPr>
        <w:spacing w:after="50"/>
        <w:ind w:left="360" w:hanging="360"/>
      </w:pPr>
      <w:r>
        <w:rPr>
          <w:rFonts w:ascii="Arial" w:hAnsi="Arial"/>
          <w:sz w:val="20"/>
        </w:rPr>
        <w:t xml:space="preserve">5. Grinberg, M. (2018). </w:t>
      </w:r>
      <w:r>
        <w:rPr>
          <w:rFonts w:ascii="Arial" w:hAnsi="Arial"/>
          <w:i/>
          <w:sz w:val="20"/>
        </w:rPr>
        <w:t xml:space="preserve">Flask Web Development: Developing Web Applications with Python</w:t>
      </w:r>
      <w:r>
        <w:rPr>
          <w:rFonts w:ascii="Arial" w:hAnsi="Arial"/>
          <w:sz w:val="20"/>
        </w:rPr>
        <w:t xml:space="preserve">. O’Reilly Media, 2nd Edition.</w:t>
      </w:r>
    </w:p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DDB84D-8007-4329-8663-CDF17A2F0AE9}"/>
</file>

<file path=customXml/itemProps3.xml><?xml version="1.0" encoding="utf-8"?>
<ds:datastoreItem xmlns:ds="http://schemas.openxmlformats.org/officeDocument/2006/customXml" ds:itemID="{0602B3BB-6946-4DC9-87D8-19ED5E550E68}"/>
</file>

<file path=customXml/itemProps4.xml><?xml version="1.0" encoding="utf-8"?>
<ds:datastoreItem xmlns:ds="http://schemas.openxmlformats.org/officeDocument/2006/customXml" ds:itemID="{BB535BFB-FB2D-42F2-A1BB-64DD98FBB2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