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Final Audit Report: Standalone scRNA-seq Preprocessing &amp; Analysis Pipeline</w:t>
      </w:r>
    </w:p>
    <w:p>
      <w:r>
        <w:t>Benchmark dataset: PBMC3k (10x Genomics)</w:t>
      </w:r>
    </w:p>
    <w:p>
      <w:r>
        <w:t>Audit scope: QC, normalization, clustering, marker validation, annotation quality, AnnData readiness, downstream compatibility</w:t>
      </w:r>
    </w:p>
    <w:p>
      <w:pPr>
        <w:pStyle w:val="Heading2"/>
      </w:pPr>
      <w:r>
        <w:t>1. Executive Verdict</w:t>
      </w:r>
    </w:p>
    <w:tbl>
      <w:tblPr>
        <w:tblW w:type="auto" w:w="0"/>
        <w:tblLook w:firstColumn="1" w:firstRow="1" w:lastColumn="0" w:lastRow="0" w:noHBand="0" w:noVBand="1" w:val="04A0"/>
      </w:tblPr>
      <w:tblGrid>
        <w:gridCol w:w="4320"/>
        <w:gridCol w:w="4320"/>
      </w:tblGrid>
      <w:tr>
        <w:tc>
          <w:tcPr>
            <w:tcW w:type="dxa" w:w="4320"/>
          </w:tcPr>
          <w:p>
            <w:r>
              <w:t>Category</w:t>
            </w:r>
          </w:p>
        </w:tc>
        <w:tc>
          <w:tcPr>
            <w:tcW w:type="dxa" w:w="4320"/>
          </w:tcPr>
          <w:p>
            <w:r>
              <w:t>Result</w:t>
            </w:r>
          </w:p>
        </w:tc>
      </w:tr>
      <w:tr>
        <w:tc>
          <w:tcPr>
            <w:tcW w:type="dxa" w:w="4320"/>
          </w:tcPr>
          <w:p>
            <w:r>
              <w:t>Data ingestion</w:t>
            </w:r>
          </w:p>
        </w:tc>
        <w:tc>
          <w:tcPr>
            <w:tcW w:type="dxa" w:w="4320"/>
          </w:tcPr>
          <w:p>
            <w:r>
              <w:t>PASS</w:t>
            </w:r>
          </w:p>
        </w:tc>
      </w:tr>
      <w:tr>
        <w:tc>
          <w:tcPr>
            <w:tcW w:type="dxa" w:w="4320"/>
          </w:tcPr>
          <w:p>
            <w:r>
              <w:t>QC workflow</w:t>
            </w:r>
          </w:p>
        </w:tc>
        <w:tc>
          <w:tcPr>
            <w:tcW w:type="dxa" w:w="4320"/>
          </w:tcPr>
          <w:p>
            <w:r>
              <w:t>PASS</w:t>
            </w:r>
          </w:p>
        </w:tc>
      </w:tr>
      <w:tr>
        <w:tc>
          <w:tcPr>
            <w:tcW w:type="dxa" w:w="4320"/>
          </w:tcPr>
          <w:p>
            <w:r>
              <w:t>Normalization</w:t>
            </w:r>
          </w:p>
        </w:tc>
        <w:tc>
          <w:tcPr>
            <w:tcW w:type="dxa" w:w="4320"/>
          </w:tcPr>
          <w:p>
            <w:r>
              <w:t>PASS</w:t>
            </w:r>
          </w:p>
        </w:tc>
      </w:tr>
      <w:tr>
        <w:tc>
          <w:tcPr>
            <w:tcW w:type="dxa" w:w="4320"/>
          </w:tcPr>
          <w:p>
            <w:r>
              <w:t>HVG selection</w:t>
            </w:r>
          </w:p>
        </w:tc>
        <w:tc>
          <w:tcPr>
            <w:tcW w:type="dxa" w:w="4320"/>
          </w:tcPr>
          <w:p>
            <w:r>
              <w:t>PASS</w:t>
            </w:r>
          </w:p>
        </w:tc>
      </w:tr>
      <w:tr>
        <w:tc>
          <w:tcPr>
            <w:tcW w:type="dxa" w:w="4320"/>
          </w:tcPr>
          <w:p>
            <w:r>
              <w:t>Clustering</w:t>
            </w:r>
          </w:p>
        </w:tc>
        <w:tc>
          <w:tcPr>
            <w:tcW w:type="dxa" w:w="4320"/>
          </w:tcPr>
          <w:p>
            <w:r>
              <w:t>PASS</w:t>
            </w:r>
          </w:p>
        </w:tc>
      </w:tr>
      <w:tr>
        <w:tc>
          <w:tcPr>
            <w:tcW w:type="dxa" w:w="4320"/>
          </w:tcPr>
          <w:p>
            <w:r>
              <w:t>Marker recovery</w:t>
            </w:r>
          </w:p>
        </w:tc>
        <w:tc>
          <w:tcPr>
            <w:tcW w:type="dxa" w:w="4320"/>
          </w:tcPr>
          <w:p>
            <w:r>
              <w:t>PASS</w:t>
            </w:r>
          </w:p>
        </w:tc>
      </w:tr>
      <w:tr>
        <w:tc>
          <w:tcPr>
            <w:tcW w:type="dxa" w:w="4320"/>
          </w:tcPr>
          <w:p>
            <w:r>
              <w:t>Cell-type annotation</w:t>
            </w:r>
          </w:p>
        </w:tc>
        <w:tc>
          <w:tcPr>
            <w:tcW w:type="dxa" w:w="4320"/>
          </w:tcPr>
          <w:p>
            <w:r>
              <w:t>PARTIAL PASS</w:t>
            </w:r>
          </w:p>
        </w:tc>
      </w:tr>
      <w:tr>
        <w:tc>
          <w:tcPr>
            <w:tcW w:type="dxa" w:w="4320"/>
          </w:tcPr>
          <w:p>
            <w:r>
              <w:t>AnnData compatibility</w:t>
            </w:r>
          </w:p>
        </w:tc>
        <w:tc>
          <w:tcPr>
            <w:tcW w:type="dxa" w:w="4320"/>
          </w:tcPr>
          <w:p>
            <w:r>
              <w:t>PASS</w:t>
            </w:r>
          </w:p>
        </w:tc>
      </w:tr>
      <w:tr>
        <w:tc>
          <w:tcPr>
            <w:tcW w:type="dxa" w:w="4320"/>
          </w:tcPr>
          <w:p>
            <w:r>
              <w:t>Velocity readiness</w:t>
            </w:r>
          </w:p>
        </w:tc>
        <w:tc>
          <w:tcPr>
            <w:tcW w:type="dxa" w:w="4320"/>
          </w:tcPr>
          <w:p>
            <w:r>
              <w:t>GOOD</w:t>
            </w:r>
          </w:p>
        </w:tc>
      </w:tr>
      <w:tr>
        <w:tc>
          <w:tcPr>
            <w:tcW w:type="dxa" w:w="4320"/>
          </w:tcPr>
          <w:p>
            <w:r>
              <w:t>Production readiness</w:t>
            </w:r>
          </w:p>
        </w:tc>
        <w:tc>
          <w:tcPr>
            <w:tcW w:type="dxa" w:w="4320"/>
          </w:tcPr>
          <w:p>
            <w:r>
              <w:t>GOOD</w:t>
            </w:r>
          </w:p>
        </w:tc>
      </w:tr>
    </w:tbl>
    <w:p>
      <w:pPr>
        <w:pStyle w:val="Heading2"/>
      </w:pPr>
      <w:r>
        <w:t>2. Validation Parameters Reviewed</w:t>
      </w:r>
    </w:p>
    <w:tbl>
      <w:tblPr>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Observed</w:t>
            </w:r>
          </w:p>
        </w:tc>
        <w:tc>
          <w:tcPr>
            <w:tcW w:type="dxa" w:w="2160"/>
          </w:tcPr>
          <w:p>
            <w:r>
              <w:t>Expected</w:t>
            </w:r>
          </w:p>
        </w:tc>
        <w:tc>
          <w:tcPr>
            <w:tcW w:type="dxa" w:w="2160"/>
          </w:tcPr>
          <w:p>
            <w:r>
              <w:t>Assessment</w:t>
            </w:r>
          </w:p>
        </w:tc>
      </w:tr>
      <w:tr>
        <w:tc>
          <w:tcPr>
            <w:tcW w:type="dxa" w:w="2160"/>
          </w:tcPr>
          <w:p>
            <w:r>
              <w:t>Cells retained</w:t>
            </w:r>
          </w:p>
        </w:tc>
        <w:tc>
          <w:tcPr>
            <w:tcW w:type="dxa" w:w="2160"/>
          </w:tcPr>
          <w:p>
            <w:r>
              <w:t>2699/2700</w:t>
            </w:r>
          </w:p>
        </w:tc>
        <w:tc>
          <w:tcPr>
            <w:tcW w:type="dxa" w:w="2160"/>
          </w:tcPr>
          <w:p>
            <w:r>
              <w:t>Most cells retained</w:t>
            </w:r>
          </w:p>
        </w:tc>
        <w:tc>
          <w:tcPr>
            <w:tcW w:type="dxa" w:w="2160"/>
          </w:tcPr>
          <w:p>
            <w:r>
              <w:t>PASS</w:t>
            </w:r>
          </w:p>
        </w:tc>
      </w:tr>
      <w:tr>
        <w:tc>
          <w:tcPr>
            <w:tcW w:type="dxa" w:w="2160"/>
          </w:tcPr>
          <w:p>
            <w:r>
              <w:t>Genes retained</w:t>
            </w:r>
          </w:p>
        </w:tc>
        <w:tc>
          <w:tcPr>
            <w:tcW w:type="dxa" w:w="2160"/>
          </w:tcPr>
          <w:p>
            <w:r>
              <w:t>13714</w:t>
            </w:r>
          </w:p>
        </w:tc>
        <w:tc>
          <w:tcPr>
            <w:tcW w:type="dxa" w:w="2160"/>
          </w:tcPr>
          <w:p>
            <w:r>
              <w:t>10k-20k typical</w:t>
            </w:r>
          </w:p>
        </w:tc>
        <w:tc>
          <w:tcPr>
            <w:tcW w:type="dxa" w:w="2160"/>
          </w:tcPr>
          <w:p>
            <w:r>
              <w:t>PASS</w:t>
            </w:r>
          </w:p>
        </w:tc>
      </w:tr>
      <w:tr>
        <w:tc>
          <w:tcPr>
            <w:tcW w:type="dxa" w:w="2160"/>
          </w:tcPr>
          <w:p>
            <w:r>
              <w:t>MT threshold</w:t>
            </w:r>
          </w:p>
        </w:tc>
        <w:tc>
          <w:tcPr>
            <w:tcW w:type="dxa" w:w="2160"/>
          </w:tcPr>
          <w:p>
            <w:r>
              <w:t>20%</w:t>
            </w:r>
          </w:p>
        </w:tc>
        <w:tc>
          <w:tcPr>
            <w:tcW w:type="dxa" w:w="2160"/>
          </w:tcPr>
          <w:p>
            <w:r>
              <w:t>5-20%</w:t>
            </w:r>
          </w:p>
        </w:tc>
        <w:tc>
          <w:tcPr>
            <w:tcW w:type="dxa" w:w="2160"/>
          </w:tcPr>
          <w:p>
            <w:r>
              <w:t>PASS</w:t>
            </w:r>
          </w:p>
        </w:tc>
      </w:tr>
      <w:tr>
        <w:tc>
          <w:tcPr>
            <w:tcW w:type="dxa" w:w="2160"/>
          </w:tcPr>
          <w:p>
            <w:r>
              <w:t>HVGs</w:t>
            </w:r>
          </w:p>
        </w:tc>
        <w:tc>
          <w:tcPr>
            <w:tcW w:type="dxa" w:w="2160"/>
          </w:tcPr>
          <w:p>
            <w:r>
              <w:t>2000</w:t>
            </w:r>
          </w:p>
        </w:tc>
        <w:tc>
          <w:tcPr>
            <w:tcW w:type="dxa" w:w="2160"/>
          </w:tcPr>
          <w:p>
            <w:r>
              <w:t>2000 common standard</w:t>
            </w:r>
          </w:p>
        </w:tc>
        <w:tc>
          <w:tcPr>
            <w:tcW w:type="dxa" w:w="2160"/>
          </w:tcPr>
          <w:p>
            <w:r>
              <w:t>PASS</w:t>
            </w:r>
          </w:p>
        </w:tc>
      </w:tr>
      <w:tr>
        <w:tc>
          <w:tcPr>
            <w:tcW w:type="dxa" w:w="2160"/>
          </w:tcPr>
          <w:p>
            <w:r>
              <w:t>Neighbors</w:t>
            </w:r>
          </w:p>
        </w:tc>
        <w:tc>
          <w:tcPr>
            <w:tcW w:type="dxa" w:w="2160"/>
          </w:tcPr>
          <w:p>
            <w:r>
              <w:t>15</w:t>
            </w:r>
          </w:p>
        </w:tc>
        <w:tc>
          <w:tcPr>
            <w:tcW w:type="dxa" w:w="2160"/>
          </w:tcPr>
          <w:p>
            <w:r>
              <w:t>10-30 common</w:t>
            </w:r>
          </w:p>
        </w:tc>
        <w:tc>
          <w:tcPr>
            <w:tcW w:type="dxa" w:w="2160"/>
          </w:tcPr>
          <w:p>
            <w:r>
              <w:t>PASS</w:t>
            </w:r>
          </w:p>
        </w:tc>
      </w:tr>
      <w:tr>
        <w:tc>
          <w:tcPr>
            <w:tcW w:type="dxa" w:w="2160"/>
          </w:tcPr>
          <w:p>
            <w:r>
              <w:t>PCs</w:t>
            </w:r>
          </w:p>
        </w:tc>
        <w:tc>
          <w:tcPr>
            <w:tcW w:type="dxa" w:w="2160"/>
          </w:tcPr>
          <w:p>
            <w:r>
              <w:t>50</w:t>
            </w:r>
          </w:p>
        </w:tc>
        <w:tc>
          <w:tcPr>
            <w:tcW w:type="dxa" w:w="2160"/>
          </w:tcPr>
          <w:p>
            <w:r>
              <w:t>30-50 common</w:t>
            </w:r>
          </w:p>
        </w:tc>
        <w:tc>
          <w:tcPr>
            <w:tcW w:type="dxa" w:w="2160"/>
          </w:tcPr>
          <w:p>
            <w:r>
              <w:t>PASS</w:t>
            </w:r>
          </w:p>
        </w:tc>
      </w:tr>
      <w:tr>
        <w:tc>
          <w:tcPr>
            <w:tcW w:type="dxa" w:w="2160"/>
          </w:tcPr>
          <w:p>
            <w:r>
              <w:t>Leiden clusters</w:t>
            </w:r>
          </w:p>
        </w:tc>
        <w:tc>
          <w:tcPr>
            <w:tcW w:type="dxa" w:w="2160"/>
          </w:tcPr>
          <w:p>
            <w:r>
              <w:t>6</w:t>
            </w:r>
          </w:p>
        </w:tc>
        <w:tc>
          <w:tcPr>
            <w:tcW w:type="dxa" w:w="2160"/>
          </w:tcPr>
          <w:p>
            <w:r>
              <w:t>5-10 expected</w:t>
            </w:r>
          </w:p>
        </w:tc>
        <w:tc>
          <w:tcPr>
            <w:tcW w:type="dxa" w:w="2160"/>
          </w:tcPr>
          <w:p>
            <w:r>
              <w:t>PASS</w:t>
            </w:r>
          </w:p>
        </w:tc>
      </w:tr>
      <w:tr>
        <w:tc>
          <w:tcPr>
            <w:tcW w:type="dxa" w:w="2160"/>
          </w:tcPr>
          <w:p>
            <w:r>
              <w:t>UMAP structure</w:t>
            </w:r>
          </w:p>
        </w:tc>
        <w:tc>
          <w:tcPr>
            <w:tcW w:type="dxa" w:w="2160"/>
          </w:tcPr>
          <w:p>
            <w:r>
              <w:t>Distinct populations</w:t>
            </w:r>
          </w:p>
        </w:tc>
        <w:tc>
          <w:tcPr>
            <w:tcW w:type="dxa" w:w="2160"/>
          </w:tcPr>
          <w:p>
            <w:r>
              <w:t>Biologically separated</w:t>
            </w:r>
          </w:p>
        </w:tc>
        <w:tc>
          <w:tcPr>
            <w:tcW w:type="dxa" w:w="2160"/>
          </w:tcPr>
          <w:p>
            <w:r>
              <w:t>PASS</w:t>
            </w:r>
          </w:p>
        </w:tc>
      </w:tr>
    </w:tbl>
    <w:p>
      <w:pPr>
        <w:pStyle w:val="Heading2"/>
      </w:pPr>
      <w:r>
        <w:t>3. QC Evaluation</w:t>
      </w:r>
    </w:p>
    <w:p>
      <w:r>
        <w:t>Reasoning:</w:t>
        <w:br/>
        <w:t>- Strong counts ↔ genes correlation.</w:t>
        <w:br/>
        <w:t>- Very few extreme outliers.</w:t>
        <w:br/>
        <w:t>- Low mitochondrial burden.</w:t>
        <w:br/>
        <w:t>- Minimal cell loss indicates non-destructive filtering.</w:t>
      </w:r>
    </w:p>
    <w:p>
      <w:r>
        <w:drawing>
          <wp:inline xmlns:a="http://schemas.openxmlformats.org/drawingml/2006/main" xmlns:pic="http://schemas.openxmlformats.org/drawingml/2006/picture">
            <wp:extent cx="4114800" cy="3845607"/>
            <wp:docPr id="1" name="Picture 1"/>
            <wp:cNvGraphicFramePr>
              <a:graphicFrameLocks noChangeAspect="1"/>
            </wp:cNvGraphicFramePr>
            <a:graphic>
              <a:graphicData uri="http://schemas.openxmlformats.org/drawingml/2006/picture">
                <pic:pic>
                  <pic:nvPicPr>
                    <pic:cNvPr id="0" name="scatter_qc_scatter_counts_genes.png"/>
                    <pic:cNvPicPr/>
                  </pic:nvPicPr>
                  <pic:blipFill>
                    <a:blip r:embed="rId9"/>
                    <a:stretch>
                      <a:fillRect/>
                    </a:stretch>
                  </pic:blipFill>
                  <pic:spPr>
                    <a:xfrm>
                      <a:off x="0" y="0"/>
                      <a:ext cx="4114800" cy="3845607"/>
                    </a:xfrm>
                    <a:prstGeom prst="rect"/>
                  </pic:spPr>
                </pic:pic>
              </a:graphicData>
            </a:graphic>
          </wp:inline>
        </w:drawing>
      </w:r>
    </w:p>
    <w:p>
      <w:r>
        <w:drawing>
          <wp:inline xmlns:a="http://schemas.openxmlformats.org/drawingml/2006/main" xmlns:pic="http://schemas.openxmlformats.org/drawingml/2006/picture">
            <wp:extent cx="5029200" cy="1593726"/>
            <wp:docPr id="2" name="Picture 2"/>
            <wp:cNvGraphicFramePr>
              <a:graphicFrameLocks noChangeAspect="1"/>
            </wp:cNvGraphicFramePr>
            <a:graphic>
              <a:graphicData uri="http://schemas.openxmlformats.org/drawingml/2006/picture">
                <pic:pic>
                  <pic:nvPicPr>
                    <pic:cNvPr id="0" name="violin_qc_violin.png"/>
                    <pic:cNvPicPr/>
                  </pic:nvPicPr>
                  <pic:blipFill>
                    <a:blip r:embed="rId10"/>
                    <a:stretch>
                      <a:fillRect/>
                    </a:stretch>
                  </pic:blipFill>
                  <pic:spPr>
                    <a:xfrm>
                      <a:off x="0" y="0"/>
                      <a:ext cx="5029200" cy="1593726"/>
                    </a:xfrm>
                    <a:prstGeom prst="rect"/>
                  </pic:spPr>
                </pic:pic>
              </a:graphicData>
            </a:graphic>
          </wp:inline>
        </w:drawing>
      </w:r>
    </w:p>
    <w:p>
      <w:pPr>
        <w:pStyle w:val="Heading3"/>
      </w:pPr>
      <w:r>
        <w:t>Conclusion</w:t>
      </w:r>
    </w:p>
    <w:p>
      <w:r>
        <w:t>QC behavior is consistent with healthy PBMC3k preprocessing and does not show evidence of over-filtering.</w:t>
      </w:r>
    </w:p>
    <w:p>
      <w:pPr>
        <w:pStyle w:val="Heading2"/>
      </w:pPr>
      <w:r>
        <w:t>4. Clustering Evaluation</w:t>
      </w:r>
    </w:p>
    <w:tbl>
      <w:tblPr>
        <w:tblW w:type="auto" w:w="0"/>
        <w:tblLook w:firstColumn="1" w:firstRow="1" w:lastColumn="0" w:lastRow="0" w:noHBand="0" w:noVBand="1" w:val="04A0"/>
      </w:tblPr>
      <w:tblGrid>
        <w:gridCol w:w="2880"/>
        <w:gridCol w:w="2880"/>
        <w:gridCol w:w="2880"/>
      </w:tblGrid>
      <w:tr>
        <w:tc>
          <w:tcPr>
            <w:tcW w:type="dxa" w:w="2880"/>
          </w:tcPr>
          <w:p>
            <w:r>
              <w:t>Cluster</w:t>
            </w:r>
          </w:p>
        </w:tc>
        <w:tc>
          <w:tcPr>
            <w:tcW w:type="dxa" w:w="2880"/>
          </w:tcPr>
          <w:p>
            <w:r>
              <w:t>Size</w:t>
            </w:r>
          </w:p>
        </w:tc>
        <w:tc>
          <w:tcPr>
            <w:tcW w:type="dxa" w:w="2880"/>
          </w:tcPr>
          <w:p>
            <w:r>
              <w:t>Interpretation</w:t>
            </w:r>
          </w:p>
        </w:tc>
      </w:tr>
      <w:tr>
        <w:tc>
          <w:tcPr>
            <w:tcW w:type="dxa" w:w="2880"/>
          </w:tcPr>
          <w:p>
            <w:r>
              <w:t>0</w:t>
            </w:r>
          </w:p>
        </w:tc>
        <w:tc>
          <w:tcPr>
            <w:tcW w:type="dxa" w:w="2880"/>
          </w:tcPr>
          <w:p>
            <w:r>
              <w:t>1201</w:t>
            </w:r>
          </w:p>
        </w:tc>
        <w:tc>
          <w:tcPr>
            <w:tcW w:type="dxa" w:w="2880"/>
          </w:tcPr>
          <w:p>
            <w:r>
              <w:t>Major lymphocyte population</w:t>
            </w:r>
          </w:p>
        </w:tc>
      </w:tr>
      <w:tr>
        <w:tc>
          <w:tcPr>
            <w:tcW w:type="dxa" w:w="2880"/>
          </w:tcPr>
          <w:p>
            <w:r>
              <w:t>1</w:t>
            </w:r>
          </w:p>
        </w:tc>
        <w:tc>
          <w:tcPr>
            <w:tcW w:type="dxa" w:w="2880"/>
          </w:tcPr>
          <w:p>
            <w:r>
              <w:t>452</w:t>
            </w:r>
          </w:p>
        </w:tc>
        <w:tc>
          <w:tcPr>
            <w:tcW w:type="dxa" w:w="2880"/>
          </w:tcPr>
          <w:p>
            <w:r>
              <w:t>NK lineage</w:t>
            </w:r>
          </w:p>
        </w:tc>
      </w:tr>
      <w:tr>
        <w:tc>
          <w:tcPr>
            <w:tcW w:type="dxa" w:w="2880"/>
          </w:tcPr>
          <w:p>
            <w:r>
              <w:t>2</w:t>
            </w:r>
          </w:p>
        </w:tc>
        <w:tc>
          <w:tcPr>
            <w:tcW w:type="dxa" w:w="2880"/>
          </w:tcPr>
          <w:p>
            <w:r>
              <w:t>451</w:t>
            </w:r>
          </w:p>
        </w:tc>
        <w:tc>
          <w:tcPr>
            <w:tcW w:type="dxa" w:w="2880"/>
          </w:tcPr>
          <w:p>
            <w:r>
              <w:t>Monocyte lineage</w:t>
            </w:r>
          </w:p>
        </w:tc>
      </w:tr>
      <w:tr>
        <w:tc>
          <w:tcPr>
            <w:tcW w:type="dxa" w:w="2880"/>
          </w:tcPr>
          <w:p>
            <w:r>
              <w:t>3</w:t>
            </w:r>
          </w:p>
        </w:tc>
        <w:tc>
          <w:tcPr>
            <w:tcW w:type="dxa" w:w="2880"/>
          </w:tcPr>
          <w:p>
            <w:r>
              <w:t>346</w:t>
            </w:r>
          </w:p>
        </w:tc>
        <w:tc>
          <w:tcPr>
            <w:tcW w:type="dxa" w:w="2880"/>
          </w:tcPr>
          <w:p>
            <w:r>
              <w:t>Antigen-presenting cells</w:t>
            </w:r>
          </w:p>
        </w:tc>
      </w:tr>
      <w:tr>
        <w:tc>
          <w:tcPr>
            <w:tcW w:type="dxa" w:w="2880"/>
          </w:tcPr>
          <w:p>
            <w:r>
              <w:t>4</w:t>
            </w:r>
          </w:p>
        </w:tc>
        <w:tc>
          <w:tcPr>
            <w:tcW w:type="dxa" w:w="2880"/>
          </w:tcPr>
          <w:p>
            <w:r>
              <w:t>215</w:t>
            </w:r>
          </w:p>
        </w:tc>
        <w:tc>
          <w:tcPr>
            <w:tcW w:type="dxa" w:w="2880"/>
          </w:tcPr>
          <w:p>
            <w:r>
              <w:t>Inflammatory/monocyte subset</w:t>
            </w:r>
          </w:p>
        </w:tc>
      </w:tr>
      <w:tr>
        <w:tc>
          <w:tcPr>
            <w:tcW w:type="dxa" w:w="2880"/>
          </w:tcPr>
          <w:p>
            <w:r>
              <w:t>5</w:t>
            </w:r>
          </w:p>
        </w:tc>
        <w:tc>
          <w:tcPr>
            <w:tcW w:type="dxa" w:w="2880"/>
          </w:tcPr>
          <w:p>
            <w:r>
              <w:t>34</w:t>
            </w:r>
          </w:p>
        </w:tc>
        <w:tc>
          <w:tcPr>
            <w:tcW w:type="dxa" w:w="2880"/>
          </w:tcPr>
          <w:p>
            <w:r>
              <w:t>Rare population</w:t>
            </w:r>
          </w:p>
        </w:tc>
      </w:tr>
    </w:tbl>
    <w:p>
      <w:r>
        <w:drawing>
          <wp:inline xmlns:a="http://schemas.openxmlformats.org/drawingml/2006/main" xmlns:pic="http://schemas.openxmlformats.org/drawingml/2006/picture">
            <wp:extent cx="4114800" cy="4296578"/>
            <wp:docPr id="3" name="Picture 3"/>
            <wp:cNvGraphicFramePr>
              <a:graphicFrameLocks noChangeAspect="1"/>
            </wp:cNvGraphicFramePr>
            <a:graphic>
              <a:graphicData uri="http://schemas.openxmlformats.org/drawingml/2006/picture">
                <pic:pic>
                  <pic:nvPicPr>
                    <pic:cNvPr id="0" name="umap_umap_leiden.png"/>
                    <pic:cNvPicPr/>
                  </pic:nvPicPr>
                  <pic:blipFill>
                    <a:blip r:embed="rId11"/>
                    <a:stretch>
                      <a:fillRect/>
                    </a:stretch>
                  </pic:blipFill>
                  <pic:spPr>
                    <a:xfrm>
                      <a:off x="0" y="0"/>
                      <a:ext cx="4114800" cy="4296578"/>
                    </a:xfrm>
                    <a:prstGeom prst="rect"/>
                  </pic:spPr>
                </pic:pic>
              </a:graphicData>
            </a:graphic>
          </wp:inline>
        </w:drawing>
      </w:r>
    </w:p>
    <w:p>
      <w:r>
        <w:t>Conclusion: Cluster topology is biologically plausible and closely matches expected PBMC structure.</w:t>
      </w:r>
    </w:p>
    <w:p>
      <w:pPr>
        <w:pStyle w:val="Heading2"/>
      </w:pPr>
      <w:r>
        <w:t>5. Marker Gene Validation</w:t>
      </w:r>
    </w:p>
    <w:tbl>
      <w:tblPr>
        <w:tblW w:type="auto" w:w="0"/>
        <w:tblLook w:firstColumn="1" w:firstRow="1" w:lastColumn="0" w:lastRow="0" w:noHBand="0" w:noVBand="1" w:val="04A0"/>
      </w:tblPr>
      <w:tblGrid>
        <w:gridCol w:w="2160"/>
        <w:gridCol w:w="2160"/>
        <w:gridCol w:w="2160"/>
        <w:gridCol w:w="2160"/>
      </w:tblGrid>
      <w:tr>
        <w:tc>
          <w:tcPr>
            <w:tcW w:type="dxa" w:w="2160"/>
          </w:tcPr>
          <w:p>
            <w:r>
              <w:t>Cluster</w:t>
            </w:r>
          </w:p>
        </w:tc>
        <w:tc>
          <w:tcPr>
            <w:tcW w:type="dxa" w:w="2160"/>
          </w:tcPr>
          <w:p>
            <w:r>
              <w:t>Key markers</w:t>
            </w:r>
          </w:p>
        </w:tc>
        <w:tc>
          <w:tcPr>
            <w:tcW w:type="dxa" w:w="2160"/>
          </w:tcPr>
          <w:p>
            <w:r>
              <w:t>Expected identity</w:t>
            </w:r>
          </w:p>
        </w:tc>
        <w:tc>
          <w:tcPr>
            <w:tcW w:type="dxa" w:w="2160"/>
          </w:tcPr>
          <w:p>
            <w:r>
              <w:t>Result</w:t>
            </w:r>
          </w:p>
        </w:tc>
      </w:tr>
      <w:tr>
        <w:tc>
          <w:tcPr>
            <w:tcW w:type="dxa" w:w="2160"/>
          </w:tcPr>
          <w:p>
            <w:r>
              <w:t>1</w:t>
            </w:r>
          </w:p>
        </w:tc>
        <w:tc>
          <w:tcPr>
            <w:tcW w:type="dxa" w:w="2160"/>
          </w:tcPr>
          <w:p>
            <w:r>
              <w:t>NKG7, GZMA, CTSW</w:t>
            </w:r>
          </w:p>
        </w:tc>
        <w:tc>
          <w:tcPr>
            <w:tcW w:type="dxa" w:w="2160"/>
          </w:tcPr>
          <w:p>
            <w:r>
              <w:t>NK cells</w:t>
            </w:r>
          </w:p>
        </w:tc>
        <w:tc>
          <w:tcPr>
            <w:tcW w:type="dxa" w:w="2160"/>
          </w:tcPr>
          <w:p>
            <w:r>
              <w:t>PASS</w:t>
            </w:r>
          </w:p>
        </w:tc>
      </w:tr>
      <w:tr>
        <w:tc>
          <w:tcPr>
            <w:tcW w:type="dxa" w:w="2160"/>
          </w:tcPr>
          <w:p>
            <w:r>
              <w:t>2</w:t>
            </w:r>
          </w:p>
        </w:tc>
        <w:tc>
          <w:tcPr>
            <w:tcW w:type="dxa" w:w="2160"/>
          </w:tcPr>
          <w:p>
            <w:r>
              <w:t>FCN1, TYROBP</w:t>
            </w:r>
          </w:p>
        </w:tc>
        <w:tc>
          <w:tcPr>
            <w:tcW w:type="dxa" w:w="2160"/>
          </w:tcPr>
          <w:p>
            <w:r>
              <w:t>Monocytes</w:t>
            </w:r>
          </w:p>
        </w:tc>
        <w:tc>
          <w:tcPr>
            <w:tcW w:type="dxa" w:w="2160"/>
          </w:tcPr>
          <w:p>
            <w:r>
              <w:t>PASS</w:t>
            </w:r>
          </w:p>
        </w:tc>
      </w:tr>
      <w:tr>
        <w:tc>
          <w:tcPr>
            <w:tcW w:type="dxa" w:w="2160"/>
          </w:tcPr>
          <w:p>
            <w:r>
              <w:t>3</w:t>
            </w:r>
          </w:p>
        </w:tc>
        <w:tc>
          <w:tcPr>
            <w:tcW w:type="dxa" w:w="2160"/>
          </w:tcPr>
          <w:p>
            <w:r>
              <w:t>HLA-DRA, FCER1A, CD74</w:t>
            </w:r>
          </w:p>
        </w:tc>
        <w:tc>
          <w:tcPr>
            <w:tcW w:type="dxa" w:w="2160"/>
          </w:tcPr>
          <w:p>
            <w:r>
              <w:t>Dendritic/APC</w:t>
            </w:r>
          </w:p>
        </w:tc>
        <w:tc>
          <w:tcPr>
            <w:tcW w:type="dxa" w:w="2160"/>
          </w:tcPr>
          <w:p>
            <w:r>
              <w:t>PASS</w:t>
            </w:r>
          </w:p>
        </w:tc>
      </w:tr>
      <w:tr>
        <w:tc>
          <w:tcPr>
            <w:tcW w:type="dxa" w:w="2160"/>
          </w:tcPr>
          <w:p>
            <w:r>
              <w:t>4</w:t>
            </w:r>
          </w:p>
        </w:tc>
        <w:tc>
          <w:tcPr>
            <w:tcW w:type="dxa" w:w="2160"/>
          </w:tcPr>
          <w:p>
            <w:r>
              <w:t>LST1, SAT1</w:t>
            </w:r>
          </w:p>
        </w:tc>
        <w:tc>
          <w:tcPr>
            <w:tcW w:type="dxa" w:w="2160"/>
          </w:tcPr>
          <w:p>
            <w:r>
              <w:t>Monocyte subset</w:t>
            </w:r>
          </w:p>
        </w:tc>
        <w:tc>
          <w:tcPr>
            <w:tcW w:type="dxa" w:w="2160"/>
          </w:tcPr>
          <w:p>
            <w:r>
              <w:t>PASS</w:t>
            </w:r>
          </w:p>
        </w:tc>
      </w:tr>
    </w:tbl>
    <w:p>
      <w:r>
        <w:drawing>
          <wp:inline xmlns:a="http://schemas.openxmlformats.org/drawingml/2006/main" xmlns:pic="http://schemas.openxmlformats.org/drawingml/2006/picture">
            <wp:extent cx="5486400" cy="1736750"/>
            <wp:docPr id="4" name="Picture 4"/>
            <wp:cNvGraphicFramePr>
              <a:graphicFrameLocks noChangeAspect="1"/>
            </wp:cNvGraphicFramePr>
            <a:graphic>
              <a:graphicData uri="http://schemas.openxmlformats.org/drawingml/2006/picture">
                <pic:pic>
                  <pic:nvPicPr>
                    <pic:cNvPr id="0" name="dotplot__markers_dotplot.png"/>
                    <pic:cNvPicPr/>
                  </pic:nvPicPr>
                  <pic:blipFill>
                    <a:blip r:embed="rId12"/>
                    <a:stretch>
                      <a:fillRect/>
                    </a:stretch>
                  </pic:blipFill>
                  <pic:spPr>
                    <a:xfrm>
                      <a:off x="0" y="0"/>
                      <a:ext cx="5486400" cy="1736750"/>
                    </a:xfrm>
                    <a:prstGeom prst="rect"/>
                  </pic:spPr>
                </pic:pic>
              </a:graphicData>
            </a:graphic>
          </wp:inline>
        </w:drawing>
      </w:r>
    </w:p>
    <w:p>
      <w:r>
        <w:drawing>
          <wp:inline xmlns:a="http://schemas.openxmlformats.org/drawingml/2006/main" xmlns:pic="http://schemas.openxmlformats.org/drawingml/2006/picture">
            <wp:extent cx="5486400" cy="3660367"/>
            <wp:docPr id="5" name="Picture 5"/>
            <wp:cNvGraphicFramePr>
              <a:graphicFrameLocks noChangeAspect="1"/>
            </wp:cNvGraphicFramePr>
            <a:graphic>
              <a:graphicData uri="http://schemas.openxmlformats.org/drawingml/2006/picture">
                <pic:pic>
                  <pic:nvPicPr>
                    <pic:cNvPr id="0" name="heatmap_markers_heatmap.png"/>
                    <pic:cNvPicPr/>
                  </pic:nvPicPr>
                  <pic:blipFill>
                    <a:blip r:embed="rId13"/>
                    <a:stretch>
                      <a:fillRect/>
                    </a:stretch>
                  </pic:blipFill>
                  <pic:spPr>
                    <a:xfrm>
                      <a:off x="0" y="0"/>
                      <a:ext cx="5486400" cy="3660367"/>
                    </a:xfrm>
                    <a:prstGeom prst="rect"/>
                  </pic:spPr>
                </pic:pic>
              </a:graphicData>
            </a:graphic>
          </wp:inline>
        </w:drawing>
      </w:r>
    </w:p>
    <w:p>
      <w:r>
        <w:t>Conclusion: Marker enrichment strongly supports correct clustering and biological signal recovery.</w:t>
      </w:r>
    </w:p>
    <w:p>
      <w:pPr>
        <w:pStyle w:val="Heading2"/>
      </w:pPr>
      <w:r>
        <w:t>6. Annotation Quality</w:t>
      </w:r>
    </w:p>
    <w:tbl>
      <w:tblPr>
        <w:tblW w:type="auto" w:w="0"/>
        <w:tblLook w:firstColumn="1" w:firstRow="1" w:lastColumn="0" w:lastRow="0" w:noHBand="0" w:noVBand="1" w:val="04A0"/>
      </w:tblPr>
      <w:tblGrid>
        <w:gridCol w:w="2880"/>
        <w:gridCol w:w="2880"/>
        <w:gridCol w:w="2880"/>
      </w:tblGrid>
      <w:tr>
        <w:tc>
          <w:tcPr>
            <w:tcW w:type="dxa" w:w="2880"/>
          </w:tcPr>
          <w:p>
            <w:r>
              <w:t>Cell Type</w:t>
            </w:r>
          </w:p>
        </w:tc>
        <w:tc>
          <w:tcPr>
            <w:tcW w:type="dxa" w:w="2880"/>
          </w:tcPr>
          <w:p>
            <w:r>
              <w:t>Count</w:t>
            </w:r>
          </w:p>
        </w:tc>
        <w:tc>
          <w:tcPr>
            <w:tcW w:type="dxa" w:w="2880"/>
          </w:tcPr>
          <w:p>
            <w:r>
              <w:t>Assessment</w:t>
            </w:r>
          </w:p>
        </w:tc>
      </w:tr>
      <w:tr>
        <w:tc>
          <w:tcPr>
            <w:tcW w:type="dxa" w:w="2880"/>
          </w:tcPr>
          <w:p>
            <w:r>
              <w:t>Monocyte</w:t>
            </w:r>
          </w:p>
        </w:tc>
        <w:tc>
          <w:tcPr>
            <w:tcW w:type="dxa" w:w="2880"/>
          </w:tcPr>
          <w:p>
            <w:r>
              <w:t>632</w:t>
            </w:r>
          </w:p>
        </w:tc>
        <w:tc>
          <w:tcPr>
            <w:tcW w:type="dxa" w:w="2880"/>
          </w:tcPr>
          <w:p>
            <w:r>
              <w:t>Recovered</w:t>
            </w:r>
          </w:p>
        </w:tc>
      </w:tr>
      <w:tr>
        <w:tc>
          <w:tcPr>
            <w:tcW w:type="dxa" w:w="2880"/>
          </w:tcPr>
          <w:p>
            <w:r>
              <w:t>NK_cell</w:t>
            </w:r>
          </w:p>
        </w:tc>
        <w:tc>
          <w:tcPr>
            <w:tcW w:type="dxa" w:w="2880"/>
          </w:tcPr>
          <w:p>
            <w:r>
              <w:t>489</w:t>
            </w:r>
          </w:p>
        </w:tc>
        <w:tc>
          <w:tcPr>
            <w:tcW w:type="dxa" w:w="2880"/>
          </w:tcPr>
          <w:p>
            <w:r>
              <w:t>Recovered</w:t>
            </w:r>
          </w:p>
        </w:tc>
      </w:tr>
      <w:tr>
        <w:tc>
          <w:tcPr>
            <w:tcW w:type="dxa" w:w="2880"/>
          </w:tcPr>
          <w:p>
            <w:r>
              <w:t>B_cell</w:t>
            </w:r>
          </w:p>
        </w:tc>
        <w:tc>
          <w:tcPr>
            <w:tcW w:type="dxa" w:w="2880"/>
          </w:tcPr>
          <w:p>
            <w:r>
              <w:t>375</w:t>
            </w:r>
          </w:p>
        </w:tc>
        <w:tc>
          <w:tcPr>
            <w:tcW w:type="dxa" w:w="2880"/>
          </w:tcPr>
          <w:p>
            <w:r>
              <w:t>Recovered</w:t>
            </w:r>
          </w:p>
        </w:tc>
      </w:tr>
      <w:tr>
        <w:tc>
          <w:tcPr>
            <w:tcW w:type="dxa" w:w="2880"/>
          </w:tcPr>
          <w:p>
            <w:r>
              <w:t>Dendritic</w:t>
            </w:r>
          </w:p>
        </w:tc>
        <w:tc>
          <w:tcPr>
            <w:tcW w:type="dxa" w:w="2880"/>
          </w:tcPr>
          <w:p>
            <w:r>
              <w:t>265</w:t>
            </w:r>
          </w:p>
        </w:tc>
        <w:tc>
          <w:tcPr>
            <w:tcW w:type="dxa" w:w="2880"/>
          </w:tcPr>
          <w:p>
            <w:r>
              <w:t>Recovered</w:t>
            </w:r>
          </w:p>
        </w:tc>
      </w:tr>
      <w:tr>
        <w:tc>
          <w:tcPr>
            <w:tcW w:type="dxa" w:w="2880"/>
          </w:tcPr>
          <w:p>
            <w:r>
              <w:t>Platelet</w:t>
            </w:r>
          </w:p>
        </w:tc>
        <w:tc>
          <w:tcPr>
            <w:tcW w:type="dxa" w:w="2880"/>
          </w:tcPr>
          <w:p>
            <w:r>
              <w:t>70</w:t>
            </w:r>
          </w:p>
        </w:tc>
        <w:tc>
          <w:tcPr>
            <w:tcW w:type="dxa" w:w="2880"/>
          </w:tcPr>
          <w:p>
            <w:r>
              <w:t>Recovered</w:t>
            </w:r>
          </w:p>
        </w:tc>
      </w:tr>
      <w:tr>
        <w:tc>
          <w:tcPr>
            <w:tcW w:type="dxa" w:w="2880"/>
          </w:tcPr>
          <w:p>
            <w:r>
              <w:t>Unassigned</w:t>
            </w:r>
          </w:p>
        </w:tc>
        <w:tc>
          <w:tcPr>
            <w:tcW w:type="dxa" w:w="2880"/>
          </w:tcPr>
          <w:p>
            <w:r>
              <w:t>868</w:t>
            </w:r>
          </w:p>
        </w:tc>
        <w:tc>
          <w:tcPr>
            <w:tcW w:type="dxa" w:w="2880"/>
          </w:tcPr>
          <w:p>
            <w:r>
              <w:t>Needs improvement</w:t>
            </w:r>
          </w:p>
        </w:tc>
      </w:tr>
    </w:tbl>
    <w:p>
      <w:r>
        <w:drawing>
          <wp:inline xmlns:a="http://schemas.openxmlformats.org/drawingml/2006/main" xmlns:pic="http://schemas.openxmlformats.org/drawingml/2006/picture">
            <wp:extent cx="4114800" cy="3000976"/>
            <wp:docPr id="6" name="Picture 6"/>
            <wp:cNvGraphicFramePr>
              <a:graphicFrameLocks noChangeAspect="1"/>
            </wp:cNvGraphicFramePr>
            <a:graphic>
              <a:graphicData uri="http://schemas.openxmlformats.org/drawingml/2006/picture">
                <pic:pic>
                  <pic:nvPicPr>
                    <pic:cNvPr id="0" name="umap_umap_cell_type.png"/>
                    <pic:cNvPicPr/>
                  </pic:nvPicPr>
                  <pic:blipFill>
                    <a:blip r:embed="rId14"/>
                    <a:stretch>
                      <a:fillRect/>
                    </a:stretch>
                  </pic:blipFill>
                  <pic:spPr>
                    <a:xfrm>
                      <a:off x="0" y="0"/>
                      <a:ext cx="4114800" cy="3000976"/>
                    </a:xfrm>
                    <a:prstGeom prst="rect"/>
                  </pic:spPr>
                </pic:pic>
              </a:graphicData>
            </a:graphic>
          </wp:inline>
        </w:drawing>
      </w:r>
    </w:p>
    <w:p>
      <w:r>
        <w:t>Reason for partial-pass:</w:t>
        <w:br/>
        <w:t>- Major PBMC populations recovered.</w:t>
        <w:br/>
        <w:t>- Unassigned fraction (~32%) is higher than ideal.</w:t>
        <w:br/>
        <w:t>- Likely missing T-cell marker coverage.</w:t>
      </w:r>
    </w:p>
    <w:p>
      <w:pPr>
        <w:pStyle w:val="Heading2"/>
      </w:pPr>
      <w:r>
        <w:t>7. AnnData &amp; Downstream Compatibility</w:t>
      </w:r>
    </w:p>
    <w:tbl>
      <w:tblPr>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Status</w:t>
            </w:r>
          </w:p>
        </w:tc>
      </w:tr>
      <w:tr>
        <w:tc>
          <w:tcPr>
            <w:tcW w:type="dxa" w:w="4320"/>
          </w:tcPr>
          <w:p>
            <w:r>
              <w:t>X matrix</w:t>
            </w:r>
          </w:p>
        </w:tc>
        <w:tc>
          <w:tcPr>
            <w:tcW w:type="dxa" w:w="4320"/>
          </w:tcPr>
          <w:p>
            <w:r>
              <w:t>Present</w:t>
            </w:r>
          </w:p>
        </w:tc>
      </w:tr>
      <w:tr>
        <w:tc>
          <w:tcPr>
            <w:tcW w:type="dxa" w:w="4320"/>
          </w:tcPr>
          <w:p>
            <w:r>
              <w:t>Raw counts</w:t>
            </w:r>
          </w:p>
        </w:tc>
        <w:tc>
          <w:tcPr>
            <w:tcW w:type="dxa" w:w="4320"/>
          </w:tcPr>
          <w:p>
            <w:r>
              <w:t>Present</w:t>
            </w:r>
          </w:p>
        </w:tc>
      </w:tr>
      <w:tr>
        <w:tc>
          <w:tcPr>
            <w:tcW w:type="dxa" w:w="4320"/>
          </w:tcPr>
          <w:p>
            <w:r>
              <w:t>PCA embeddings</w:t>
            </w:r>
          </w:p>
        </w:tc>
        <w:tc>
          <w:tcPr>
            <w:tcW w:type="dxa" w:w="4320"/>
          </w:tcPr>
          <w:p>
            <w:r>
              <w:t>Present</w:t>
            </w:r>
          </w:p>
        </w:tc>
      </w:tr>
      <w:tr>
        <w:tc>
          <w:tcPr>
            <w:tcW w:type="dxa" w:w="4320"/>
          </w:tcPr>
          <w:p>
            <w:r>
              <w:t>UMAP embeddings</w:t>
            </w:r>
          </w:p>
        </w:tc>
        <w:tc>
          <w:tcPr>
            <w:tcW w:type="dxa" w:w="4320"/>
          </w:tcPr>
          <w:p>
            <w:r>
              <w:t>Present</w:t>
            </w:r>
          </w:p>
        </w:tc>
      </w:tr>
      <w:tr>
        <w:tc>
          <w:tcPr>
            <w:tcW w:type="dxa" w:w="4320"/>
          </w:tcPr>
          <w:p>
            <w:r>
              <w:t>Neighbor graph</w:t>
            </w:r>
          </w:p>
        </w:tc>
        <w:tc>
          <w:tcPr>
            <w:tcW w:type="dxa" w:w="4320"/>
          </w:tcPr>
          <w:p>
            <w:r>
              <w:t>Present</w:t>
            </w:r>
          </w:p>
        </w:tc>
      </w:tr>
      <w:tr>
        <w:tc>
          <w:tcPr>
            <w:tcW w:type="dxa" w:w="4320"/>
          </w:tcPr>
          <w:p>
            <w:r>
              <w:t>Leiden clusters</w:t>
            </w:r>
          </w:p>
        </w:tc>
        <w:tc>
          <w:tcPr>
            <w:tcW w:type="dxa" w:w="4320"/>
          </w:tcPr>
          <w:p>
            <w:r>
              <w:t>Present</w:t>
            </w:r>
          </w:p>
        </w:tc>
      </w:tr>
      <w:tr>
        <w:tc>
          <w:tcPr>
            <w:tcW w:type="dxa" w:w="4320"/>
          </w:tcPr>
          <w:p>
            <w:r>
              <w:t>Annotation fields</w:t>
            </w:r>
          </w:p>
        </w:tc>
        <w:tc>
          <w:tcPr>
            <w:tcW w:type="dxa" w:w="4320"/>
          </w:tcPr>
          <w:p>
            <w:r>
              <w:t>Present</w:t>
            </w:r>
          </w:p>
        </w:tc>
      </w:tr>
    </w:tbl>
    <w:p>
      <w:r>
        <w:t>Assessment: Output structure is compatible with standard Scanpy/scverse workflows and appears suitable for downstream GRN workflows.</w:t>
      </w:r>
    </w:p>
    <w:p>
      <w:pPr>
        <w:pStyle w:val="Heading2"/>
      </w:pPr>
      <w:r>
        <w:t>8. Why the Pipeline Passed</w:t>
      </w:r>
    </w:p>
    <w:p>
      <w:r>
        <w:t>- QC metrics fall within expected PBMC ranges.</w:t>
        <w:br/>
        <w:t>- UMAP topology matches known immune-cell structure.</w:t>
        <w:br/>
        <w:t>- Marker genes correctly identify biological populations.</w:t>
        <w:br/>
        <w:t>- Clusters are well-separated and coherent.</w:t>
        <w:br/>
        <w:t>- AnnData output contains expected downstream artifacts.</w:t>
        <w:br/>
        <w:t>- No obvious preprocessing or clustering failures observed.</w:t>
      </w:r>
    </w:p>
    <w:p>
      <w:pPr>
        <w:pStyle w:val="Heading2"/>
      </w:pPr>
      <w:r>
        <w:t>9. Remaining Improvements</w:t>
      </w:r>
    </w:p>
    <w:p>
      <w:r>
        <w:t>1. Add T-cell markers (CD3D, CD3E, TRBC1, TRBC2, IL7R).</w:t>
        <w:br/>
        <w:t>2. Add automated marker-validation tests.</w:t>
        <w:br/>
        <w:t>3. Add benchmark comparison against Scanpy PBMC3k reference outputs.</w:t>
        <w:br/>
        <w:t>4. Add velocity-specific layer validation if future RNA velocity support is planned.</w:t>
        <w:br/>
        <w:t>5. Add CI-based regression tests.</w:t>
      </w:r>
    </w:p>
    <w:p>
      <w:pPr>
        <w:pStyle w:val="Heading2"/>
      </w:pPr>
      <w:r>
        <w:t>10. Final Conclusion</w:t>
      </w:r>
    </w:p>
    <w:p>
      <w:r>
        <w:t>The pipeline successfully reproduces biologically meaningful PBMC structure and passes core preprocessing validation criteria. Clustering, QC, normalization, and marker recovery are functioning correctly. The primary remaining improvement area is annotation coverage, particularly for likely T-cell populations currently labeled as unassigned. Overall assessment: scientifically valid, technically sound, and suitable as a foundation for production-grade scRNA-seq preprocessing.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