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37928" w14:textId="77777777" w:rsidR="009C2F35" w:rsidRDefault="009C2F35" w:rsidP="009C2F35">
      <w:pPr>
        <w:pStyle w:val="Title"/>
        <w:spacing w:line="360" w:lineRule="auto"/>
        <w:jc w:val="center"/>
        <w:rPr>
          <w:rFonts w:ascii="Times New Roman" w:eastAsia="Times New Roman" w:hAnsi="Times New Roman" w:cs="Times New Roman"/>
          <w:b/>
          <w:sz w:val="40"/>
          <w:szCs w:val="40"/>
        </w:rPr>
      </w:pPr>
      <w:bookmarkStart w:id="0" w:name="_tbo6yls6g0lf" w:colFirst="0" w:colLast="0"/>
      <w:bookmarkEnd w:id="0"/>
      <w:r>
        <w:rPr>
          <w:rFonts w:ascii="Times New Roman" w:eastAsia="Times New Roman" w:hAnsi="Times New Roman" w:cs="Times New Roman"/>
          <w:b/>
          <w:sz w:val="40"/>
          <w:szCs w:val="40"/>
        </w:rPr>
        <w:t xml:space="preserve">Topic - </w:t>
      </w:r>
      <w:r>
        <w:rPr>
          <w:rFonts w:ascii="Times New Roman" w:eastAsia="Times New Roman" w:hAnsi="Times New Roman" w:cs="Times New Roman"/>
          <w:b/>
          <w:color w:val="353740"/>
          <w:sz w:val="40"/>
          <w:szCs w:val="40"/>
          <w:highlight w:val="white"/>
        </w:rPr>
        <w:t xml:space="preserve">Risk and innovation in supply chain management in solar panels </w:t>
      </w:r>
    </w:p>
    <w:p w14:paraId="4DCF9C58" w14:textId="77777777" w:rsidR="00012310" w:rsidRDefault="00012310"/>
    <w:p w14:paraId="31EDF804" w14:textId="77777777" w:rsidR="009C2F35" w:rsidRDefault="009C2F35"/>
    <w:p w14:paraId="586A2006" w14:textId="77777777" w:rsidR="009C2F35" w:rsidRDefault="009C2F35"/>
    <w:p w14:paraId="1EA7AFAE" w14:textId="77777777" w:rsidR="009C2F35" w:rsidRDefault="009C2F35"/>
    <w:p w14:paraId="2B45668A" w14:textId="77777777" w:rsidR="009C2F35" w:rsidRDefault="009C2F35"/>
    <w:p w14:paraId="3C752E53" w14:textId="77777777" w:rsidR="009C2F35" w:rsidRDefault="009C2F35"/>
    <w:p w14:paraId="006C0DBE" w14:textId="77777777" w:rsidR="009C2F35" w:rsidRDefault="009C2F35"/>
    <w:p w14:paraId="64C11D83" w14:textId="77777777" w:rsidR="009C2F35" w:rsidRDefault="009C2F35"/>
    <w:p w14:paraId="1EB82223" w14:textId="77777777" w:rsidR="009C2F35" w:rsidRDefault="009C2F35"/>
    <w:p w14:paraId="0999154F" w14:textId="77777777" w:rsidR="009C2F35" w:rsidRDefault="009C2F35"/>
    <w:p w14:paraId="536529E7" w14:textId="77777777" w:rsidR="009C2F35" w:rsidRDefault="009C2F35"/>
    <w:p w14:paraId="48AD25AC" w14:textId="77777777" w:rsidR="009C2F35" w:rsidRDefault="009C2F35"/>
    <w:p w14:paraId="34CDDBAF" w14:textId="77777777" w:rsidR="009C2F35" w:rsidRDefault="009C2F35"/>
    <w:p w14:paraId="1AF4C83C" w14:textId="77777777" w:rsidR="009C2F35" w:rsidRDefault="009C2F35"/>
    <w:p w14:paraId="445CA0FF" w14:textId="77777777" w:rsidR="009C2F35" w:rsidRDefault="009C2F35"/>
    <w:p w14:paraId="02412ED6" w14:textId="77777777" w:rsidR="009C2F35" w:rsidRDefault="009C2F35"/>
    <w:p w14:paraId="58324891" w14:textId="77777777" w:rsidR="009C2F35" w:rsidRDefault="009C2F35"/>
    <w:p w14:paraId="2F08C89A" w14:textId="77777777" w:rsidR="009C2F35" w:rsidRDefault="009C2F35"/>
    <w:p w14:paraId="6AD6D583" w14:textId="77777777" w:rsidR="009C2F35" w:rsidRDefault="009C2F35"/>
    <w:p w14:paraId="3564484E" w14:textId="77777777" w:rsidR="009C2F35" w:rsidRDefault="009C2F35"/>
    <w:p w14:paraId="45249119" w14:textId="77777777" w:rsidR="009C2F35" w:rsidRDefault="009C2F35"/>
    <w:p w14:paraId="5C1A7C78" w14:textId="77777777" w:rsidR="009C2F35" w:rsidRDefault="009C2F35"/>
    <w:p w14:paraId="6CFDFD35" w14:textId="77777777" w:rsidR="009C2F35" w:rsidRDefault="009C2F35"/>
    <w:p w14:paraId="652529BC" w14:textId="77777777" w:rsidR="009C2F35" w:rsidRDefault="009C2F35"/>
    <w:p w14:paraId="041DE38D" w14:textId="77777777" w:rsidR="009C2F35" w:rsidRDefault="009C2F35"/>
    <w:p w14:paraId="22826006" w14:textId="77777777" w:rsidR="009C2F35" w:rsidRDefault="009C2F35"/>
    <w:p w14:paraId="6FFDF1B0" w14:textId="77777777" w:rsidR="009C2F35" w:rsidRDefault="009C2F35"/>
    <w:p w14:paraId="076E2129" w14:textId="77777777" w:rsidR="009C2F35" w:rsidRDefault="009C2F35"/>
    <w:p w14:paraId="7AD7A087" w14:textId="46EF2BF4" w:rsidR="00F070A8" w:rsidRDefault="001F4064" w:rsidP="00F070A8">
      <w:pPr>
        <w:pStyle w:val="Title"/>
      </w:pPr>
      <w:r>
        <w:rPr>
          <w:rStyle w:val="FootnoteReference"/>
        </w:rPr>
        <w:lastRenderedPageBreak/>
        <w:footnoteReference w:id="1"/>
      </w:r>
      <w:r w:rsidR="00F070A8">
        <w:t>TITLE OF CONTENTS:</w:t>
      </w:r>
    </w:p>
    <w:p w14:paraId="65B3FB88" w14:textId="77777777" w:rsidR="00F070A8" w:rsidRDefault="00F070A8">
      <w:pPr>
        <w:rPr>
          <w:b/>
          <w:bCs/>
          <w:sz w:val="28"/>
          <w:szCs w:val="28"/>
        </w:rPr>
      </w:pPr>
    </w:p>
    <w:p w14:paraId="7D5A4BE4" w14:textId="709AB9D2" w:rsidR="009C2F35" w:rsidRPr="00F070A8" w:rsidRDefault="00F070A8">
      <w:pPr>
        <w:rPr>
          <w:b/>
          <w:bCs/>
          <w:sz w:val="32"/>
          <w:szCs w:val="32"/>
        </w:rPr>
      </w:pPr>
      <w:r w:rsidRPr="00F070A8">
        <w:rPr>
          <w:b/>
          <w:bCs/>
          <w:sz w:val="32"/>
          <w:szCs w:val="32"/>
        </w:rPr>
        <w:t>1</w:t>
      </w:r>
      <w:r w:rsidR="009C2F35" w:rsidRPr="00F070A8">
        <w:rPr>
          <w:b/>
          <w:bCs/>
          <w:sz w:val="32"/>
          <w:szCs w:val="32"/>
        </w:rPr>
        <w:t>. Introduction</w:t>
      </w:r>
    </w:p>
    <w:p w14:paraId="0FAB2514" w14:textId="0E53EC99" w:rsidR="009C2F35" w:rsidRPr="00F070A8" w:rsidRDefault="00F070A8">
      <w:pPr>
        <w:rPr>
          <w:b/>
          <w:bCs/>
          <w:sz w:val="32"/>
          <w:szCs w:val="32"/>
        </w:rPr>
      </w:pPr>
      <w:r w:rsidRPr="00F070A8">
        <w:rPr>
          <w:b/>
          <w:bCs/>
          <w:sz w:val="32"/>
          <w:szCs w:val="32"/>
        </w:rPr>
        <w:t>2</w:t>
      </w:r>
      <w:r w:rsidR="009C2F35" w:rsidRPr="00F070A8">
        <w:rPr>
          <w:b/>
          <w:bCs/>
          <w:sz w:val="32"/>
          <w:szCs w:val="32"/>
        </w:rPr>
        <w:t xml:space="preserve">. </w:t>
      </w:r>
      <w:r w:rsidRPr="00F070A8">
        <w:rPr>
          <w:b/>
          <w:bCs/>
          <w:sz w:val="32"/>
          <w:szCs w:val="32"/>
        </w:rPr>
        <w:t>Literature review of Risk and innovation in supply chain management in solar panels:</w:t>
      </w:r>
    </w:p>
    <w:p w14:paraId="58AEA209" w14:textId="049EE9BC" w:rsidR="0083595B" w:rsidRPr="0083595B" w:rsidRDefault="0083595B" w:rsidP="0083595B">
      <w:pPr>
        <w:rPr>
          <w:b/>
          <w:bCs/>
          <w:sz w:val="32"/>
          <w:szCs w:val="32"/>
        </w:rPr>
      </w:pPr>
      <w:r w:rsidRPr="0083595B">
        <w:rPr>
          <w:b/>
          <w:bCs/>
          <w:sz w:val="32"/>
          <w:szCs w:val="32"/>
        </w:rPr>
        <w:t>3.Analyzing current practices related to risk assesment and management in solar panel supply chains</w:t>
      </w:r>
    </w:p>
    <w:p w14:paraId="2DE001E5" w14:textId="646DDE56" w:rsidR="009C2F35" w:rsidRPr="00F070A8" w:rsidRDefault="00F070A8">
      <w:pPr>
        <w:rPr>
          <w:b/>
          <w:bCs/>
          <w:sz w:val="32"/>
          <w:szCs w:val="32"/>
        </w:rPr>
      </w:pPr>
      <w:r w:rsidRPr="00F070A8">
        <w:rPr>
          <w:b/>
          <w:bCs/>
          <w:sz w:val="32"/>
          <w:szCs w:val="32"/>
        </w:rPr>
        <w:t>4</w:t>
      </w:r>
      <w:r w:rsidR="009C2F35" w:rsidRPr="00F070A8">
        <w:rPr>
          <w:b/>
          <w:bCs/>
          <w:sz w:val="32"/>
          <w:szCs w:val="32"/>
        </w:rPr>
        <w:t>. Identifying methods to improve</w:t>
      </w:r>
      <w:r w:rsidR="0090253B">
        <w:rPr>
          <w:b/>
          <w:bCs/>
          <w:sz w:val="32"/>
          <w:szCs w:val="32"/>
        </w:rPr>
        <w:t xml:space="preserve"> risk assessment and management process</w:t>
      </w:r>
    </w:p>
    <w:p w14:paraId="370F692F" w14:textId="541741C3" w:rsidR="009C2F35" w:rsidRPr="00F070A8" w:rsidRDefault="00F070A8">
      <w:pPr>
        <w:rPr>
          <w:b/>
          <w:bCs/>
          <w:sz w:val="32"/>
          <w:szCs w:val="32"/>
        </w:rPr>
      </w:pPr>
      <w:r w:rsidRPr="00F070A8">
        <w:rPr>
          <w:b/>
          <w:bCs/>
          <w:sz w:val="32"/>
          <w:szCs w:val="32"/>
        </w:rPr>
        <w:t>5. Developing recommendations for enhancing innovation within solar panel supply chains</w:t>
      </w:r>
    </w:p>
    <w:p w14:paraId="03F4264C" w14:textId="16DC3FD3" w:rsidR="00713D02" w:rsidRDefault="00DD514C">
      <w:pPr>
        <w:rPr>
          <w:b/>
          <w:bCs/>
          <w:sz w:val="32"/>
          <w:szCs w:val="32"/>
        </w:rPr>
      </w:pPr>
      <w:r w:rsidRPr="00DD514C">
        <w:rPr>
          <w:b/>
          <w:bCs/>
          <w:sz w:val="32"/>
          <w:szCs w:val="32"/>
        </w:rPr>
        <w:t>6. References</w:t>
      </w:r>
    </w:p>
    <w:p w14:paraId="1DDBF83F" w14:textId="77777777" w:rsidR="00DD514C" w:rsidRDefault="00DD514C">
      <w:pPr>
        <w:rPr>
          <w:b/>
          <w:bCs/>
          <w:sz w:val="32"/>
          <w:szCs w:val="32"/>
        </w:rPr>
      </w:pPr>
    </w:p>
    <w:p w14:paraId="1F2E20B6" w14:textId="77777777" w:rsidR="00DD514C" w:rsidRPr="00DD514C" w:rsidRDefault="00DD514C">
      <w:pPr>
        <w:rPr>
          <w:b/>
          <w:bCs/>
          <w:sz w:val="32"/>
          <w:szCs w:val="32"/>
        </w:rPr>
      </w:pPr>
    </w:p>
    <w:p w14:paraId="3A117924" w14:textId="77777777" w:rsidR="00713D02" w:rsidRDefault="00713D02">
      <w:pPr>
        <w:rPr>
          <w:b/>
          <w:bCs/>
          <w:sz w:val="28"/>
          <w:szCs w:val="28"/>
        </w:rPr>
      </w:pPr>
    </w:p>
    <w:p w14:paraId="6948849B" w14:textId="77777777" w:rsidR="00713D02" w:rsidRDefault="00713D02">
      <w:pPr>
        <w:rPr>
          <w:b/>
          <w:bCs/>
          <w:sz w:val="28"/>
          <w:szCs w:val="28"/>
        </w:rPr>
      </w:pPr>
    </w:p>
    <w:p w14:paraId="01EE06F4" w14:textId="77777777" w:rsidR="00713D02" w:rsidRDefault="00713D02">
      <w:pPr>
        <w:rPr>
          <w:b/>
          <w:bCs/>
          <w:sz w:val="28"/>
          <w:szCs w:val="28"/>
        </w:rPr>
      </w:pPr>
    </w:p>
    <w:p w14:paraId="05B00B72" w14:textId="77777777" w:rsidR="00713D02" w:rsidRDefault="00713D02">
      <w:pPr>
        <w:rPr>
          <w:b/>
          <w:bCs/>
          <w:sz w:val="28"/>
          <w:szCs w:val="28"/>
        </w:rPr>
      </w:pPr>
    </w:p>
    <w:p w14:paraId="05250636" w14:textId="77777777" w:rsidR="00713D02" w:rsidRDefault="00713D02">
      <w:pPr>
        <w:rPr>
          <w:b/>
          <w:bCs/>
          <w:sz w:val="28"/>
          <w:szCs w:val="28"/>
        </w:rPr>
      </w:pPr>
    </w:p>
    <w:p w14:paraId="60C16514" w14:textId="77777777" w:rsidR="00713D02" w:rsidRDefault="00713D02">
      <w:pPr>
        <w:rPr>
          <w:b/>
          <w:bCs/>
          <w:sz w:val="28"/>
          <w:szCs w:val="28"/>
        </w:rPr>
      </w:pPr>
    </w:p>
    <w:p w14:paraId="6893CFE3" w14:textId="77777777" w:rsidR="00713D02" w:rsidRDefault="00713D02">
      <w:pPr>
        <w:rPr>
          <w:b/>
          <w:bCs/>
          <w:sz w:val="28"/>
          <w:szCs w:val="28"/>
        </w:rPr>
      </w:pPr>
    </w:p>
    <w:p w14:paraId="1F9A107D" w14:textId="77777777" w:rsidR="00713D02" w:rsidRDefault="00713D02">
      <w:pPr>
        <w:rPr>
          <w:b/>
          <w:bCs/>
          <w:sz w:val="28"/>
          <w:szCs w:val="28"/>
        </w:rPr>
      </w:pPr>
    </w:p>
    <w:p w14:paraId="215D71FB" w14:textId="77777777" w:rsidR="00713D02" w:rsidRDefault="00713D02">
      <w:pPr>
        <w:rPr>
          <w:b/>
          <w:bCs/>
          <w:sz w:val="28"/>
          <w:szCs w:val="28"/>
        </w:rPr>
      </w:pPr>
    </w:p>
    <w:p w14:paraId="27120FAE" w14:textId="77777777" w:rsidR="00713D02" w:rsidRPr="00F070A8" w:rsidRDefault="00713D02" w:rsidP="00F070A8">
      <w:pPr>
        <w:pStyle w:val="Heading1"/>
        <w:rPr>
          <w:b/>
          <w:bCs/>
          <w:sz w:val="40"/>
          <w:szCs w:val="40"/>
        </w:rPr>
      </w:pPr>
    </w:p>
    <w:p w14:paraId="69192EC0" w14:textId="56771CB1" w:rsidR="00F070A8" w:rsidRPr="00F070A8" w:rsidRDefault="001F4064" w:rsidP="00F070A8">
      <w:pPr>
        <w:pStyle w:val="Heading1"/>
        <w:rPr>
          <w:b/>
          <w:bCs/>
          <w:sz w:val="40"/>
          <w:szCs w:val="40"/>
        </w:rPr>
      </w:pPr>
      <w:r>
        <w:rPr>
          <w:rStyle w:val="FootnoteReference"/>
          <w:b/>
          <w:bCs/>
          <w:sz w:val="40"/>
          <w:szCs w:val="40"/>
        </w:rPr>
        <w:footnoteReference w:id="2"/>
      </w:r>
      <w:r w:rsidR="00F070A8" w:rsidRPr="00F070A8">
        <w:rPr>
          <w:b/>
          <w:bCs/>
          <w:sz w:val="40"/>
          <w:szCs w:val="40"/>
        </w:rPr>
        <w:t>1.</w:t>
      </w:r>
      <w:r w:rsidR="00713D02" w:rsidRPr="00F070A8">
        <w:rPr>
          <w:b/>
          <w:bCs/>
          <w:sz w:val="40"/>
          <w:szCs w:val="40"/>
        </w:rPr>
        <w:t>Introduction:</w:t>
      </w:r>
    </w:p>
    <w:p w14:paraId="171BD6A4" w14:textId="093F140A" w:rsidR="00BD203A" w:rsidRDefault="00BD203A" w:rsidP="00BD203A">
      <w:pPr>
        <w:pStyle w:val="NoSpacing"/>
        <w:rPr>
          <w:sz w:val="32"/>
          <w:szCs w:val="32"/>
          <w:lang w:eastAsia="en-IN"/>
        </w:rPr>
      </w:pPr>
      <w:r w:rsidRPr="00BD203A">
        <w:rPr>
          <w:sz w:val="32"/>
          <w:szCs w:val="32"/>
          <w:lang w:eastAsia="en-IN"/>
        </w:rPr>
        <w:t>The solar panel supply chain is a critical component of the renewable energy sector, surrounding various activities from raw material production to panel assembly and distribution. As the world embraces sustainable energy solutions, the solar panel supply chain faces unique opportunities and challenges.</w:t>
      </w:r>
      <w:r>
        <w:rPr>
          <w:sz w:val="32"/>
          <w:szCs w:val="32"/>
          <w:lang w:eastAsia="en-IN"/>
        </w:rPr>
        <w:t xml:space="preserve"> </w:t>
      </w:r>
      <w:r w:rsidRPr="00BD203A">
        <w:rPr>
          <w:sz w:val="32"/>
          <w:szCs w:val="32"/>
          <w:lang w:eastAsia="en-IN"/>
        </w:rPr>
        <w:t>We will explore the key aspects of the solar panel supply chain, including stakeholders, processes, and the importance of risk assessment and innovation. While this overview provides valuable insights, it may not capture all the intricacies of individual supply chain operations.</w:t>
      </w:r>
    </w:p>
    <w:p w14:paraId="49FC8B84" w14:textId="77777777" w:rsidR="00BD203A" w:rsidRPr="00BD203A" w:rsidRDefault="00BD203A" w:rsidP="00BD203A">
      <w:pPr>
        <w:pStyle w:val="NoSpacing"/>
        <w:rPr>
          <w:sz w:val="32"/>
          <w:szCs w:val="32"/>
          <w:lang w:eastAsia="en-IN"/>
        </w:rPr>
      </w:pPr>
    </w:p>
    <w:p w14:paraId="06816CD5" w14:textId="23454F56" w:rsidR="00A16E4F" w:rsidRPr="00A16E4F" w:rsidRDefault="00A16E4F" w:rsidP="00A16E4F">
      <w:pPr>
        <w:rPr>
          <w:sz w:val="32"/>
          <w:szCs w:val="32"/>
        </w:rPr>
      </w:pPr>
      <w:r w:rsidRPr="00A16E4F">
        <w:rPr>
          <w:sz w:val="32"/>
          <w:szCs w:val="32"/>
        </w:rPr>
        <w:t>By understanding the fundamentals of the solar panel supply chain, we can gain a deeper appreciation for the complexities involved and explore strategies to enhance risk assessment, foster innovation, and drive sustainable growth within this dynamic industry.</w:t>
      </w:r>
    </w:p>
    <w:p w14:paraId="28AC15C1" w14:textId="45111624" w:rsidR="006F4593" w:rsidRPr="00F070A8" w:rsidRDefault="00F070A8" w:rsidP="00F070A8">
      <w:pPr>
        <w:pStyle w:val="Heading1"/>
        <w:rPr>
          <w:b/>
          <w:bCs/>
          <w:sz w:val="40"/>
          <w:szCs w:val="40"/>
        </w:rPr>
      </w:pPr>
      <w:r w:rsidRPr="00F070A8">
        <w:rPr>
          <w:b/>
          <w:bCs/>
          <w:sz w:val="40"/>
          <w:szCs w:val="40"/>
        </w:rPr>
        <w:t>2.</w:t>
      </w:r>
      <w:r w:rsidR="006F4593" w:rsidRPr="00F070A8">
        <w:rPr>
          <w:b/>
          <w:bCs/>
          <w:sz w:val="40"/>
          <w:szCs w:val="40"/>
        </w:rPr>
        <w:t>Literature review of Risk and innovation in supply chain management in solar panels:</w:t>
      </w:r>
    </w:p>
    <w:p w14:paraId="3CDFB87A" w14:textId="77777777" w:rsidR="006F4593" w:rsidRPr="00F070A8" w:rsidRDefault="006F4593" w:rsidP="006F4593">
      <w:pPr>
        <w:rPr>
          <w:sz w:val="32"/>
          <w:szCs w:val="32"/>
        </w:rPr>
      </w:pPr>
      <w:r w:rsidRPr="00F070A8">
        <w:rPr>
          <w:sz w:val="32"/>
          <w:szCs w:val="32"/>
        </w:rPr>
        <w:t>The supply chain network consists of trade-offs interrelated by monetary, information, and material flows (Fugate et al. 2006). Disruptions in supply chains have been observed since the year 2000, including fear of weapons of mass destruction, terrorist attacks, fuel protests, and disease outbreaks (Jüttner 2005).</w:t>
      </w:r>
    </w:p>
    <w:p w14:paraId="6DB4F270" w14:textId="77777777" w:rsidR="006F4593" w:rsidRPr="00F070A8" w:rsidRDefault="006F4593" w:rsidP="006F4593">
      <w:pPr>
        <w:rPr>
          <w:sz w:val="32"/>
          <w:szCs w:val="32"/>
        </w:rPr>
      </w:pPr>
    </w:p>
    <w:p w14:paraId="51C5B5E3" w14:textId="77777777" w:rsidR="006F4593" w:rsidRPr="00F070A8" w:rsidRDefault="006F4593" w:rsidP="006F4593">
      <w:pPr>
        <w:rPr>
          <w:sz w:val="32"/>
          <w:szCs w:val="32"/>
        </w:rPr>
      </w:pPr>
      <w:r w:rsidRPr="00F070A8">
        <w:rPr>
          <w:sz w:val="32"/>
          <w:szCs w:val="32"/>
        </w:rPr>
        <w:t xml:space="preserve">Risk refers to the probability of differences in expected outcomes (Spekman and Davis 2004), and it can be quantified by assigning probabilities to various outcomes (Khan and Burnes 2007). However, uncertainty, which cannot be quantified, is inherent in risk (Knight 1921). Uncertainty refers to the risk that may not be eliminated, but </w:t>
      </w:r>
      <w:r w:rsidRPr="00F070A8">
        <w:rPr>
          <w:sz w:val="32"/>
          <w:szCs w:val="32"/>
        </w:rPr>
        <w:lastRenderedPageBreak/>
        <w:t>it can be minimized through proper assessment and planning (Slack and Lewis 2002).</w:t>
      </w:r>
    </w:p>
    <w:p w14:paraId="28DFA167" w14:textId="77777777" w:rsidR="006F4593" w:rsidRPr="00F070A8" w:rsidRDefault="006F4593" w:rsidP="006F4593">
      <w:pPr>
        <w:rPr>
          <w:sz w:val="32"/>
          <w:szCs w:val="32"/>
        </w:rPr>
      </w:pPr>
    </w:p>
    <w:p w14:paraId="263FC163" w14:textId="77777777" w:rsidR="006F4593" w:rsidRPr="00F070A8" w:rsidRDefault="006F4593" w:rsidP="006F4593">
      <w:pPr>
        <w:rPr>
          <w:sz w:val="32"/>
          <w:szCs w:val="32"/>
        </w:rPr>
      </w:pPr>
      <w:r w:rsidRPr="00F070A8">
        <w:rPr>
          <w:sz w:val="32"/>
          <w:szCs w:val="32"/>
        </w:rPr>
        <w:t>Supply Chain Risk Management (SCRM) can be approached comprehensively. Scholars such as Azad et al. (2012), Christopher and Peck (2004), Craighead et al. (2007), de Matta (2016), Tang (2007), and Xu et al. (2015) advocate for a comprehensive approach to managing risks in supply chains. This involves considering the entire supply chain network and implementing strategies to identify, assess, and mitigate risks. Alternatively, researchers like Véronneau and Roy (2014), Kouvelis and Li (2008), and Shefﬁ (2001) suggest focusing on specific disruptions. These disruptions could be related to security, lead times, or terrorism.</w:t>
      </w:r>
    </w:p>
    <w:p w14:paraId="76EACC0D" w14:textId="77777777" w:rsidR="006F4593" w:rsidRPr="00F070A8" w:rsidRDefault="006F4593" w:rsidP="006F4593">
      <w:pPr>
        <w:rPr>
          <w:sz w:val="32"/>
          <w:szCs w:val="32"/>
        </w:rPr>
      </w:pPr>
    </w:p>
    <w:p w14:paraId="39AE7052" w14:textId="28A30DCE" w:rsidR="006F4593" w:rsidRPr="00F070A8" w:rsidRDefault="006F4593" w:rsidP="006F4593">
      <w:pPr>
        <w:rPr>
          <w:sz w:val="32"/>
          <w:szCs w:val="32"/>
        </w:rPr>
      </w:pPr>
      <w:r w:rsidRPr="00F070A8">
        <w:rPr>
          <w:sz w:val="32"/>
          <w:szCs w:val="32"/>
        </w:rPr>
        <w:t>While these methods have provided valuable insights, they often assume unintentional disruptions, leaving firms exposed to avoidable risks. For instance, the lack of risk management strategies led to disruptions in Mattel's supply chains when children's toys were found to contain lead-based paint (Roloff and Aßländer 2010). This crisis arose due to a supplier's cost-saving measures. Mattel responded by implementing quality assurance</w:t>
      </w:r>
      <w:r w:rsidRPr="00F070A8">
        <w:rPr>
          <w:b/>
          <w:bCs/>
          <w:sz w:val="32"/>
          <w:szCs w:val="32"/>
        </w:rPr>
        <w:t xml:space="preserve"> </w:t>
      </w:r>
      <w:r w:rsidRPr="00F070A8">
        <w:rPr>
          <w:sz w:val="32"/>
          <w:szCs w:val="32"/>
        </w:rPr>
        <w:t>centers at the supplier's factories to prevent a recurrence of the lead paint crisis.</w:t>
      </w:r>
    </w:p>
    <w:p w14:paraId="24A1649B" w14:textId="77777777" w:rsidR="006F4593" w:rsidRPr="00F070A8" w:rsidRDefault="006F4593" w:rsidP="006F4593">
      <w:pPr>
        <w:rPr>
          <w:b/>
          <w:bCs/>
          <w:sz w:val="32"/>
          <w:szCs w:val="32"/>
        </w:rPr>
      </w:pPr>
    </w:p>
    <w:p w14:paraId="5E9D4215" w14:textId="77777777" w:rsidR="006F4593" w:rsidRPr="00F070A8" w:rsidRDefault="006F4593" w:rsidP="006F4593">
      <w:pPr>
        <w:rPr>
          <w:sz w:val="32"/>
          <w:szCs w:val="32"/>
        </w:rPr>
      </w:pPr>
      <w:r w:rsidRPr="00F070A8">
        <w:rPr>
          <w:sz w:val="32"/>
          <w:szCs w:val="32"/>
        </w:rPr>
        <w:t>This literature review encompasses various definitions of risk and discusses disruptions in supply chain management caused by natural disasters or events beyond human control. It explores risk management methods and strategies, emphasizing the need to detect and mitigate risks effectively. Achieving supply chain resilience necessitates a contingency plan and supplier evaluation to reduce the impact of risks and enhance overall resilience.</w:t>
      </w:r>
    </w:p>
    <w:p w14:paraId="51FD0D2C" w14:textId="77777777" w:rsidR="006F4593" w:rsidRPr="00F070A8" w:rsidRDefault="006F4593" w:rsidP="006F4593">
      <w:pPr>
        <w:rPr>
          <w:sz w:val="32"/>
          <w:szCs w:val="32"/>
        </w:rPr>
      </w:pPr>
    </w:p>
    <w:p w14:paraId="11283ABB" w14:textId="73EF4040" w:rsidR="006F4593" w:rsidRPr="00F070A8" w:rsidRDefault="006F4593" w:rsidP="006F4593">
      <w:pPr>
        <w:rPr>
          <w:sz w:val="32"/>
          <w:szCs w:val="32"/>
        </w:rPr>
      </w:pPr>
      <w:r w:rsidRPr="00F070A8">
        <w:rPr>
          <w:sz w:val="32"/>
          <w:szCs w:val="32"/>
        </w:rPr>
        <w:t>In summary, effectively managing risks in supply chain management requires a comprehensive understanding of risk factors, proactive planning, and appropriate mitigation strategies. By adopting a holistic approach to risk management and ensuring alignment with specific disruptions, organizations can enhance their supply chain resilience and mitigate potential disruptions that may arise</w:t>
      </w:r>
    </w:p>
    <w:p w14:paraId="34524046" w14:textId="77777777" w:rsidR="006F4593" w:rsidRPr="00F070A8" w:rsidRDefault="006F4593" w:rsidP="00F070A8">
      <w:pPr>
        <w:pStyle w:val="Heading2"/>
        <w:rPr>
          <w:sz w:val="40"/>
          <w:szCs w:val="40"/>
        </w:rPr>
      </w:pPr>
    </w:p>
    <w:p w14:paraId="1FEE1D88" w14:textId="3AC2ADFB" w:rsidR="006F4593" w:rsidRPr="00F070A8" w:rsidRDefault="001F4064" w:rsidP="00F070A8">
      <w:pPr>
        <w:pStyle w:val="Heading2"/>
        <w:rPr>
          <w:b/>
          <w:bCs/>
          <w:sz w:val="40"/>
          <w:szCs w:val="40"/>
        </w:rPr>
      </w:pPr>
      <w:r>
        <w:rPr>
          <w:rStyle w:val="FootnoteReference"/>
          <w:b/>
          <w:bCs/>
          <w:sz w:val="40"/>
          <w:szCs w:val="40"/>
        </w:rPr>
        <w:footnoteReference w:id="3"/>
      </w:r>
      <w:r w:rsidR="0083595B">
        <w:rPr>
          <w:b/>
          <w:bCs/>
          <w:sz w:val="40"/>
          <w:szCs w:val="40"/>
        </w:rPr>
        <w:t>3.</w:t>
      </w:r>
      <w:r w:rsidR="006F4593" w:rsidRPr="00F070A8">
        <w:rPr>
          <w:b/>
          <w:bCs/>
          <w:sz w:val="40"/>
          <w:szCs w:val="40"/>
        </w:rPr>
        <w:t>Analyzing current practices related to risk assesment and management in solar panel supply chains:</w:t>
      </w:r>
    </w:p>
    <w:p w14:paraId="7DB94C53" w14:textId="05B46156" w:rsidR="006F4593" w:rsidRPr="00F070A8" w:rsidRDefault="00454877" w:rsidP="006F4593">
      <w:pPr>
        <w:rPr>
          <w:sz w:val="32"/>
          <w:szCs w:val="32"/>
        </w:rPr>
      </w:pPr>
      <w:r w:rsidRPr="00F070A8">
        <w:rPr>
          <w:sz w:val="32"/>
          <w:szCs w:val="32"/>
        </w:rPr>
        <w:t>Current practices in solar panel supply chain risk assessment and management involve comprehensive assessments across the entire supply chain, supplier evaluation and qualification, supply chain transparency, collaboration, contingency planning, compliance with regulations and standards, and continuous improvement.</w:t>
      </w:r>
    </w:p>
    <w:p w14:paraId="441D7537" w14:textId="77777777" w:rsidR="00454877" w:rsidRPr="00F070A8" w:rsidRDefault="00454877" w:rsidP="006F4593">
      <w:pPr>
        <w:rPr>
          <w:sz w:val="32"/>
          <w:szCs w:val="32"/>
        </w:rPr>
      </w:pPr>
    </w:p>
    <w:p w14:paraId="2B001799" w14:textId="77777777" w:rsidR="00454877" w:rsidRPr="00F070A8" w:rsidRDefault="00454877" w:rsidP="00454877">
      <w:pPr>
        <w:rPr>
          <w:sz w:val="32"/>
          <w:szCs w:val="32"/>
        </w:rPr>
      </w:pPr>
      <w:r w:rsidRPr="0083595B">
        <w:rPr>
          <w:rStyle w:val="Heading2Char"/>
          <w:b/>
          <w:bCs/>
          <w:sz w:val="36"/>
          <w:szCs w:val="36"/>
        </w:rPr>
        <w:t>Risk Assessment:</w:t>
      </w:r>
      <w:r w:rsidRPr="00F070A8">
        <w:rPr>
          <w:sz w:val="32"/>
          <w:szCs w:val="32"/>
        </w:rPr>
        <w:t xml:space="preserve"> The process of thoroughly evaluating and identifying potential risks in the solar panel supply chain to understand their likelihood and potential impact.</w:t>
      </w:r>
    </w:p>
    <w:p w14:paraId="3D961B87" w14:textId="77777777" w:rsidR="00454877" w:rsidRPr="00F070A8" w:rsidRDefault="00454877" w:rsidP="00454877">
      <w:pPr>
        <w:rPr>
          <w:sz w:val="32"/>
          <w:szCs w:val="32"/>
        </w:rPr>
      </w:pPr>
    </w:p>
    <w:p w14:paraId="42AAE6CE" w14:textId="77777777" w:rsidR="00454877" w:rsidRPr="00F070A8" w:rsidRDefault="00454877" w:rsidP="00454877">
      <w:pPr>
        <w:rPr>
          <w:sz w:val="32"/>
          <w:szCs w:val="32"/>
        </w:rPr>
      </w:pPr>
      <w:r w:rsidRPr="0083595B">
        <w:rPr>
          <w:rStyle w:val="Heading2Char"/>
          <w:b/>
          <w:bCs/>
          <w:sz w:val="36"/>
          <w:szCs w:val="36"/>
        </w:rPr>
        <w:t>Supplier Evaluation:</w:t>
      </w:r>
      <w:r w:rsidRPr="00F070A8">
        <w:rPr>
          <w:sz w:val="32"/>
          <w:szCs w:val="32"/>
        </w:rPr>
        <w:t xml:space="preserve"> The practice of assessing and evaluating the capabilities, reliability, and suitability of suppliers to ensure trustworthy and sustainable partnerships.</w:t>
      </w:r>
    </w:p>
    <w:p w14:paraId="316541BB" w14:textId="77777777" w:rsidR="00454877" w:rsidRPr="00F070A8" w:rsidRDefault="00454877" w:rsidP="00454877">
      <w:pPr>
        <w:rPr>
          <w:sz w:val="32"/>
          <w:szCs w:val="32"/>
        </w:rPr>
      </w:pPr>
    </w:p>
    <w:p w14:paraId="1497750F" w14:textId="77777777" w:rsidR="00454877" w:rsidRPr="00F070A8" w:rsidRDefault="00454877" w:rsidP="00454877">
      <w:pPr>
        <w:rPr>
          <w:sz w:val="32"/>
          <w:szCs w:val="32"/>
        </w:rPr>
      </w:pPr>
      <w:r w:rsidRPr="0083595B">
        <w:rPr>
          <w:rStyle w:val="Heading2Char"/>
          <w:b/>
          <w:bCs/>
          <w:sz w:val="36"/>
          <w:szCs w:val="36"/>
        </w:rPr>
        <w:t>Transparency:</w:t>
      </w:r>
      <w:r w:rsidRPr="00F070A8">
        <w:rPr>
          <w:sz w:val="32"/>
          <w:szCs w:val="32"/>
        </w:rPr>
        <w:t xml:space="preserve"> Enhancing visibility and traceability within the supply chain to have a clear understanding of the movement of materials, </w:t>
      </w:r>
      <w:r w:rsidRPr="00F070A8">
        <w:rPr>
          <w:sz w:val="32"/>
          <w:szCs w:val="32"/>
        </w:rPr>
        <w:lastRenderedPageBreak/>
        <w:t>components, and information, enabling effective risk identification and response.</w:t>
      </w:r>
    </w:p>
    <w:p w14:paraId="117276ED" w14:textId="77777777" w:rsidR="00454877" w:rsidRPr="00F070A8" w:rsidRDefault="00454877" w:rsidP="00454877">
      <w:pPr>
        <w:rPr>
          <w:sz w:val="32"/>
          <w:szCs w:val="32"/>
        </w:rPr>
      </w:pPr>
    </w:p>
    <w:p w14:paraId="6F491798" w14:textId="77777777" w:rsidR="00454877" w:rsidRPr="00F070A8" w:rsidRDefault="00454877" w:rsidP="00454877">
      <w:pPr>
        <w:rPr>
          <w:sz w:val="32"/>
          <w:szCs w:val="32"/>
        </w:rPr>
      </w:pPr>
      <w:r w:rsidRPr="0083595B">
        <w:rPr>
          <w:rStyle w:val="Heading2Char"/>
          <w:b/>
          <w:bCs/>
          <w:sz w:val="36"/>
          <w:szCs w:val="36"/>
        </w:rPr>
        <w:t>Collaboration</w:t>
      </w:r>
      <w:r w:rsidRPr="00F070A8">
        <w:rPr>
          <w:sz w:val="32"/>
          <w:szCs w:val="32"/>
        </w:rPr>
        <w:t>: The act of fostering cooperation and active communication among stakeholders within the supply chain to share information, insights, and best practices, enhancing collective risk management efforts.</w:t>
      </w:r>
    </w:p>
    <w:p w14:paraId="621B1695" w14:textId="77777777" w:rsidR="00454877" w:rsidRPr="00F070A8" w:rsidRDefault="00454877" w:rsidP="00454877">
      <w:pPr>
        <w:rPr>
          <w:sz w:val="32"/>
          <w:szCs w:val="32"/>
        </w:rPr>
      </w:pPr>
    </w:p>
    <w:p w14:paraId="443E2F6A" w14:textId="6F1B5F36" w:rsidR="00454877" w:rsidRPr="00F070A8" w:rsidRDefault="00454877" w:rsidP="00454877">
      <w:pPr>
        <w:rPr>
          <w:sz w:val="32"/>
          <w:szCs w:val="32"/>
        </w:rPr>
      </w:pPr>
      <w:r w:rsidRPr="0083595B">
        <w:rPr>
          <w:rStyle w:val="Heading2Char"/>
          <w:b/>
          <w:bCs/>
          <w:sz w:val="36"/>
          <w:szCs w:val="36"/>
        </w:rPr>
        <w:t>Contingency Planning:</w:t>
      </w:r>
      <w:r w:rsidRPr="00F070A8">
        <w:rPr>
          <w:sz w:val="32"/>
          <w:szCs w:val="32"/>
        </w:rPr>
        <w:t xml:space="preserve"> Developing and implementing strategies and protocols to prepare for potential disruptions or unexpected events, ensuring business continuity and minimizing the impact of risks.</w:t>
      </w:r>
    </w:p>
    <w:p w14:paraId="20ADD4D2" w14:textId="77777777" w:rsidR="00454877" w:rsidRPr="00F070A8" w:rsidRDefault="00454877" w:rsidP="00454877">
      <w:pPr>
        <w:rPr>
          <w:sz w:val="32"/>
          <w:szCs w:val="32"/>
        </w:rPr>
      </w:pPr>
    </w:p>
    <w:p w14:paraId="47CA3190" w14:textId="77777777" w:rsidR="00454877" w:rsidRPr="00F070A8" w:rsidRDefault="00454877" w:rsidP="00454877">
      <w:pPr>
        <w:rPr>
          <w:sz w:val="32"/>
          <w:szCs w:val="32"/>
        </w:rPr>
      </w:pPr>
      <w:r w:rsidRPr="0083595B">
        <w:rPr>
          <w:rStyle w:val="Heading2Char"/>
          <w:b/>
          <w:bCs/>
          <w:sz w:val="36"/>
          <w:szCs w:val="36"/>
        </w:rPr>
        <w:t>Compliance:</w:t>
      </w:r>
      <w:r w:rsidRPr="00F070A8">
        <w:rPr>
          <w:sz w:val="32"/>
          <w:szCs w:val="32"/>
        </w:rPr>
        <w:t xml:space="preserve"> Adhering to applicable regulations, standards, and industry guidelines to mitigate legal, environmental, and social risks, ensuring ethical and responsible practices throughout the supply chain.</w:t>
      </w:r>
    </w:p>
    <w:p w14:paraId="32DC40C6" w14:textId="77777777" w:rsidR="00454877" w:rsidRPr="00F070A8" w:rsidRDefault="00454877" w:rsidP="00454877">
      <w:pPr>
        <w:rPr>
          <w:sz w:val="32"/>
          <w:szCs w:val="32"/>
        </w:rPr>
      </w:pPr>
    </w:p>
    <w:p w14:paraId="19067EDC" w14:textId="46ADAF24" w:rsidR="00454877" w:rsidRDefault="00454877" w:rsidP="00454877">
      <w:pPr>
        <w:rPr>
          <w:sz w:val="32"/>
          <w:szCs w:val="32"/>
        </w:rPr>
      </w:pPr>
      <w:r w:rsidRPr="0083595B">
        <w:rPr>
          <w:rStyle w:val="Heading2Char"/>
          <w:b/>
          <w:bCs/>
          <w:sz w:val="36"/>
          <w:szCs w:val="36"/>
        </w:rPr>
        <w:t>Continuous Improvement:</w:t>
      </w:r>
      <w:r w:rsidRPr="00F070A8">
        <w:rPr>
          <w:sz w:val="32"/>
          <w:szCs w:val="32"/>
        </w:rPr>
        <w:t xml:space="preserve"> Embracing a proactive approach to ongoing enhancement by adopting innovative technologies, industry best practices, and lessons learned from past experiences, driving the refinement and optimization of risk management strategies over time.</w:t>
      </w:r>
    </w:p>
    <w:p w14:paraId="045AECD7" w14:textId="77777777" w:rsidR="00BD203A" w:rsidRDefault="00BD203A" w:rsidP="00454877">
      <w:pPr>
        <w:rPr>
          <w:sz w:val="32"/>
          <w:szCs w:val="32"/>
        </w:rPr>
      </w:pPr>
    </w:p>
    <w:p w14:paraId="4609C463" w14:textId="15FE2724" w:rsidR="00BD203A" w:rsidRDefault="00BD203A" w:rsidP="00454877">
      <w:pPr>
        <w:rPr>
          <w:sz w:val="32"/>
          <w:szCs w:val="32"/>
        </w:rPr>
      </w:pPr>
      <w:r w:rsidRPr="00A0547E">
        <w:rPr>
          <w:rStyle w:val="Heading2Char"/>
          <w:b/>
          <w:bCs/>
          <w:sz w:val="36"/>
          <w:szCs w:val="36"/>
        </w:rPr>
        <w:t>Training and Skill Development:</w:t>
      </w:r>
      <w:r w:rsidRPr="00BD203A">
        <w:rPr>
          <w:sz w:val="32"/>
          <w:szCs w:val="32"/>
        </w:rPr>
        <w:t xml:space="preserve"> Provid</w:t>
      </w:r>
      <w:r w:rsidR="009736BB">
        <w:rPr>
          <w:sz w:val="32"/>
          <w:szCs w:val="32"/>
        </w:rPr>
        <w:t>ing</w:t>
      </w:r>
      <w:r w:rsidRPr="00BD203A">
        <w:rPr>
          <w:sz w:val="32"/>
          <w:szCs w:val="32"/>
        </w:rPr>
        <w:t xml:space="preserve"> training on risk identification, assessment, and response to supply chain employees. Foster a culture of risk awareness.</w:t>
      </w:r>
    </w:p>
    <w:p w14:paraId="1E5E2211" w14:textId="77777777" w:rsidR="00A0547E" w:rsidRDefault="00A0547E" w:rsidP="00454877">
      <w:pPr>
        <w:rPr>
          <w:sz w:val="32"/>
          <w:szCs w:val="32"/>
        </w:rPr>
      </w:pPr>
    </w:p>
    <w:p w14:paraId="24876EA2" w14:textId="093C8FB2" w:rsidR="00A0547E" w:rsidRDefault="00A0547E" w:rsidP="00454877">
      <w:pPr>
        <w:rPr>
          <w:sz w:val="32"/>
          <w:szCs w:val="32"/>
        </w:rPr>
      </w:pPr>
      <w:r w:rsidRPr="00A0547E">
        <w:rPr>
          <w:rStyle w:val="Heading2Char"/>
          <w:b/>
          <w:bCs/>
          <w:sz w:val="36"/>
          <w:szCs w:val="36"/>
        </w:rPr>
        <w:lastRenderedPageBreak/>
        <w:t>Supplier Diversity:</w:t>
      </w:r>
      <w:r w:rsidRPr="00A0547E">
        <w:rPr>
          <w:sz w:val="32"/>
          <w:szCs w:val="32"/>
        </w:rPr>
        <w:t xml:space="preserve"> Promot</w:t>
      </w:r>
      <w:r w:rsidR="009736BB">
        <w:rPr>
          <w:sz w:val="32"/>
          <w:szCs w:val="32"/>
        </w:rPr>
        <w:t>ing</w:t>
      </w:r>
      <w:r w:rsidRPr="00A0547E">
        <w:rPr>
          <w:sz w:val="32"/>
          <w:szCs w:val="32"/>
        </w:rPr>
        <w:t xml:space="preserve"> supplier diversity by engaging with a diverse range of suppliers. This helps reduce dependency on single sources and diversifies risk across the supply chain.</w:t>
      </w:r>
    </w:p>
    <w:p w14:paraId="04B6F826" w14:textId="77777777" w:rsidR="00A0547E" w:rsidRDefault="00A0547E" w:rsidP="00454877">
      <w:pPr>
        <w:rPr>
          <w:sz w:val="32"/>
          <w:szCs w:val="32"/>
        </w:rPr>
      </w:pPr>
    </w:p>
    <w:p w14:paraId="6B84A560" w14:textId="77777777" w:rsidR="00A0547E" w:rsidRDefault="00A0547E" w:rsidP="00454877">
      <w:pPr>
        <w:rPr>
          <w:sz w:val="32"/>
          <w:szCs w:val="32"/>
        </w:rPr>
      </w:pPr>
    </w:p>
    <w:p w14:paraId="777D82AA" w14:textId="77777777" w:rsidR="00A0547E" w:rsidRPr="00F070A8" w:rsidRDefault="00A0547E" w:rsidP="00454877">
      <w:pPr>
        <w:rPr>
          <w:sz w:val="32"/>
          <w:szCs w:val="32"/>
        </w:rPr>
      </w:pPr>
    </w:p>
    <w:p w14:paraId="6F315A91" w14:textId="07706450" w:rsidR="00454877" w:rsidRDefault="009F74C3" w:rsidP="0083595B">
      <w:pPr>
        <w:pStyle w:val="Heading1"/>
        <w:rPr>
          <w:b/>
          <w:bCs/>
          <w:sz w:val="40"/>
          <w:szCs w:val="40"/>
        </w:rPr>
      </w:pPr>
      <w:r>
        <w:rPr>
          <w:rStyle w:val="FootnoteReference"/>
          <w:b/>
          <w:bCs/>
          <w:sz w:val="40"/>
          <w:szCs w:val="40"/>
        </w:rPr>
        <w:footnoteReference w:id="4"/>
      </w:r>
      <w:r w:rsidR="0083595B" w:rsidRPr="0083595B">
        <w:rPr>
          <w:b/>
          <w:bCs/>
          <w:sz w:val="40"/>
          <w:szCs w:val="40"/>
        </w:rPr>
        <w:t>4.Identifying methods to improve</w:t>
      </w:r>
      <w:r w:rsidR="0090253B">
        <w:rPr>
          <w:b/>
          <w:bCs/>
          <w:sz w:val="40"/>
          <w:szCs w:val="40"/>
        </w:rPr>
        <w:t xml:space="preserve"> risk assessment and management process</w:t>
      </w:r>
      <w:r w:rsidR="0083595B" w:rsidRPr="0083595B">
        <w:rPr>
          <w:b/>
          <w:bCs/>
          <w:sz w:val="40"/>
          <w:szCs w:val="40"/>
        </w:rPr>
        <w:t>:</w:t>
      </w:r>
    </w:p>
    <w:p w14:paraId="6361864E" w14:textId="77777777" w:rsidR="00E56107" w:rsidRPr="00E56107" w:rsidRDefault="00E56107" w:rsidP="00E56107">
      <w:pPr>
        <w:shd w:val="clear" w:color="auto" w:fill="FFFFFF"/>
        <w:spacing w:after="0" w:line="240" w:lineRule="auto"/>
        <w:rPr>
          <w:rFonts w:ascii="Nunito" w:eastAsia="Times New Roman" w:hAnsi="Nunito" w:cs="Times New Roman"/>
          <w:color w:val="000000"/>
          <w:kern w:val="0"/>
          <w:sz w:val="28"/>
          <w:szCs w:val="28"/>
          <w:lang w:eastAsia="en-IN"/>
          <w14:ligatures w14:val="none"/>
        </w:rPr>
      </w:pPr>
      <w:r w:rsidRPr="00E56107">
        <w:rPr>
          <w:rFonts w:ascii="Nunito" w:eastAsia="Times New Roman" w:hAnsi="Nunito" w:cs="Times New Roman"/>
          <w:color w:val="000000"/>
          <w:kern w:val="0"/>
          <w:sz w:val="28"/>
          <w:szCs w:val="28"/>
          <w:lang w:eastAsia="en-IN"/>
          <w14:ligatures w14:val="none"/>
        </w:rPr>
        <w:t>There are various methods that can be used to improve risk assessment and management processes in supply chain management for solar panels:</w:t>
      </w:r>
    </w:p>
    <w:p w14:paraId="711A71F4" w14:textId="77777777" w:rsidR="00E56107" w:rsidRPr="00E56107" w:rsidRDefault="00E56107" w:rsidP="00E56107">
      <w:pPr>
        <w:shd w:val="clear" w:color="auto" w:fill="FFFFFF"/>
        <w:spacing w:after="0" w:line="240" w:lineRule="auto"/>
        <w:rPr>
          <w:rFonts w:ascii="Nunito" w:eastAsia="Times New Roman" w:hAnsi="Nunito" w:cs="Times New Roman"/>
          <w:color w:val="000000"/>
          <w:kern w:val="0"/>
          <w:sz w:val="32"/>
          <w:szCs w:val="32"/>
          <w:lang w:eastAsia="en-IN"/>
          <w14:ligatures w14:val="none"/>
        </w:rPr>
      </w:pPr>
    </w:p>
    <w:p w14:paraId="2F6A4271" w14:textId="77777777" w:rsidR="00E56107" w:rsidRPr="00E56107" w:rsidRDefault="00E56107" w:rsidP="00E56107">
      <w:pPr>
        <w:shd w:val="clear" w:color="auto" w:fill="FFFFFF"/>
        <w:spacing w:after="0" w:line="240" w:lineRule="auto"/>
        <w:rPr>
          <w:rFonts w:ascii="Nunito" w:eastAsia="Times New Roman" w:hAnsi="Nunito" w:cs="Times New Roman"/>
          <w:color w:val="000000"/>
          <w:kern w:val="0"/>
          <w:sz w:val="28"/>
          <w:szCs w:val="28"/>
          <w:lang w:eastAsia="en-IN"/>
          <w14:ligatures w14:val="none"/>
        </w:rPr>
      </w:pPr>
      <w:r w:rsidRPr="00E56107">
        <w:rPr>
          <w:rStyle w:val="Heading2Char"/>
          <w:b/>
          <w:bCs/>
          <w:sz w:val="36"/>
          <w:szCs w:val="36"/>
          <w:lang w:eastAsia="en-IN"/>
        </w:rPr>
        <w:t>Comprehensive Supplier Evaluation:</w:t>
      </w:r>
      <w:r w:rsidRPr="00E56107">
        <w:rPr>
          <w:rFonts w:ascii="Nunito" w:eastAsia="Times New Roman" w:hAnsi="Nunito" w:cs="Times New Roman"/>
          <w:color w:val="000000"/>
          <w:kern w:val="0"/>
          <w:sz w:val="28"/>
          <w:szCs w:val="28"/>
          <w:lang w:eastAsia="en-IN"/>
          <w14:ligatures w14:val="none"/>
        </w:rPr>
        <w:t xml:space="preserve"> Implementing a thorough evaluation process to assess the capabilities, financial stability, and track record of potential suppliers. This includes conducting site visits, reviewing certifications and quality management systems, and checking references. By selecting reliable and reputable suppliers, the risk of disruptions or quality issues can be minimized.</w:t>
      </w:r>
    </w:p>
    <w:p w14:paraId="1A83B64E" w14:textId="77777777" w:rsidR="00E56107" w:rsidRPr="00E56107" w:rsidRDefault="00E56107" w:rsidP="00E56107">
      <w:pPr>
        <w:shd w:val="clear" w:color="auto" w:fill="FFFFFF"/>
        <w:spacing w:after="0" w:line="240" w:lineRule="auto"/>
        <w:rPr>
          <w:rFonts w:ascii="Nunito" w:eastAsia="Times New Roman" w:hAnsi="Nunito" w:cs="Times New Roman"/>
          <w:color w:val="000000"/>
          <w:kern w:val="0"/>
          <w:sz w:val="28"/>
          <w:szCs w:val="28"/>
          <w:lang w:eastAsia="en-IN"/>
          <w14:ligatures w14:val="none"/>
        </w:rPr>
      </w:pPr>
      <w:r w:rsidRPr="00E56107">
        <w:rPr>
          <w:rStyle w:val="Heading2Char"/>
          <w:b/>
          <w:bCs/>
          <w:sz w:val="36"/>
          <w:szCs w:val="36"/>
          <w:lang w:eastAsia="en-IN"/>
        </w:rPr>
        <w:t>Tailor risk assessment:</w:t>
      </w:r>
      <w:r w:rsidRPr="00E56107">
        <w:rPr>
          <w:rFonts w:ascii="Nunito" w:eastAsia="Times New Roman" w:hAnsi="Nunito" w:cs="Times New Roman"/>
          <w:color w:val="000000"/>
          <w:kern w:val="0"/>
          <w:sz w:val="28"/>
          <w:szCs w:val="28"/>
          <w:lang w:eastAsia="en-IN"/>
          <w14:ligatures w14:val="none"/>
        </w:rPr>
        <w:t xml:space="preserve"> Customizing the risk assessment process to align with the specific requirements and characteristics of the solar panel industry. Consider industry regulations, company policies, and best practices to ensure a comprehensive and accurate evaluation of risks.</w:t>
      </w:r>
    </w:p>
    <w:p w14:paraId="49F58C3A" w14:textId="77777777" w:rsidR="00E56107" w:rsidRPr="00E56107" w:rsidRDefault="00E56107" w:rsidP="00E56107">
      <w:pPr>
        <w:shd w:val="clear" w:color="auto" w:fill="FFFFFF"/>
        <w:spacing w:after="0" w:line="240" w:lineRule="auto"/>
        <w:rPr>
          <w:rFonts w:ascii="Nunito" w:eastAsia="Times New Roman" w:hAnsi="Nunito" w:cs="Times New Roman"/>
          <w:color w:val="000000"/>
          <w:kern w:val="0"/>
          <w:sz w:val="28"/>
          <w:szCs w:val="28"/>
          <w:lang w:eastAsia="en-IN"/>
          <w14:ligatures w14:val="none"/>
        </w:rPr>
      </w:pPr>
      <w:r w:rsidRPr="00E56107">
        <w:rPr>
          <w:rStyle w:val="Heading2Char"/>
          <w:b/>
          <w:bCs/>
          <w:sz w:val="36"/>
          <w:szCs w:val="36"/>
          <w:lang w:eastAsia="en-IN"/>
        </w:rPr>
        <w:t>Diversification of Suppliers:</w:t>
      </w:r>
      <w:r w:rsidRPr="00E56107">
        <w:rPr>
          <w:rFonts w:ascii="Nunito" w:eastAsia="Times New Roman" w:hAnsi="Nunito" w:cs="Times New Roman"/>
          <w:color w:val="000000"/>
          <w:kern w:val="0"/>
          <w:sz w:val="28"/>
          <w:szCs w:val="28"/>
          <w:lang w:eastAsia="en-IN"/>
          <w14:ligatures w14:val="none"/>
        </w:rPr>
        <w:t xml:space="preserve"> Reducing dependence on a single supplier by diversifying the supply base. Engage multiple suppliers for critical components or materials to mitigate the risk of supply disruptions caused by unforeseen events, such as natural disasters or political instability in specific regions.</w:t>
      </w:r>
    </w:p>
    <w:p w14:paraId="6C116841" w14:textId="77777777" w:rsidR="00E56107" w:rsidRPr="00E56107" w:rsidRDefault="00E56107" w:rsidP="00E56107">
      <w:pPr>
        <w:shd w:val="clear" w:color="auto" w:fill="FFFFFF"/>
        <w:spacing w:after="0" w:line="240" w:lineRule="auto"/>
        <w:rPr>
          <w:rFonts w:ascii="Nunito" w:eastAsia="Times New Roman" w:hAnsi="Nunito" w:cs="Times New Roman"/>
          <w:color w:val="000000"/>
          <w:kern w:val="0"/>
          <w:sz w:val="28"/>
          <w:szCs w:val="28"/>
          <w:lang w:eastAsia="en-IN"/>
          <w14:ligatures w14:val="none"/>
        </w:rPr>
      </w:pPr>
      <w:r w:rsidRPr="00E56107">
        <w:rPr>
          <w:rStyle w:val="Heading2Char"/>
          <w:b/>
          <w:bCs/>
          <w:sz w:val="36"/>
          <w:szCs w:val="36"/>
          <w:lang w:eastAsia="en-IN"/>
        </w:rPr>
        <w:lastRenderedPageBreak/>
        <w:t>Supply Chain Mapping:</w:t>
      </w:r>
      <w:r w:rsidRPr="00E56107">
        <w:rPr>
          <w:rFonts w:ascii="Nunito" w:eastAsia="Times New Roman" w:hAnsi="Nunito" w:cs="Times New Roman"/>
          <w:color w:val="000000"/>
          <w:kern w:val="0"/>
          <w:sz w:val="28"/>
          <w:szCs w:val="28"/>
          <w:lang w:eastAsia="en-IN"/>
          <w14:ligatures w14:val="none"/>
        </w:rPr>
        <w:t xml:space="preserve"> Creating a detailed map of the entire supply chain, including all suppliers, subcontractors, and their locations. This helps identify potential vulnerabilities and bottlenecks within the supply chain, allowing for proactive risk mitigation strategies.</w:t>
      </w:r>
    </w:p>
    <w:p w14:paraId="72D987FC" w14:textId="1E17FA23" w:rsidR="00E56107" w:rsidRPr="00E56107" w:rsidRDefault="009736BB" w:rsidP="00E56107">
      <w:pPr>
        <w:shd w:val="clear" w:color="auto" w:fill="FFFFFF"/>
        <w:spacing w:after="0" w:line="240" w:lineRule="auto"/>
        <w:rPr>
          <w:rFonts w:ascii="Nunito" w:eastAsia="Times New Roman" w:hAnsi="Nunito" w:cs="Times New Roman"/>
          <w:color w:val="000000"/>
          <w:kern w:val="0"/>
          <w:sz w:val="28"/>
          <w:szCs w:val="28"/>
          <w:lang w:eastAsia="en-IN"/>
          <w14:ligatures w14:val="none"/>
        </w:rPr>
      </w:pPr>
      <w:r w:rsidRPr="009736BB">
        <w:rPr>
          <w:rStyle w:val="Heading2Char"/>
          <w:b/>
          <w:bCs/>
          <w:sz w:val="36"/>
          <w:szCs w:val="36"/>
        </w:rPr>
        <w:t>Continuous Monitoring</w:t>
      </w:r>
      <w:r>
        <w:rPr>
          <w:rFonts w:ascii="Nunito" w:hAnsi="Nunito"/>
          <w:b/>
          <w:bCs/>
          <w:color w:val="000000"/>
          <w:sz w:val="23"/>
          <w:szCs w:val="23"/>
        </w:rPr>
        <w:t>:</w:t>
      </w:r>
      <w:r w:rsidR="00E56107" w:rsidRPr="00E56107">
        <w:rPr>
          <w:rFonts w:ascii="Nunito" w:eastAsia="Times New Roman" w:hAnsi="Nunito" w:cs="Times New Roman"/>
          <w:color w:val="000000"/>
          <w:kern w:val="0"/>
          <w:sz w:val="28"/>
          <w:szCs w:val="28"/>
          <w:lang w:eastAsia="en-IN"/>
          <w14:ligatures w14:val="none"/>
        </w:rPr>
        <w:t xml:space="preserve"> Establishing a system for ongoing monitoring of suppliers' performance, financial health, and compliance with quality and ethical standards. Regular audits, inspections, and assessments can help identify any emerging risks and ensure suppliers adhere to agreed-upon standards.</w:t>
      </w:r>
    </w:p>
    <w:p w14:paraId="1E42D0D9" w14:textId="77777777" w:rsidR="00E56107" w:rsidRPr="00E56107" w:rsidRDefault="00E56107" w:rsidP="00E56107">
      <w:pPr>
        <w:shd w:val="clear" w:color="auto" w:fill="FFFFFF"/>
        <w:spacing w:after="0" w:line="240" w:lineRule="auto"/>
        <w:rPr>
          <w:rFonts w:ascii="Nunito" w:eastAsia="Times New Roman" w:hAnsi="Nunito" w:cs="Times New Roman"/>
          <w:color w:val="000000"/>
          <w:kern w:val="0"/>
          <w:sz w:val="28"/>
          <w:szCs w:val="28"/>
          <w:lang w:eastAsia="en-IN"/>
          <w14:ligatures w14:val="none"/>
        </w:rPr>
      </w:pPr>
      <w:r w:rsidRPr="00E56107">
        <w:rPr>
          <w:rStyle w:val="Heading2Char"/>
          <w:b/>
          <w:bCs/>
          <w:sz w:val="36"/>
          <w:szCs w:val="36"/>
          <w:lang w:eastAsia="en-IN"/>
        </w:rPr>
        <w:t>Risk Mitigation Strategies</w:t>
      </w:r>
      <w:r w:rsidRPr="00E56107">
        <w:rPr>
          <w:rFonts w:ascii="Nunito" w:eastAsia="Times New Roman" w:hAnsi="Nunito" w:cs="Times New Roman"/>
          <w:b/>
          <w:bCs/>
          <w:color w:val="000000"/>
          <w:kern w:val="0"/>
          <w:sz w:val="28"/>
          <w:szCs w:val="28"/>
          <w:lang w:eastAsia="en-IN"/>
          <w14:ligatures w14:val="none"/>
        </w:rPr>
        <w:t>:</w:t>
      </w:r>
      <w:r w:rsidRPr="00E56107">
        <w:rPr>
          <w:rFonts w:ascii="Nunito" w:eastAsia="Times New Roman" w:hAnsi="Nunito" w:cs="Times New Roman"/>
          <w:color w:val="000000"/>
          <w:kern w:val="0"/>
          <w:sz w:val="28"/>
          <w:szCs w:val="28"/>
          <w:lang w:eastAsia="en-IN"/>
          <w14:ligatures w14:val="none"/>
        </w:rPr>
        <w:t xml:space="preserve"> Developing contingency plans and alternative sourcing options to address potential risks. This can include maintaining safety stock, identifying backup suppliers, or creating strategic partnerships with suppliers to ensure continuity of supply.</w:t>
      </w:r>
    </w:p>
    <w:p w14:paraId="0452E9E1" w14:textId="77777777" w:rsidR="00E56107" w:rsidRPr="00E56107" w:rsidRDefault="00E56107" w:rsidP="00E56107">
      <w:pPr>
        <w:shd w:val="clear" w:color="auto" w:fill="FFFFFF"/>
        <w:spacing w:after="0" w:line="240" w:lineRule="auto"/>
        <w:rPr>
          <w:rFonts w:ascii="Nunito" w:eastAsia="Times New Roman" w:hAnsi="Nunito" w:cs="Times New Roman"/>
          <w:color w:val="000000"/>
          <w:kern w:val="0"/>
          <w:sz w:val="28"/>
          <w:szCs w:val="28"/>
          <w:lang w:eastAsia="en-IN"/>
          <w14:ligatures w14:val="none"/>
        </w:rPr>
      </w:pPr>
      <w:r w:rsidRPr="00E56107">
        <w:rPr>
          <w:rStyle w:val="Heading2Char"/>
          <w:b/>
          <w:bCs/>
          <w:sz w:val="36"/>
          <w:szCs w:val="36"/>
          <w:lang w:eastAsia="en-IN"/>
        </w:rPr>
        <w:t>Collaboration and Information Sharing:</w:t>
      </w:r>
      <w:r w:rsidRPr="00E56107">
        <w:rPr>
          <w:rFonts w:ascii="Nunito" w:eastAsia="Times New Roman" w:hAnsi="Nunito" w:cs="Times New Roman"/>
          <w:color w:val="000000"/>
          <w:kern w:val="0"/>
          <w:sz w:val="28"/>
          <w:szCs w:val="28"/>
          <w:lang w:eastAsia="en-IN"/>
          <w14:ligatures w14:val="none"/>
        </w:rPr>
        <w:t xml:space="preserve"> Foster collaboration and information sharing among supply chain partners. This includes sharing forecasts, demand information, and potential risks to enable proactive decision-making and risk mitigation strategies.</w:t>
      </w:r>
    </w:p>
    <w:p w14:paraId="7BE3166E" w14:textId="77777777" w:rsidR="00E56107" w:rsidRPr="00E56107" w:rsidRDefault="00E56107" w:rsidP="00E56107">
      <w:pPr>
        <w:shd w:val="clear" w:color="auto" w:fill="FFFFFF"/>
        <w:spacing w:after="0" w:line="240" w:lineRule="auto"/>
        <w:rPr>
          <w:rFonts w:ascii="Nunito" w:eastAsia="Times New Roman" w:hAnsi="Nunito" w:cs="Times New Roman"/>
          <w:color w:val="000000"/>
          <w:kern w:val="0"/>
          <w:sz w:val="28"/>
          <w:szCs w:val="28"/>
          <w:lang w:eastAsia="en-IN"/>
          <w14:ligatures w14:val="none"/>
        </w:rPr>
      </w:pPr>
      <w:r w:rsidRPr="00E56107">
        <w:rPr>
          <w:rStyle w:val="Heading2Char"/>
          <w:b/>
          <w:bCs/>
          <w:sz w:val="36"/>
          <w:szCs w:val="36"/>
          <w:lang w:eastAsia="en-IN"/>
        </w:rPr>
        <w:t>Technology Integration:</w:t>
      </w:r>
      <w:r w:rsidRPr="00E56107">
        <w:rPr>
          <w:rFonts w:ascii="Nunito" w:eastAsia="Times New Roman" w:hAnsi="Nunito" w:cs="Times New Roman"/>
          <w:color w:val="000000"/>
          <w:kern w:val="0"/>
          <w:sz w:val="28"/>
          <w:szCs w:val="28"/>
          <w:lang w:eastAsia="en-IN"/>
          <w14:ligatures w14:val="none"/>
        </w:rPr>
        <w:t xml:space="preserve"> Leveraging digital technologies such as supply chain analytics, real-time tracking, and Internet of Things (IoT) devices to gain visibility into the supply chain and enhance risk management capabilities. These technologies enable timely identification of potential disruptions and facilitate rapid response and mitigation.</w:t>
      </w:r>
    </w:p>
    <w:p w14:paraId="51E074EB" w14:textId="77777777" w:rsidR="00E56107" w:rsidRPr="00E56107" w:rsidRDefault="00E56107" w:rsidP="00E56107">
      <w:pPr>
        <w:shd w:val="clear" w:color="auto" w:fill="FFFFFF"/>
        <w:spacing w:after="0" w:line="240" w:lineRule="auto"/>
        <w:rPr>
          <w:rFonts w:ascii="Nunito" w:eastAsia="Times New Roman" w:hAnsi="Nunito" w:cs="Times New Roman"/>
          <w:color w:val="000000"/>
          <w:kern w:val="0"/>
          <w:sz w:val="28"/>
          <w:szCs w:val="28"/>
          <w:lang w:eastAsia="en-IN"/>
          <w14:ligatures w14:val="none"/>
        </w:rPr>
      </w:pPr>
      <w:r w:rsidRPr="00E56107">
        <w:rPr>
          <w:rStyle w:val="Heading2Char"/>
          <w:b/>
          <w:bCs/>
          <w:sz w:val="36"/>
          <w:szCs w:val="36"/>
          <w:lang w:eastAsia="en-IN"/>
        </w:rPr>
        <w:t>Training and Skill Development:</w:t>
      </w:r>
      <w:r w:rsidRPr="00E56107">
        <w:rPr>
          <w:rFonts w:ascii="Nunito" w:eastAsia="Times New Roman" w:hAnsi="Nunito" w:cs="Times New Roman"/>
          <w:color w:val="000000"/>
          <w:kern w:val="0"/>
          <w:sz w:val="28"/>
          <w:szCs w:val="28"/>
          <w:lang w:eastAsia="en-IN"/>
          <w14:ligatures w14:val="none"/>
        </w:rPr>
        <w:t xml:space="preserve"> Providing training and development programs for supply chain professionals to enhance their knowledge and skills in risk assessment and management. This ensures a proactive and informed approach to identifying and mitigating risks throughout the supply chain.</w:t>
      </w:r>
    </w:p>
    <w:p w14:paraId="2AF2380F" w14:textId="77777777" w:rsidR="00E56107" w:rsidRDefault="00E56107" w:rsidP="00E56107">
      <w:pPr>
        <w:shd w:val="clear" w:color="auto" w:fill="FFFFFF"/>
        <w:spacing w:after="0" w:line="240" w:lineRule="auto"/>
        <w:rPr>
          <w:rFonts w:ascii="Nunito" w:eastAsia="Times New Roman" w:hAnsi="Nunito" w:cs="Times New Roman"/>
          <w:color w:val="000000"/>
          <w:kern w:val="0"/>
          <w:sz w:val="28"/>
          <w:szCs w:val="28"/>
          <w:lang w:eastAsia="en-IN"/>
          <w14:ligatures w14:val="none"/>
        </w:rPr>
      </w:pPr>
      <w:r w:rsidRPr="00E56107">
        <w:rPr>
          <w:rStyle w:val="Heading2Char"/>
          <w:b/>
          <w:bCs/>
          <w:sz w:val="36"/>
          <w:szCs w:val="36"/>
          <w:lang w:eastAsia="en-IN"/>
        </w:rPr>
        <w:t>Continuous Improvement</w:t>
      </w:r>
      <w:r w:rsidRPr="00E56107">
        <w:rPr>
          <w:rFonts w:ascii="Nunito" w:eastAsia="Times New Roman" w:hAnsi="Nunito" w:cs="Times New Roman"/>
          <w:b/>
          <w:bCs/>
          <w:color w:val="000000"/>
          <w:kern w:val="0"/>
          <w:sz w:val="28"/>
          <w:szCs w:val="28"/>
          <w:lang w:eastAsia="en-IN"/>
          <w14:ligatures w14:val="none"/>
        </w:rPr>
        <w:t>:</w:t>
      </w:r>
      <w:r w:rsidRPr="00E56107">
        <w:rPr>
          <w:rFonts w:ascii="Nunito" w:eastAsia="Times New Roman" w:hAnsi="Nunito" w:cs="Times New Roman"/>
          <w:color w:val="000000"/>
          <w:kern w:val="0"/>
          <w:sz w:val="28"/>
          <w:szCs w:val="28"/>
          <w:lang w:eastAsia="en-IN"/>
          <w14:ligatures w14:val="none"/>
        </w:rPr>
        <w:t xml:space="preserve"> Establishing a culture of continuous improvement, where feedback and lessons learned from risk events are integrated into the risk management processes. Regularly review and update risk management strategies to adapt to changing market conditions and emerging risks.</w:t>
      </w:r>
    </w:p>
    <w:p w14:paraId="2370CFAB" w14:textId="77777777" w:rsidR="009736BB" w:rsidRDefault="009736BB" w:rsidP="00E56107">
      <w:pPr>
        <w:shd w:val="clear" w:color="auto" w:fill="FFFFFF"/>
        <w:spacing w:after="0" w:line="240" w:lineRule="auto"/>
        <w:rPr>
          <w:rFonts w:ascii="Nunito" w:eastAsia="Times New Roman" w:hAnsi="Nunito" w:cs="Times New Roman"/>
          <w:color w:val="000000"/>
          <w:kern w:val="0"/>
          <w:sz w:val="28"/>
          <w:szCs w:val="28"/>
          <w:lang w:eastAsia="en-IN"/>
          <w14:ligatures w14:val="none"/>
        </w:rPr>
      </w:pPr>
    </w:p>
    <w:p w14:paraId="3B0E7079" w14:textId="77777777" w:rsidR="009736BB" w:rsidRDefault="009736BB" w:rsidP="00E56107">
      <w:pPr>
        <w:shd w:val="clear" w:color="auto" w:fill="FFFFFF"/>
        <w:spacing w:after="0" w:line="240" w:lineRule="auto"/>
        <w:rPr>
          <w:rFonts w:ascii="Nunito" w:eastAsia="Times New Roman" w:hAnsi="Nunito" w:cs="Times New Roman"/>
          <w:color w:val="000000"/>
          <w:kern w:val="0"/>
          <w:sz w:val="28"/>
          <w:szCs w:val="28"/>
          <w:lang w:eastAsia="en-IN"/>
          <w14:ligatures w14:val="none"/>
        </w:rPr>
      </w:pPr>
    </w:p>
    <w:p w14:paraId="68165870" w14:textId="77777777" w:rsidR="009736BB" w:rsidRDefault="009736BB" w:rsidP="00E56107">
      <w:pPr>
        <w:shd w:val="clear" w:color="auto" w:fill="FFFFFF"/>
        <w:spacing w:after="0" w:line="240" w:lineRule="auto"/>
        <w:rPr>
          <w:rFonts w:ascii="Nunito" w:eastAsia="Times New Roman" w:hAnsi="Nunito" w:cs="Times New Roman"/>
          <w:color w:val="000000"/>
          <w:kern w:val="0"/>
          <w:sz w:val="28"/>
          <w:szCs w:val="28"/>
          <w:lang w:eastAsia="en-IN"/>
          <w14:ligatures w14:val="none"/>
        </w:rPr>
      </w:pPr>
    </w:p>
    <w:p w14:paraId="22D4A3E4" w14:textId="176A67A1" w:rsidR="009736BB" w:rsidRPr="00E56107" w:rsidRDefault="009736BB" w:rsidP="00E56107">
      <w:pPr>
        <w:shd w:val="clear" w:color="auto" w:fill="FFFFFF"/>
        <w:spacing w:after="0" w:line="240" w:lineRule="auto"/>
        <w:rPr>
          <w:rFonts w:ascii="Nunito" w:eastAsia="Times New Roman" w:hAnsi="Nunito" w:cs="Times New Roman"/>
          <w:color w:val="000000"/>
          <w:kern w:val="0"/>
          <w:sz w:val="28"/>
          <w:szCs w:val="28"/>
          <w:lang w:eastAsia="en-IN"/>
          <w14:ligatures w14:val="none"/>
        </w:rPr>
      </w:pPr>
      <w:r w:rsidRPr="009736BB">
        <w:rPr>
          <w:rFonts w:ascii="Nunito" w:eastAsia="Times New Roman" w:hAnsi="Nunito" w:cs="Times New Roman"/>
          <w:color w:val="000000"/>
          <w:kern w:val="0"/>
          <w:sz w:val="28"/>
          <w:szCs w:val="28"/>
          <w:lang w:eastAsia="en-IN"/>
          <w14:ligatures w14:val="none"/>
        </w:rPr>
        <w:t>By implementing these methods, solar panel supply chains can enhance their risk assessment and management processes, reducing vulnerabilities and ensuring the smooth operation of the supply chain. It is important to customize and adapt these methods based on the specific characteristics of the industry, organizational context, and risk profiles.</w:t>
      </w:r>
    </w:p>
    <w:p w14:paraId="0026F63F" w14:textId="77777777" w:rsidR="00454877" w:rsidRPr="0090253B" w:rsidRDefault="00454877" w:rsidP="0090253B">
      <w:pPr>
        <w:pStyle w:val="Heading1"/>
        <w:rPr>
          <w:b/>
          <w:bCs/>
          <w:sz w:val="40"/>
          <w:szCs w:val="40"/>
        </w:rPr>
      </w:pPr>
    </w:p>
    <w:p w14:paraId="3FADA65F" w14:textId="7D00A9AA" w:rsidR="0090253B" w:rsidRDefault="00021421" w:rsidP="0090253B">
      <w:pPr>
        <w:pStyle w:val="Heading1"/>
        <w:rPr>
          <w:b/>
          <w:bCs/>
          <w:sz w:val="40"/>
          <w:szCs w:val="40"/>
        </w:rPr>
      </w:pPr>
      <w:r>
        <w:rPr>
          <w:rStyle w:val="FootnoteReference"/>
          <w:b/>
          <w:bCs/>
          <w:sz w:val="40"/>
          <w:szCs w:val="40"/>
        </w:rPr>
        <w:footnoteReference w:id="5"/>
      </w:r>
      <w:r w:rsidR="0090253B" w:rsidRPr="0090253B">
        <w:rPr>
          <w:b/>
          <w:bCs/>
          <w:sz w:val="40"/>
          <w:szCs w:val="40"/>
        </w:rPr>
        <w:t>5. Developing recommendations for enhancing innovation within solar panel supply chains</w:t>
      </w:r>
      <w:r w:rsidR="0090253B">
        <w:rPr>
          <w:b/>
          <w:bCs/>
          <w:sz w:val="40"/>
          <w:szCs w:val="40"/>
        </w:rPr>
        <w:t>:</w:t>
      </w:r>
    </w:p>
    <w:p w14:paraId="1DD0AEC9" w14:textId="77777777" w:rsidR="0090253B" w:rsidRPr="0090253B" w:rsidRDefault="0090253B" w:rsidP="0090253B">
      <w:pPr>
        <w:rPr>
          <w:b/>
          <w:bCs/>
          <w:sz w:val="32"/>
          <w:szCs w:val="32"/>
        </w:rPr>
      </w:pPr>
    </w:p>
    <w:p w14:paraId="04169487" w14:textId="4F5DA5CA" w:rsidR="0090253B" w:rsidRPr="0090253B" w:rsidRDefault="0090253B" w:rsidP="0090253B">
      <w:pPr>
        <w:rPr>
          <w:sz w:val="32"/>
          <w:szCs w:val="32"/>
        </w:rPr>
      </w:pPr>
      <w:r>
        <w:rPr>
          <w:sz w:val="32"/>
          <w:szCs w:val="32"/>
        </w:rPr>
        <w:t xml:space="preserve">Some </w:t>
      </w:r>
      <w:r w:rsidRPr="0090253B">
        <w:rPr>
          <w:sz w:val="32"/>
          <w:szCs w:val="32"/>
        </w:rPr>
        <w:t>recommendations for enhancing innovation within solar panel supply chains</w:t>
      </w:r>
      <w:r>
        <w:rPr>
          <w:sz w:val="32"/>
          <w:szCs w:val="32"/>
        </w:rPr>
        <w:t>, such as:</w:t>
      </w:r>
    </w:p>
    <w:p w14:paraId="714CADDF" w14:textId="77777777" w:rsidR="0090253B" w:rsidRPr="0090253B" w:rsidRDefault="0090253B" w:rsidP="0090253B">
      <w:pPr>
        <w:rPr>
          <w:sz w:val="32"/>
          <w:szCs w:val="32"/>
        </w:rPr>
      </w:pPr>
    </w:p>
    <w:p w14:paraId="25B73202" w14:textId="77777777" w:rsidR="0090253B" w:rsidRPr="0090253B" w:rsidRDefault="0090253B" w:rsidP="0090253B">
      <w:pPr>
        <w:rPr>
          <w:sz w:val="32"/>
          <w:szCs w:val="32"/>
        </w:rPr>
      </w:pPr>
      <w:r w:rsidRPr="0090253B">
        <w:rPr>
          <w:rStyle w:val="Heading2Char"/>
          <w:b/>
          <w:bCs/>
          <w:sz w:val="36"/>
          <w:szCs w:val="36"/>
        </w:rPr>
        <w:t>Foster Collaboration and Partnerships:</w:t>
      </w:r>
      <w:r w:rsidRPr="0090253B">
        <w:rPr>
          <w:sz w:val="32"/>
          <w:szCs w:val="32"/>
        </w:rPr>
        <w:t xml:space="preserve"> Encourage collaboration between stakeholders to drive innovation in materials, manufacturing processes, and product design.</w:t>
      </w:r>
    </w:p>
    <w:p w14:paraId="00064315" w14:textId="77777777" w:rsidR="0090253B" w:rsidRPr="0090253B" w:rsidRDefault="0090253B" w:rsidP="0090253B">
      <w:pPr>
        <w:rPr>
          <w:sz w:val="32"/>
          <w:szCs w:val="32"/>
        </w:rPr>
      </w:pPr>
    </w:p>
    <w:p w14:paraId="0B4833A1" w14:textId="77777777" w:rsidR="0090253B" w:rsidRPr="0090253B" w:rsidRDefault="0090253B" w:rsidP="0090253B">
      <w:pPr>
        <w:rPr>
          <w:sz w:val="32"/>
          <w:szCs w:val="32"/>
        </w:rPr>
      </w:pPr>
      <w:r w:rsidRPr="0090253B">
        <w:rPr>
          <w:rStyle w:val="Heading2Char"/>
          <w:b/>
          <w:bCs/>
          <w:sz w:val="36"/>
          <w:szCs w:val="36"/>
        </w:rPr>
        <w:t>Research and Development Investments:</w:t>
      </w:r>
      <w:r w:rsidRPr="0090253B">
        <w:rPr>
          <w:sz w:val="32"/>
          <w:szCs w:val="32"/>
        </w:rPr>
        <w:t xml:space="preserve"> Allocate resources for R&amp;D initiatives focused on improving solar panel technologies and supply chain processes.</w:t>
      </w:r>
    </w:p>
    <w:p w14:paraId="6BF16767" w14:textId="77777777" w:rsidR="0090253B" w:rsidRPr="0090253B" w:rsidRDefault="0090253B" w:rsidP="0090253B">
      <w:pPr>
        <w:rPr>
          <w:sz w:val="32"/>
          <w:szCs w:val="32"/>
        </w:rPr>
      </w:pPr>
    </w:p>
    <w:p w14:paraId="2718BF97" w14:textId="77777777" w:rsidR="0090253B" w:rsidRPr="0090253B" w:rsidRDefault="0090253B" w:rsidP="0090253B">
      <w:pPr>
        <w:rPr>
          <w:sz w:val="32"/>
          <w:szCs w:val="32"/>
        </w:rPr>
      </w:pPr>
      <w:r w:rsidRPr="0090253B">
        <w:rPr>
          <w:rStyle w:val="Heading2Char"/>
          <w:b/>
          <w:bCs/>
          <w:sz w:val="36"/>
          <w:szCs w:val="36"/>
        </w:rPr>
        <w:t>Embrace Emerging Technologies:</w:t>
      </w:r>
      <w:r w:rsidRPr="0090253B">
        <w:rPr>
          <w:sz w:val="32"/>
          <w:szCs w:val="32"/>
        </w:rPr>
        <w:t xml:space="preserve"> Stay updated with advanced automation, AI, and data analytics to optimize production processes and drive innovation.</w:t>
      </w:r>
    </w:p>
    <w:p w14:paraId="7B7ADE24" w14:textId="77777777" w:rsidR="0090253B" w:rsidRPr="0090253B" w:rsidRDefault="0090253B" w:rsidP="0090253B">
      <w:pPr>
        <w:rPr>
          <w:sz w:val="32"/>
          <w:szCs w:val="32"/>
        </w:rPr>
      </w:pPr>
    </w:p>
    <w:p w14:paraId="33A90690" w14:textId="77777777" w:rsidR="0090253B" w:rsidRPr="0090253B" w:rsidRDefault="0090253B" w:rsidP="0090253B">
      <w:pPr>
        <w:rPr>
          <w:sz w:val="32"/>
          <w:szCs w:val="32"/>
        </w:rPr>
      </w:pPr>
      <w:r w:rsidRPr="0090253B">
        <w:rPr>
          <w:rStyle w:val="Heading2Char"/>
          <w:b/>
          <w:bCs/>
          <w:sz w:val="36"/>
          <w:szCs w:val="36"/>
        </w:rPr>
        <w:lastRenderedPageBreak/>
        <w:t>Encourage Supplier Innovation:</w:t>
      </w:r>
      <w:r w:rsidRPr="0090253B">
        <w:rPr>
          <w:sz w:val="32"/>
          <w:szCs w:val="32"/>
        </w:rPr>
        <w:t xml:space="preserve"> Foster open communication with suppliers to seek their input on process improvements, product enhancements, and cost-saving initiatives.</w:t>
      </w:r>
    </w:p>
    <w:p w14:paraId="766D82F9" w14:textId="77777777" w:rsidR="0090253B" w:rsidRPr="0090253B" w:rsidRDefault="0090253B" w:rsidP="0090253B">
      <w:pPr>
        <w:rPr>
          <w:sz w:val="32"/>
          <w:szCs w:val="32"/>
        </w:rPr>
      </w:pPr>
    </w:p>
    <w:p w14:paraId="6246814B" w14:textId="77777777" w:rsidR="0090253B" w:rsidRPr="0090253B" w:rsidRDefault="0090253B" w:rsidP="0090253B">
      <w:pPr>
        <w:rPr>
          <w:sz w:val="32"/>
          <w:szCs w:val="32"/>
        </w:rPr>
      </w:pPr>
      <w:r w:rsidRPr="0090253B">
        <w:rPr>
          <w:rStyle w:val="Heading2Char"/>
          <w:b/>
          <w:bCs/>
          <w:sz w:val="36"/>
          <w:szCs w:val="36"/>
        </w:rPr>
        <w:t>Sustainability and Circular Economy:</w:t>
      </w:r>
      <w:r w:rsidRPr="0090253B">
        <w:rPr>
          <w:sz w:val="32"/>
          <w:szCs w:val="32"/>
        </w:rPr>
        <w:t xml:space="preserve"> Incorporate sustainable practices and explore opportunities for recycling and reusing solar panel components.</w:t>
      </w:r>
    </w:p>
    <w:p w14:paraId="45DAF762" w14:textId="77777777" w:rsidR="0090253B" w:rsidRPr="0090253B" w:rsidRDefault="0090253B" w:rsidP="0090253B">
      <w:pPr>
        <w:rPr>
          <w:sz w:val="32"/>
          <w:szCs w:val="32"/>
        </w:rPr>
      </w:pPr>
    </w:p>
    <w:p w14:paraId="7C513BF8" w14:textId="77777777" w:rsidR="0090253B" w:rsidRPr="0090253B" w:rsidRDefault="0090253B" w:rsidP="0090253B">
      <w:pPr>
        <w:rPr>
          <w:sz w:val="32"/>
          <w:szCs w:val="32"/>
        </w:rPr>
      </w:pPr>
      <w:r w:rsidRPr="0090253B">
        <w:rPr>
          <w:rStyle w:val="Heading2Char"/>
          <w:b/>
          <w:bCs/>
          <w:sz w:val="36"/>
          <w:szCs w:val="36"/>
        </w:rPr>
        <w:t>Continuous Learning and Skill Development:</w:t>
      </w:r>
      <w:r w:rsidRPr="0090253B">
        <w:rPr>
          <w:sz w:val="32"/>
          <w:szCs w:val="32"/>
        </w:rPr>
        <w:t xml:space="preserve"> Invest in training programs to enhance supply chain professionals' knowledge and capabilities in innovation management.</w:t>
      </w:r>
    </w:p>
    <w:p w14:paraId="5376A356" w14:textId="77777777" w:rsidR="0090253B" w:rsidRPr="0090253B" w:rsidRDefault="0090253B" w:rsidP="0090253B">
      <w:pPr>
        <w:pStyle w:val="Heading2"/>
        <w:rPr>
          <w:b/>
          <w:bCs/>
          <w:sz w:val="36"/>
          <w:szCs w:val="36"/>
        </w:rPr>
      </w:pPr>
    </w:p>
    <w:p w14:paraId="01B252C5" w14:textId="4C65F474" w:rsidR="0090253B" w:rsidRDefault="0090253B" w:rsidP="0090253B">
      <w:pPr>
        <w:pStyle w:val="NoSpacing"/>
        <w:rPr>
          <w:sz w:val="32"/>
          <w:szCs w:val="32"/>
        </w:rPr>
      </w:pPr>
      <w:r w:rsidRPr="0090253B">
        <w:rPr>
          <w:rStyle w:val="Heading2Char"/>
          <w:b/>
          <w:bCs/>
          <w:sz w:val="36"/>
          <w:szCs w:val="36"/>
        </w:rPr>
        <w:t>Supplier Engagement Programs</w:t>
      </w:r>
      <w:r w:rsidRPr="0090253B">
        <w:rPr>
          <w:sz w:val="32"/>
          <w:szCs w:val="32"/>
        </w:rPr>
        <w:t>: Establish programs to gather innovative ideas from suppliers through meetings, workshops, and innovation challenges</w:t>
      </w:r>
      <w:r>
        <w:rPr>
          <w:sz w:val="32"/>
          <w:szCs w:val="32"/>
        </w:rPr>
        <w:t>.</w:t>
      </w:r>
    </w:p>
    <w:p w14:paraId="3D65C5C6" w14:textId="77777777" w:rsidR="0090253B" w:rsidRPr="0090253B" w:rsidRDefault="0090253B" w:rsidP="0090253B">
      <w:pPr>
        <w:pStyle w:val="NoSpacing"/>
        <w:rPr>
          <w:sz w:val="32"/>
          <w:szCs w:val="32"/>
        </w:rPr>
      </w:pPr>
    </w:p>
    <w:p w14:paraId="311DFF26" w14:textId="77777777" w:rsidR="0090253B" w:rsidRPr="0090253B" w:rsidRDefault="0090253B" w:rsidP="0090253B">
      <w:pPr>
        <w:rPr>
          <w:sz w:val="32"/>
          <w:szCs w:val="32"/>
        </w:rPr>
      </w:pPr>
      <w:r w:rsidRPr="0090253B">
        <w:rPr>
          <w:rStyle w:val="Heading2Char"/>
          <w:b/>
          <w:bCs/>
          <w:sz w:val="36"/>
          <w:szCs w:val="36"/>
        </w:rPr>
        <w:t>Regulatory and Policy Support:</w:t>
      </w:r>
      <w:r w:rsidRPr="0090253B">
        <w:rPr>
          <w:sz w:val="32"/>
          <w:szCs w:val="32"/>
        </w:rPr>
        <w:t xml:space="preserve"> Advocate for supportive policies and regulations that promote innovation within the solar panel industry.</w:t>
      </w:r>
    </w:p>
    <w:p w14:paraId="66D21565" w14:textId="77777777" w:rsidR="0090253B" w:rsidRPr="0090253B" w:rsidRDefault="0090253B" w:rsidP="0090253B">
      <w:pPr>
        <w:rPr>
          <w:sz w:val="32"/>
          <w:szCs w:val="32"/>
        </w:rPr>
      </w:pPr>
    </w:p>
    <w:p w14:paraId="248BA433" w14:textId="0690C8E5" w:rsidR="0090253B" w:rsidRPr="0090253B" w:rsidRDefault="00DD514C" w:rsidP="0090253B">
      <w:pPr>
        <w:rPr>
          <w:sz w:val="32"/>
          <w:szCs w:val="32"/>
        </w:rPr>
      </w:pPr>
      <w:r w:rsidRPr="00DD514C">
        <w:rPr>
          <w:rStyle w:val="Heading2Char"/>
          <w:b/>
          <w:bCs/>
          <w:sz w:val="36"/>
          <w:szCs w:val="36"/>
        </w:rPr>
        <w:t>Market Research and Consumer Insights:</w:t>
      </w:r>
      <w:r w:rsidR="0090253B" w:rsidRPr="0090253B">
        <w:rPr>
          <w:sz w:val="32"/>
          <w:szCs w:val="32"/>
        </w:rPr>
        <w:t xml:space="preserve"> Conduct research to identify emerging trends and customer demands, guiding product innovation.</w:t>
      </w:r>
    </w:p>
    <w:p w14:paraId="1C271092" w14:textId="77777777" w:rsidR="0090253B" w:rsidRPr="0090253B" w:rsidRDefault="0090253B" w:rsidP="0090253B">
      <w:pPr>
        <w:rPr>
          <w:sz w:val="32"/>
          <w:szCs w:val="32"/>
        </w:rPr>
      </w:pPr>
    </w:p>
    <w:p w14:paraId="4E68D9CC" w14:textId="21B374ED" w:rsidR="0090253B" w:rsidRPr="0090253B" w:rsidRDefault="0090253B" w:rsidP="0090253B">
      <w:pPr>
        <w:rPr>
          <w:sz w:val="32"/>
          <w:szCs w:val="32"/>
        </w:rPr>
      </w:pPr>
      <w:r w:rsidRPr="00DD514C">
        <w:rPr>
          <w:rStyle w:val="Heading1Char"/>
          <w:b/>
          <w:bCs/>
          <w:sz w:val="36"/>
          <w:szCs w:val="36"/>
        </w:rPr>
        <w:t>Continuous Improvement Culture:</w:t>
      </w:r>
      <w:r w:rsidRPr="0090253B">
        <w:rPr>
          <w:sz w:val="32"/>
          <w:szCs w:val="32"/>
        </w:rPr>
        <w:t xml:space="preserve"> Foster a culture of continuous improvement, encouraging employees to propose innovative ideas and learn from failures.</w:t>
      </w:r>
    </w:p>
    <w:p w14:paraId="6166CC04" w14:textId="77777777" w:rsidR="0090253B" w:rsidRPr="00454877" w:rsidRDefault="0090253B" w:rsidP="00454877">
      <w:pPr>
        <w:rPr>
          <w:sz w:val="24"/>
          <w:szCs w:val="24"/>
        </w:rPr>
      </w:pPr>
    </w:p>
    <w:p w14:paraId="3A13E49F" w14:textId="77777777" w:rsidR="00F739C9" w:rsidRPr="00F739C9" w:rsidRDefault="00F739C9" w:rsidP="00F739C9">
      <w:pPr>
        <w:rPr>
          <w:i/>
          <w:iCs/>
          <w:sz w:val="28"/>
          <w:szCs w:val="28"/>
        </w:rPr>
      </w:pPr>
    </w:p>
    <w:p w14:paraId="316A7FB3" w14:textId="77777777" w:rsidR="00F739C9" w:rsidRDefault="00F739C9" w:rsidP="00F739C9">
      <w:pPr>
        <w:rPr>
          <w:i/>
          <w:iCs/>
          <w:sz w:val="28"/>
          <w:szCs w:val="28"/>
        </w:rPr>
      </w:pPr>
      <w:r w:rsidRPr="00F739C9">
        <w:rPr>
          <w:i/>
          <w:iCs/>
          <w:sz w:val="28"/>
          <w:szCs w:val="28"/>
        </w:rPr>
        <w:t>The applicability and effectiveness of the recommendations mentioned above will always vary depending on the specific context and dynamics of each supply chain.</w:t>
      </w:r>
    </w:p>
    <w:p w14:paraId="081BD95C" w14:textId="77777777" w:rsidR="00F739C9" w:rsidRDefault="00F739C9" w:rsidP="00F739C9">
      <w:pPr>
        <w:rPr>
          <w:i/>
          <w:iCs/>
          <w:sz w:val="28"/>
          <w:szCs w:val="28"/>
        </w:rPr>
      </w:pPr>
    </w:p>
    <w:p w14:paraId="44FC0521" w14:textId="77777777" w:rsidR="00F739C9" w:rsidRDefault="00F739C9" w:rsidP="00F739C9">
      <w:pPr>
        <w:rPr>
          <w:i/>
          <w:iCs/>
          <w:sz w:val="28"/>
          <w:szCs w:val="28"/>
        </w:rPr>
      </w:pPr>
      <w:r w:rsidRPr="00F739C9">
        <w:rPr>
          <w:i/>
          <w:iCs/>
          <w:sz w:val="28"/>
          <w:szCs w:val="28"/>
        </w:rPr>
        <w:t xml:space="preserve"> For example, in a solar panel supply chain operating in a region with strict environmental regulations, an example recommendation for enhancing innovation could be to invest in research and development of eco-friendly manufacturing processes and materials. This would not only align with the regulatory requirements but would also contribute to the overall sustainability and market competitiveness of the supply chain.</w:t>
      </w:r>
    </w:p>
    <w:p w14:paraId="6E7494B3" w14:textId="2DF90330" w:rsidR="006F4593" w:rsidRPr="00F739C9" w:rsidRDefault="00F739C9" w:rsidP="00F739C9">
      <w:pPr>
        <w:rPr>
          <w:i/>
          <w:iCs/>
          <w:sz w:val="28"/>
          <w:szCs w:val="28"/>
        </w:rPr>
      </w:pPr>
      <w:r w:rsidRPr="00F739C9">
        <w:rPr>
          <w:i/>
          <w:iCs/>
          <w:sz w:val="28"/>
          <w:szCs w:val="28"/>
        </w:rPr>
        <w:t xml:space="preserve"> On the other hand, in a solar panel supply chain serving a rapidly growing market, an example recommendation could be to establish strategic partnerships with technology providers or start-ups to leverage cutting-edge innovations in panel design and manufacturing. By collaborating with external partners, the supply chain can access new ideas and technologies, fostering innovation and maintaining a competitive edge in the market. These examples highlight the need for tailoring recommendations to the unique characteristics and objectives of each solar panel supply chain.</w:t>
      </w:r>
    </w:p>
    <w:p w14:paraId="552D7793" w14:textId="77777777" w:rsidR="00DD514C" w:rsidRDefault="00DD514C" w:rsidP="006F4593">
      <w:pPr>
        <w:rPr>
          <w:b/>
          <w:bCs/>
          <w:sz w:val="28"/>
          <w:szCs w:val="28"/>
        </w:rPr>
      </w:pPr>
    </w:p>
    <w:p w14:paraId="5DF790BB" w14:textId="77777777" w:rsidR="00DD514C" w:rsidRDefault="00DD514C" w:rsidP="006F4593">
      <w:pPr>
        <w:rPr>
          <w:b/>
          <w:bCs/>
          <w:sz w:val="28"/>
          <w:szCs w:val="28"/>
        </w:rPr>
      </w:pPr>
    </w:p>
    <w:p w14:paraId="07408B6F" w14:textId="77777777" w:rsidR="00DD514C" w:rsidRDefault="00DD514C" w:rsidP="006F4593">
      <w:pPr>
        <w:rPr>
          <w:b/>
          <w:bCs/>
          <w:sz w:val="28"/>
          <w:szCs w:val="28"/>
        </w:rPr>
      </w:pPr>
    </w:p>
    <w:p w14:paraId="5AFD2251" w14:textId="77777777" w:rsidR="00DD514C" w:rsidRDefault="00DD514C" w:rsidP="006F4593">
      <w:pPr>
        <w:rPr>
          <w:b/>
          <w:bCs/>
          <w:sz w:val="28"/>
          <w:szCs w:val="28"/>
        </w:rPr>
      </w:pPr>
    </w:p>
    <w:p w14:paraId="5DDCABF9" w14:textId="77777777" w:rsidR="00DD514C" w:rsidRDefault="00DD514C" w:rsidP="006F4593">
      <w:pPr>
        <w:rPr>
          <w:b/>
          <w:bCs/>
          <w:sz w:val="28"/>
          <w:szCs w:val="28"/>
        </w:rPr>
      </w:pPr>
    </w:p>
    <w:p w14:paraId="1FC9BD63" w14:textId="77777777" w:rsidR="00DD514C" w:rsidRDefault="00DD514C" w:rsidP="006F4593">
      <w:pPr>
        <w:rPr>
          <w:b/>
          <w:bCs/>
          <w:sz w:val="28"/>
          <w:szCs w:val="28"/>
        </w:rPr>
      </w:pPr>
    </w:p>
    <w:p w14:paraId="76AA44F5" w14:textId="77777777" w:rsidR="00DD514C" w:rsidRDefault="00DD514C" w:rsidP="006F4593">
      <w:pPr>
        <w:rPr>
          <w:b/>
          <w:bCs/>
          <w:sz w:val="28"/>
          <w:szCs w:val="28"/>
        </w:rPr>
      </w:pPr>
    </w:p>
    <w:p w14:paraId="7703FB16" w14:textId="77777777" w:rsidR="00DD514C" w:rsidRDefault="00DD514C" w:rsidP="006F4593">
      <w:pPr>
        <w:rPr>
          <w:b/>
          <w:bCs/>
          <w:sz w:val="28"/>
          <w:szCs w:val="28"/>
        </w:rPr>
      </w:pPr>
    </w:p>
    <w:p w14:paraId="02C83E24" w14:textId="77777777" w:rsidR="00DD514C" w:rsidRDefault="00DD514C" w:rsidP="006F4593">
      <w:pPr>
        <w:rPr>
          <w:b/>
          <w:bCs/>
          <w:sz w:val="28"/>
          <w:szCs w:val="28"/>
        </w:rPr>
      </w:pPr>
    </w:p>
    <w:p w14:paraId="380EE1CB" w14:textId="77777777" w:rsidR="00F739C9" w:rsidRDefault="00F739C9" w:rsidP="006F4593">
      <w:pPr>
        <w:rPr>
          <w:b/>
          <w:bCs/>
          <w:sz w:val="28"/>
          <w:szCs w:val="28"/>
        </w:rPr>
      </w:pPr>
    </w:p>
    <w:p w14:paraId="648BDE8E" w14:textId="77777777" w:rsidR="00DD514C" w:rsidRDefault="00DD514C" w:rsidP="006F4593">
      <w:pPr>
        <w:rPr>
          <w:b/>
          <w:bCs/>
          <w:sz w:val="28"/>
          <w:szCs w:val="28"/>
        </w:rPr>
      </w:pPr>
    </w:p>
    <w:p w14:paraId="617BEB99" w14:textId="2C48203D" w:rsidR="00DD514C" w:rsidRDefault="00DD514C" w:rsidP="00DD514C">
      <w:pPr>
        <w:pStyle w:val="Heading1"/>
        <w:rPr>
          <w:b/>
          <w:bCs/>
          <w:sz w:val="40"/>
          <w:szCs w:val="40"/>
        </w:rPr>
      </w:pPr>
      <w:r w:rsidRPr="00DD514C">
        <w:rPr>
          <w:b/>
          <w:bCs/>
          <w:sz w:val="40"/>
          <w:szCs w:val="40"/>
        </w:rPr>
        <w:lastRenderedPageBreak/>
        <w:t>References:</w:t>
      </w:r>
    </w:p>
    <w:p w14:paraId="52A52F16" w14:textId="77777777" w:rsidR="00DD514C" w:rsidRPr="00593489" w:rsidRDefault="00DD514C" w:rsidP="00DD514C">
      <w:pPr>
        <w:rPr>
          <w:sz w:val="32"/>
          <w:szCs w:val="32"/>
        </w:rPr>
      </w:pPr>
    </w:p>
    <w:p w14:paraId="28E2ECE3" w14:textId="56A3A695" w:rsidR="00593489" w:rsidRDefault="00000000" w:rsidP="00593489">
      <w:pPr>
        <w:rPr>
          <w:sz w:val="32"/>
          <w:szCs w:val="32"/>
        </w:rPr>
      </w:pPr>
      <w:sdt>
        <w:sdtPr>
          <w:rPr>
            <w:sz w:val="32"/>
            <w:szCs w:val="32"/>
          </w:rPr>
          <w:id w:val="375206306"/>
          <w:citation/>
        </w:sdtPr>
        <w:sdtContent>
          <w:r w:rsidR="00DD514C" w:rsidRPr="00593489">
            <w:rPr>
              <w:sz w:val="32"/>
              <w:szCs w:val="32"/>
            </w:rPr>
            <w:fldChar w:fldCharType="begin"/>
          </w:r>
          <w:r w:rsidR="00593489" w:rsidRPr="00593489">
            <w:rPr>
              <w:sz w:val="32"/>
              <w:szCs w:val="32"/>
            </w:rPr>
            <w:instrText xml:space="preserve">CITATION cis \l 16393 </w:instrText>
          </w:r>
          <w:r w:rsidR="00DD514C" w:rsidRPr="00593489">
            <w:rPr>
              <w:sz w:val="32"/>
              <w:szCs w:val="32"/>
            </w:rPr>
            <w:fldChar w:fldCharType="separate"/>
          </w:r>
          <w:r w:rsidR="00593489" w:rsidRPr="00593489">
            <w:rPr>
              <w:noProof/>
              <w:sz w:val="32"/>
              <w:szCs w:val="32"/>
            </w:rPr>
            <w:t>(cisco, 2023)</w:t>
          </w:r>
          <w:r w:rsidR="00DD514C" w:rsidRPr="00593489">
            <w:rPr>
              <w:sz w:val="32"/>
              <w:szCs w:val="32"/>
            </w:rPr>
            <w:fldChar w:fldCharType="end"/>
          </w:r>
        </w:sdtContent>
      </w:sdt>
      <w:r w:rsidR="00593489" w:rsidRPr="00593489">
        <w:t xml:space="preserve"> </w:t>
      </w:r>
      <w:r w:rsidR="00593489" w:rsidRPr="00BE5893">
        <w:rPr>
          <w:b/>
          <w:bCs/>
          <w:i/>
          <w:iCs/>
          <w:sz w:val="32"/>
          <w:szCs w:val="32"/>
        </w:rPr>
        <w:t>What Is Supply Chain Risk Management (SCRM)?</w:t>
      </w:r>
      <w:r w:rsidR="00593489">
        <w:rPr>
          <w:sz w:val="32"/>
          <w:szCs w:val="32"/>
        </w:rPr>
        <w:t xml:space="preserve"> </w:t>
      </w:r>
      <w:r w:rsidR="00593489" w:rsidRPr="00593489">
        <w:rPr>
          <w:rFonts w:asciiTheme="majorHAnsi" w:hAnsiTheme="majorHAnsi"/>
          <w:sz w:val="32"/>
          <w:szCs w:val="32"/>
        </w:rPr>
        <w:t xml:space="preserve">Retrieved July </w:t>
      </w:r>
      <w:r w:rsidR="00BE5893">
        <w:rPr>
          <w:rFonts w:asciiTheme="majorHAnsi" w:hAnsiTheme="majorHAnsi"/>
          <w:sz w:val="32"/>
          <w:szCs w:val="32"/>
        </w:rPr>
        <w:t>10</w:t>
      </w:r>
      <w:r w:rsidR="00593489" w:rsidRPr="00593489">
        <w:rPr>
          <w:rFonts w:asciiTheme="majorHAnsi" w:hAnsiTheme="majorHAnsi"/>
          <w:sz w:val="32"/>
          <w:szCs w:val="32"/>
        </w:rPr>
        <w:t xml:space="preserve">, 2023, from </w:t>
      </w:r>
      <w:hyperlink r:id="rId7" w:history="1">
        <w:r w:rsidR="00BE5893" w:rsidRPr="002A4883">
          <w:rPr>
            <w:rStyle w:val="Hyperlink"/>
            <w:sz w:val="32"/>
            <w:szCs w:val="32"/>
          </w:rPr>
          <w:t>https://www.cisco.com/c/en/us/products/security/supply-chain-risk-management.html</w:t>
        </w:r>
      </w:hyperlink>
    </w:p>
    <w:p w14:paraId="66E3F264" w14:textId="77777777" w:rsidR="00BE5893" w:rsidRDefault="00BE5893" w:rsidP="00593489">
      <w:pPr>
        <w:rPr>
          <w:sz w:val="32"/>
          <w:szCs w:val="32"/>
        </w:rPr>
      </w:pPr>
    </w:p>
    <w:p w14:paraId="67960D06" w14:textId="4A08719B" w:rsidR="00BE5893" w:rsidRDefault="00000000" w:rsidP="00BE5893">
      <w:pPr>
        <w:rPr>
          <w:sz w:val="32"/>
          <w:szCs w:val="32"/>
        </w:rPr>
      </w:pPr>
      <w:sdt>
        <w:sdtPr>
          <w:rPr>
            <w:rFonts w:asciiTheme="majorHAnsi" w:hAnsiTheme="majorHAnsi"/>
            <w:sz w:val="32"/>
            <w:szCs w:val="32"/>
          </w:rPr>
          <w:id w:val="-654830725"/>
          <w:citation/>
        </w:sdtPr>
        <w:sdtContent>
          <w:r w:rsidR="00BE5893">
            <w:rPr>
              <w:rFonts w:asciiTheme="majorHAnsi" w:hAnsiTheme="majorHAnsi"/>
              <w:sz w:val="32"/>
              <w:szCs w:val="32"/>
            </w:rPr>
            <w:fldChar w:fldCharType="begin"/>
          </w:r>
          <w:r w:rsidR="00BE5893">
            <w:rPr>
              <w:sz w:val="32"/>
              <w:szCs w:val="32"/>
            </w:rPr>
            <w:instrText xml:space="preserve"> CITATION Gur21 \l 16393 </w:instrText>
          </w:r>
          <w:r w:rsidR="00BE5893">
            <w:rPr>
              <w:rFonts w:asciiTheme="majorHAnsi" w:hAnsiTheme="majorHAnsi"/>
              <w:sz w:val="32"/>
              <w:szCs w:val="32"/>
            </w:rPr>
            <w:fldChar w:fldCharType="separate"/>
          </w:r>
          <w:r w:rsidR="00BE5893" w:rsidRPr="00BE5893">
            <w:rPr>
              <w:noProof/>
              <w:sz w:val="32"/>
              <w:szCs w:val="32"/>
            </w:rPr>
            <w:t>(Gurtu, 2021)</w:t>
          </w:r>
          <w:r w:rsidR="00BE5893">
            <w:rPr>
              <w:rFonts w:asciiTheme="majorHAnsi" w:hAnsiTheme="majorHAnsi"/>
              <w:sz w:val="32"/>
              <w:szCs w:val="32"/>
            </w:rPr>
            <w:fldChar w:fldCharType="end"/>
          </w:r>
        </w:sdtContent>
      </w:sdt>
      <w:r w:rsidR="00BE5893">
        <w:rPr>
          <w:rFonts w:asciiTheme="majorHAnsi" w:hAnsiTheme="majorHAnsi"/>
          <w:sz w:val="32"/>
          <w:szCs w:val="32"/>
        </w:rPr>
        <w:t xml:space="preserve"> </w:t>
      </w:r>
      <w:r w:rsidR="00BE5893" w:rsidRPr="00BE5893">
        <w:rPr>
          <w:b/>
          <w:bCs/>
          <w:i/>
          <w:iCs/>
          <w:sz w:val="32"/>
          <w:szCs w:val="32"/>
        </w:rPr>
        <w:t>Supply Chain Risk Management: Literature Review</w:t>
      </w:r>
      <w:r w:rsidR="00BE5893">
        <w:rPr>
          <w:b/>
          <w:bCs/>
          <w:i/>
          <w:iCs/>
          <w:sz w:val="32"/>
          <w:szCs w:val="32"/>
        </w:rPr>
        <w:t xml:space="preserve"> </w:t>
      </w:r>
      <w:r w:rsidR="00BE5893" w:rsidRPr="00593489">
        <w:rPr>
          <w:rFonts w:asciiTheme="majorHAnsi" w:hAnsiTheme="majorHAnsi"/>
          <w:sz w:val="32"/>
          <w:szCs w:val="32"/>
        </w:rPr>
        <w:t xml:space="preserve">Retrieved July </w:t>
      </w:r>
      <w:r w:rsidR="00BE5893">
        <w:rPr>
          <w:rFonts w:asciiTheme="majorHAnsi" w:hAnsiTheme="majorHAnsi"/>
          <w:sz w:val="32"/>
          <w:szCs w:val="32"/>
        </w:rPr>
        <w:t>10</w:t>
      </w:r>
      <w:r w:rsidR="00BE5893" w:rsidRPr="00593489">
        <w:rPr>
          <w:rFonts w:asciiTheme="majorHAnsi" w:hAnsiTheme="majorHAnsi"/>
          <w:sz w:val="32"/>
          <w:szCs w:val="32"/>
        </w:rPr>
        <w:t xml:space="preserve">, 2023, from </w:t>
      </w:r>
      <w:hyperlink r:id="rId8" w:history="1">
        <w:r w:rsidR="00BE5893" w:rsidRPr="002A4883">
          <w:rPr>
            <w:rStyle w:val="Hyperlink"/>
            <w:sz w:val="32"/>
            <w:szCs w:val="32"/>
          </w:rPr>
          <w:t>https://www.researchgate.net/publication/348193179_Supply_Chain_Risk_Management_Literature_Review</w:t>
        </w:r>
      </w:hyperlink>
    </w:p>
    <w:p w14:paraId="0185086A" w14:textId="77777777" w:rsidR="00BE5893" w:rsidRDefault="00BE5893" w:rsidP="00BE5893">
      <w:pPr>
        <w:rPr>
          <w:sz w:val="32"/>
          <w:szCs w:val="32"/>
        </w:rPr>
      </w:pPr>
    </w:p>
    <w:p w14:paraId="327711AC" w14:textId="6ACE9F6F" w:rsidR="00BE5893" w:rsidRDefault="00000000" w:rsidP="00BE5893">
      <w:pPr>
        <w:rPr>
          <w:sz w:val="32"/>
          <w:szCs w:val="32"/>
        </w:rPr>
      </w:pPr>
      <w:sdt>
        <w:sdtPr>
          <w:rPr>
            <w:sz w:val="32"/>
            <w:szCs w:val="32"/>
          </w:rPr>
          <w:id w:val="-710568862"/>
          <w:citation/>
        </w:sdtPr>
        <w:sdtContent>
          <w:r w:rsidR="00BE5893">
            <w:rPr>
              <w:sz w:val="32"/>
              <w:szCs w:val="32"/>
            </w:rPr>
            <w:fldChar w:fldCharType="begin"/>
          </w:r>
          <w:r w:rsidR="00BE5893">
            <w:rPr>
              <w:sz w:val="32"/>
              <w:szCs w:val="32"/>
            </w:rPr>
            <w:instrText xml:space="preserve"> CITATION Mar19 \l 16393 </w:instrText>
          </w:r>
          <w:r w:rsidR="00BE5893">
            <w:rPr>
              <w:sz w:val="32"/>
              <w:szCs w:val="32"/>
            </w:rPr>
            <w:fldChar w:fldCharType="separate"/>
          </w:r>
          <w:r w:rsidR="00BE5893" w:rsidRPr="00BE5893">
            <w:rPr>
              <w:noProof/>
              <w:sz w:val="32"/>
              <w:szCs w:val="32"/>
            </w:rPr>
            <w:t>(Maria Crema, 2019)</w:t>
          </w:r>
          <w:r w:rsidR="00BE5893">
            <w:rPr>
              <w:sz w:val="32"/>
              <w:szCs w:val="32"/>
            </w:rPr>
            <w:fldChar w:fldCharType="end"/>
          </w:r>
        </w:sdtContent>
      </w:sdt>
      <w:r w:rsidR="00BE5893">
        <w:rPr>
          <w:sz w:val="32"/>
          <w:szCs w:val="32"/>
        </w:rPr>
        <w:t xml:space="preserve"> </w:t>
      </w:r>
      <w:r w:rsidR="00BE5893" w:rsidRPr="00BE5893">
        <w:rPr>
          <w:b/>
          <w:bCs/>
          <w:i/>
          <w:iCs/>
          <w:sz w:val="32"/>
          <w:szCs w:val="32"/>
        </w:rPr>
        <w:t>Risk management in SMEs: A systematic literature review and future directions</w:t>
      </w:r>
      <w:r w:rsidR="00BE5893">
        <w:rPr>
          <w:b/>
          <w:bCs/>
          <w:i/>
          <w:iCs/>
          <w:sz w:val="32"/>
          <w:szCs w:val="32"/>
        </w:rPr>
        <w:t xml:space="preserve"> </w:t>
      </w:r>
      <w:r w:rsidR="00BE5893" w:rsidRPr="00593489">
        <w:rPr>
          <w:rFonts w:asciiTheme="majorHAnsi" w:hAnsiTheme="majorHAnsi"/>
          <w:sz w:val="32"/>
          <w:szCs w:val="32"/>
        </w:rPr>
        <w:t xml:space="preserve">Retrieved July </w:t>
      </w:r>
      <w:r w:rsidR="00BE5893">
        <w:rPr>
          <w:rFonts w:asciiTheme="majorHAnsi" w:hAnsiTheme="majorHAnsi"/>
          <w:sz w:val="32"/>
          <w:szCs w:val="32"/>
        </w:rPr>
        <w:t>10</w:t>
      </w:r>
      <w:r w:rsidR="00BE5893" w:rsidRPr="00593489">
        <w:rPr>
          <w:rFonts w:asciiTheme="majorHAnsi" w:hAnsiTheme="majorHAnsi"/>
          <w:sz w:val="32"/>
          <w:szCs w:val="32"/>
        </w:rPr>
        <w:t xml:space="preserve">, 2023, from </w:t>
      </w:r>
      <w:hyperlink r:id="rId9" w:history="1">
        <w:r w:rsidR="00BE5893" w:rsidRPr="002A4883">
          <w:rPr>
            <w:rStyle w:val="Hyperlink"/>
            <w:sz w:val="32"/>
            <w:szCs w:val="32"/>
          </w:rPr>
          <w:t>https://www.sciencedirect.com/science/article/abs/pii/S0263237319300751</w:t>
        </w:r>
      </w:hyperlink>
    </w:p>
    <w:p w14:paraId="1D275CC1" w14:textId="77777777" w:rsidR="00BE5893" w:rsidRDefault="00BE5893" w:rsidP="00BE5893">
      <w:pPr>
        <w:rPr>
          <w:sz w:val="32"/>
          <w:szCs w:val="32"/>
        </w:rPr>
      </w:pPr>
    </w:p>
    <w:p w14:paraId="35CE5293" w14:textId="70E0079E" w:rsidR="00E335A5" w:rsidRDefault="00000000" w:rsidP="00E335A5">
      <w:pPr>
        <w:rPr>
          <w:sz w:val="32"/>
          <w:szCs w:val="32"/>
        </w:rPr>
      </w:pPr>
      <w:sdt>
        <w:sdtPr>
          <w:rPr>
            <w:sz w:val="32"/>
            <w:szCs w:val="32"/>
          </w:rPr>
          <w:id w:val="-1472676342"/>
          <w:citation/>
        </w:sdtPr>
        <w:sdtContent>
          <w:r w:rsidR="00E335A5">
            <w:rPr>
              <w:sz w:val="32"/>
              <w:szCs w:val="32"/>
            </w:rPr>
            <w:fldChar w:fldCharType="begin"/>
          </w:r>
          <w:r w:rsidR="00E335A5">
            <w:rPr>
              <w:sz w:val="32"/>
              <w:szCs w:val="32"/>
            </w:rPr>
            <w:instrText xml:space="preserve"> CITATION wef21 \l 16393 </w:instrText>
          </w:r>
          <w:r w:rsidR="00E335A5">
            <w:rPr>
              <w:sz w:val="32"/>
              <w:szCs w:val="32"/>
            </w:rPr>
            <w:fldChar w:fldCharType="separate"/>
          </w:r>
          <w:r w:rsidR="00E335A5" w:rsidRPr="00E335A5">
            <w:rPr>
              <w:noProof/>
              <w:sz w:val="32"/>
              <w:szCs w:val="32"/>
            </w:rPr>
            <w:t>(weforum, 2021)</w:t>
          </w:r>
          <w:r w:rsidR="00E335A5">
            <w:rPr>
              <w:sz w:val="32"/>
              <w:szCs w:val="32"/>
            </w:rPr>
            <w:fldChar w:fldCharType="end"/>
          </w:r>
        </w:sdtContent>
      </w:sdt>
      <w:r w:rsidR="00E335A5">
        <w:rPr>
          <w:sz w:val="32"/>
          <w:szCs w:val="32"/>
        </w:rPr>
        <w:t xml:space="preserve"> </w:t>
      </w:r>
      <w:r w:rsidR="00E335A5" w:rsidRPr="00E335A5">
        <w:rPr>
          <w:b/>
          <w:bCs/>
          <w:i/>
          <w:iCs/>
          <w:sz w:val="32"/>
          <w:szCs w:val="32"/>
        </w:rPr>
        <w:t>Here's how supply chain issues are affecting renewable energy projects</w:t>
      </w:r>
      <w:r w:rsidR="00E335A5">
        <w:rPr>
          <w:b/>
          <w:bCs/>
          <w:i/>
          <w:iCs/>
          <w:sz w:val="32"/>
          <w:szCs w:val="32"/>
        </w:rPr>
        <w:t xml:space="preserve"> </w:t>
      </w:r>
      <w:r w:rsidR="00E335A5" w:rsidRPr="00593489">
        <w:rPr>
          <w:rFonts w:asciiTheme="majorHAnsi" w:hAnsiTheme="majorHAnsi"/>
          <w:sz w:val="32"/>
          <w:szCs w:val="32"/>
        </w:rPr>
        <w:t xml:space="preserve">Retrieved July </w:t>
      </w:r>
      <w:r w:rsidR="00E335A5">
        <w:rPr>
          <w:rFonts w:asciiTheme="majorHAnsi" w:hAnsiTheme="majorHAnsi"/>
          <w:sz w:val="32"/>
          <w:szCs w:val="32"/>
        </w:rPr>
        <w:t>10</w:t>
      </w:r>
      <w:r w:rsidR="00E335A5" w:rsidRPr="00593489">
        <w:rPr>
          <w:rFonts w:asciiTheme="majorHAnsi" w:hAnsiTheme="majorHAnsi"/>
          <w:sz w:val="32"/>
          <w:szCs w:val="32"/>
        </w:rPr>
        <w:t xml:space="preserve">, 2023, from </w:t>
      </w:r>
      <w:hyperlink r:id="rId10" w:history="1">
        <w:r w:rsidR="00E335A5" w:rsidRPr="002A4883">
          <w:rPr>
            <w:rStyle w:val="Hyperlink"/>
            <w:sz w:val="32"/>
            <w:szCs w:val="32"/>
          </w:rPr>
          <w:t>https://www.weforum.org/agenda/2021/11/supply-chain-problems-solar-power-renewable-energy/</w:t>
        </w:r>
      </w:hyperlink>
    </w:p>
    <w:p w14:paraId="1AA4CF24" w14:textId="77777777" w:rsidR="00E335A5" w:rsidRDefault="00E335A5" w:rsidP="00E335A5">
      <w:pPr>
        <w:rPr>
          <w:sz w:val="32"/>
          <w:szCs w:val="32"/>
        </w:rPr>
      </w:pPr>
    </w:p>
    <w:p w14:paraId="26E1E185" w14:textId="2514E3F1" w:rsidR="00E335A5" w:rsidRDefault="00000000" w:rsidP="00E335A5">
      <w:pPr>
        <w:rPr>
          <w:sz w:val="32"/>
          <w:szCs w:val="32"/>
        </w:rPr>
      </w:pPr>
      <w:sdt>
        <w:sdtPr>
          <w:rPr>
            <w:sz w:val="32"/>
            <w:szCs w:val="32"/>
          </w:rPr>
          <w:id w:val="278076780"/>
          <w:citation/>
        </w:sdtPr>
        <w:sdtContent>
          <w:r w:rsidR="00E335A5">
            <w:rPr>
              <w:sz w:val="32"/>
              <w:szCs w:val="32"/>
            </w:rPr>
            <w:fldChar w:fldCharType="begin"/>
          </w:r>
          <w:r w:rsidR="00E335A5">
            <w:rPr>
              <w:sz w:val="32"/>
              <w:szCs w:val="32"/>
            </w:rPr>
            <w:instrText xml:space="preserve"> CITATION wik23 \l 16393 </w:instrText>
          </w:r>
          <w:r w:rsidR="00E335A5">
            <w:rPr>
              <w:sz w:val="32"/>
              <w:szCs w:val="32"/>
            </w:rPr>
            <w:fldChar w:fldCharType="separate"/>
          </w:r>
          <w:r w:rsidR="00E335A5" w:rsidRPr="00E335A5">
            <w:rPr>
              <w:noProof/>
              <w:sz w:val="32"/>
              <w:szCs w:val="32"/>
            </w:rPr>
            <w:t>(wikipedia, 2023)</w:t>
          </w:r>
          <w:r w:rsidR="00E335A5">
            <w:rPr>
              <w:sz w:val="32"/>
              <w:szCs w:val="32"/>
            </w:rPr>
            <w:fldChar w:fldCharType="end"/>
          </w:r>
        </w:sdtContent>
      </w:sdt>
      <w:r w:rsidR="00E335A5">
        <w:rPr>
          <w:sz w:val="32"/>
          <w:szCs w:val="32"/>
        </w:rPr>
        <w:t xml:space="preserve"> </w:t>
      </w:r>
      <w:r w:rsidR="00F02D35" w:rsidRPr="00F02D35">
        <w:rPr>
          <w:b/>
          <w:bCs/>
          <w:i/>
          <w:iCs/>
          <w:sz w:val="32"/>
          <w:szCs w:val="32"/>
        </w:rPr>
        <w:t>Supply chain risk management</w:t>
      </w:r>
      <w:r w:rsidR="00F02D35">
        <w:rPr>
          <w:b/>
          <w:bCs/>
          <w:i/>
          <w:iCs/>
          <w:sz w:val="32"/>
          <w:szCs w:val="32"/>
        </w:rPr>
        <w:t xml:space="preserve"> </w:t>
      </w:r>
      <w:r w:rsidR="00E335A5" w:rsidRPr="00593489">
        <w:rPr>
          <w:rFonts w:asciiTheme="majorHAnsi" w:hAnsiTheme="majorHAnsi"/>
          <w:sz w:val="32"/>
          <w:szCs w:val="32"/>
        </w:rPr>
        <w:t xml:space="preserve">Retrieved July </w:t>
      </w:r>
      <w:r w:rsidR="00E335A5">
        <w:rPr>
          <w:rFonts w:asciiTheme="majorHAnsi" w:hAnsiTheme="majorHAnsi"/>
          <w:sz w:val="32"/>
          <w:szCs w:val="32"/>
        </w:rPr>
        <w:t>10</w:t>
      </w:r>
      <w:r w:rsidR="00E335A5" w:rsidRPr="00593489">
        <w:rPr>
          <w:rFonts w:asciiTheme="majorHAnsi" w:hAnsiTheme="majorHAnsi"/>
          <w:sz w:val="32"/>
          <w:szCs w:val="32"/>
        </w:rPr>
        <w:t>, 2023,</w:t>
      </w:r>
      <w:r w:rsidR="00F02D35">
        <w:rPr>
          <w:rFonts w:asciiTheme="majorHAnsi" w:hAnsiTheme="majorHAnsi"/>
          <w:sz w:val="32"/>
          <w:szCs w:val="32"/>
        </w:rPr>
        <w:t xml:space="preserve"> </w:t>
      </w:r>
      <w:r w:rsidR="00E335A5" w:rsidRPr="00593489">
        <w:rPr>
          <w:rFonts w:asciiTheme="majorHAnsi" w:hAnsiTheme="majorHAnsi"/>
          <w:sz w:val="32"/>
          <w:szCs w:val="32"/>
        </w:rPr>
        <w:t>fro</w:t>
      </w:r>
      <w:r w:rsidR="00F02D35">
        <w:rPr>
          <w:rFonts w:asciiTheme="majorHAnsi" w:hAnsiTheme="majorHAnsi"/>
          <w:sz w:val="32"/>
          <w:szCs w:val="32"/>
        </w:rPr>
        <w:t xml:space="preserve">m </w:t>
      </w:r>
      <w:hyperlink r:id="rId11" w:history="1">
        <w:r w:rsidR="00F02D35" w:rsidRPr="002A4883">
          <w:rPr>
            <w:rStyle w:val="Hyperlink"/>
            <w:sz w:val="32"/>
            <w:szCs w:val="32"/>
          </w:rPr>
          <w:t>https://en.wikipedia.org/wiki/Supply_chain_risk_management</w:t>
        </w:r>
      </w:hyperlink>
    </w:p>
    <w:p w14:paraId="21CFBA94" w14:textId="77777777" w:rsidR="00F02D35" w:rsidRDefault="00F02D35" w:rsidP="00E335A5">
      <w:pPr>
        <w:rPr>
          <w:sz w:val="32"/>
          <w:szCs w:val="32"/>
        </w:rPr>
      </w:pPr>
    </w:p>
    <w:p w14:paraId="12DB2996" w14:textId="77777777" w:rsidR="00F02D35" w:rsidRDefault="00F02D35" w:rsidP="00E335A5">
      <w:pPr>
        <w:rPr>
          <w:sz w:val="32"/>
          <w:szCs w:val="32"/>
        </w:rPr>
      </w:pPr>
    </w:p>
    <w:p w14:paraId="546A4DFC" w14:textId="45AEB51F" w:rsidR="00F02D35" w:rsidRDefault="00000000" w:rsidP="00E335A5">
      <w:pPr>
        <w:rPr>
          <w:sz w:val="32"/>
          <w:szCs w:val="32"/>
        </w:rPr>
      </w:pPr>
      <w:sdt>
        <w:sdtPr>
          <w:rPr>
            <w:sz w:val="32"/>
            <w:szCs w:val="32"/>
          </w:rPr>
          <w:id w:val="-667086784"/>
          <w:citation/>
        </w:sdtPr>
        <w:sdtContent>
          <w:r w:rsidR="00F02D35">
            <w:rPr>
              <w:sz w:val="32"/>
              <w:szCs w:val="32"/>
            </w:rPr>
            <w:fldChar w:fldCharType="begin"/>
          </w:r>
          <w:r w:rsidR="00F02D35">
            <w:rPr>
              <w:sz w:val="32"/>
              <w:szCs w:val="32"/>
            </w:rPr>
            <w:instrText xml:space="preserve"> CITATION mck19 \l 16393 </w:instrText>
          </w:r>
          <w:r w:rsidR="00F02D35">
            <w:rPr>
              <w:sz w:val="32"/>
              <w:szCs w:val="32"/>
            </w:rPr>
            <w:fldChar w:fldCharType="separate"/>
          </w:r>
          <w:r w:rsidR="00F02D35" w:rsidRPr="00F02D35">
            <w:rPr>
              <w:noProof/>
              <w:sz w:val="32"/>
              <w:szCs w:val="32"/>
            </w:rPr>
            <w:t>(mckinsey, 2019)</w:t>
          </w:r>
          <w:r w:rsidR="00F02D35">
            <w:rPr>
              <w:sz w:val="32"/>
              <w:szCs w:val="32"/>
            </w:rPr>
            <w:fldChar w:fldCharType="end"/>
          </w:r>
        </w:sdtContent>
      </w:sdt>
      <w:r w:rsidR="00F02D35">
        <w:rPr>
          <w:sz w:val="32"/>
          <w:szCs w:val="32"/>
        </w:rPr>
        <w:t xml:space="preserve"> </w:t>
      </w:r>
      <w:r w:rsidR="00F02D35" w:rsidRPr="00F02D35">
        <w:rPr>
          <w:b/>
          <w:bCs/>
          <w:i/>
          <w:iCs/>
          <w:sz w:val="32"/>
          <w:szCs w:val="32"/>
        </w:rPr>
        <w:t>A practical approach to supply-chain risk management</w:t>
      </w:r>
      <w:r w:rsidR="00F02D35">
        <w:rPr>
          <w:b/>
          <w:bCs/>
          <w:i/>
          <w:iCs/>
          <w:sz w:val="32"/>
          <w:szCs w:val="32"/>
        </w:rPr>
        <w:t xml:space="preserve"> </w:t>
      </w:r>
      <w:r w:rsidR="00F02D35" w:rsidRPr="00593489">
        <w:rPr>
          <w:rFonts w:asciiTheme="majorHAnsi" w:hAnsiTheme="majorHAnsi"/>
          <w:sz w:val="32"/>
          <w:szCs w:val="32"/>
        </w:rPr>
        <w:t xml:space="preserve">Retrieved July </w:t>
      </w:r>
      <w:r w:rsidR="00F02D35">
        <w:rPr>
          <w:rFonts w:asciiTheme="majorHAnsi" w:hAnsiTheme="majorHAnsi"/>
          <w:sz w:val="32"/>
          <w:szCs w:val="32"/>
        </w:rPr>
        <w:t>10</w:t>
      </w:r>
      <w:r w:rsidR="00F02D35" w:rsidRPr="00593489">
        <w:rPr>
          <w:rFonts w:asciiTheme="majorHAnsi" w:hAnsiTheme="majorHAnsi"/>
          <w:sz w:val="32"/>
          <w:szCs w:val="32"/>
        </w:rPr>
        <w:t>, 2023,</w:t>
      </w:r>
      <w:r w:rsidR="00F02D35">
        <w:rPr>
          <w:rFonts w:asciiTheme="majorHAnsi" w:hAnsiTheme="majorHAnsi"/>
          <w:sz w:val="32"/>
          <w:szCs w:val="32"/>
        </w:rPr>
        <w:t xml:space="preserve"> </w:t>
      </w:r>
      <w:r w:rsidR="00F02D35" w:rsidRPr="00593489">
        <w:rPr>
          <w:rFonts w:asciiTheme="majorHAnsi" w:hAnsiTheme="majorHAnsi"/>
          <w:sz w:val="32"/>
          <w:szCs w:val="32"/>
        </w:rPr>
        <w:t>fro</w:t>
      </w:r>
      <w:r w:rsidR="00F02D35">
        <w:rPr>
          <w:rFonts w:asciiTheme="majorHAnsi" w:hAnsiTheme="majorHAnsi"/>
          <w:sz w:val="32"/>
          <w:szCs w:val="32"/>
        </w:rPr>
        <w:t xml:space="preserve">m </w:t>
      </w:r>
      <w:hyperlink r:id="rId12" w:history="1">
        <w:r w:rsidR="00F02D35" w:rsidRPr="002A4883">
          <w:rPr>
            <w:rStyle w:val="Hyperlink"/>
            <w:sz w:val="32"/>
            <w:szCs w:val="32"/>
          </w:rPr>
          <w:t>https://www.mckinsey.com/capabilities/operations/our-insights/a-practical-approach-to-supply-chain-risk-management</w:t>
        </w:r>
      </w:hyperlink>
    </w:p>
    <w:p w14:paraId="44698A42" w14:textId="77777777" w:rsidR="00F02D35" w:rsidRDefault="00F02D35" w:rsidP="00E335A5">
      <w:pPr>
        <w:rPr>
          <w:sz w:val="32"/>
          <w:szCs w:val="32"/>
        </w:rPr>
      </w:pPr>
    </w:p>
    <w:p w14:paraId="69956E19" w14:textId="77777777" w:rsidR="00F02D35" w:rsidRPr="00F02D35" w:rsidRDefault="00F02D35" w:rsidP="00E335A5">
      <w:pPr>
        <w:rPr>
          <w:rFonts w:asciiTheme="majorHAnsi" w:hAnsiTheme="majorHAnsi"/>
          <w:sz w:val="32"/>
          <w:szCs w:val="32"/>
        </w:rPr>
      </w:pPr>
    </w:p>
    <w:p w14:paraId="43C205A7" w14:textId="77777777" w:rsidR="00F02D35" w:rsidRDefault="00F02D35" w:rsidP="00E335A5">
      <w:pPr>
        <w:rPr>
          <w:sz w:val="32"/>
          <w:szCs w:val="32"/>
        </w:rPr>
      </w:pPr>
    </w:p>
    <w:p w14:paraId="7769F40C" w14:textId="77777777" w:rsidR="00F02D35" w:rsidRDefault="00F02D35" w:rsidP="00E335A5">
      <w:pPr>
        <w:rPr>
          <w:sz w:val="32"/>
          <w:szCs w:val="32"/>
        </w:rPr>
      </w:pPr>
    </w:p>
    <w:p w14:paraId="5AFC88B1" w14:textId="77777777" w:rsidR="00F02D35" w:rsidRDefault="00F02D35" w:rsidP="00E335A5">
      <w:pPr>
        <w:rPr>
          <w:sz w:val="32"/>
          <w:szCs w:val="32"/>
        </w:rPr>
      </w:pPr>
    </w:p>
    <w:p w14:paraId="51631A75" w14:textId="77777777" w:rsidR="00F02D35" w:rsidRDefault="00F02D35" w:rsidP="00E335A5">
      <w:pPr>
        <w:rPr>
          <w:sz w:val="32"/>
          <w:szCs w:val="32"/>
        </w:rPr>
      </w:pPr>
    </w:p>
    <w:p w14:paraId="50079C01" w14:textId="77777777" w:rsidR="00E335A5" w:rsidRDefault="00E335A5" w:rsidP="00E335A5">
      <w:pPr>
        <w:rPr>
          <w:sz w:val="32"/>
          <w:szCs w:val="32"/>
        </w:rPr>
      </w:pPr>
    </w:p>
    <w:p w14:paraId="60390446" w14:textId="4742B01D" w:rsidR="00BE5893" w:rsidRDefault="00BE5893" w:rsidP="00BE5893">
      <w:pPr>
        <w:rPr>
          <w:sz w:val="32"/>
          <w:szCs w:val="32"/>
        </w:rPr>
      </w:pPr>
    </w:p>
    <w:p w14:paraId="7ABCA972" w14:textId="77777777" w:rsidR="00E335A5" w:rsidRDefault="00E335A5" w:rsidP="00BE5893">
      <w:pPr>
        <w:rPr>
          <w:sz w:val="32"/>
          <w:szCs w:val="32"/>
        </w:rPr>
      </w:pPr>
    </w:p>
    <w:p w14:paraId="7F55A7E7" w14:textId="1CEDC9E1" w:rsidR="00BE5893" w:rsidRDefault="00BE5893" w:rsidP="00BE5893">
      <w:pPr>
        <w:rPr>
          <w:sz w:val="32"/>
          <w:szCs w:val="32"/>
        </w:rPr>
      </w:pPr>
    </w:p>
    <w:p w14:paraId="60F4F34D" w14:textId="027E8503" w:rsidR="00BE5893" w:rsidRDefault="00BE5893" w:rsidP="00593489">
      <w:pPr>
        <w:rPr>
          <w:rFonts w:asciiTheme="majorHAnsi" w:hAnsiTheme="majorHAnsi"/>
          <w:sz w:val="32"/>
          <w:szCs w:val="32"/>
        </w:rPr>
      </w:pPr>
    </w:p>
    <w:p w14:paraId="7A37714E" w14:textId="77777777" w:rsidR="00BE5893" w:rsidRPr="00593489" w:rsidRDefault="00BE5893" w:rsidP="00593489">
      <w:pPr>
        <w:rPr>
          <w:rFonts w:asciiTheme="majorHAnsi" w:hAnsiTheme="majorHAnsi"/>
          <w:sz w:val="32"/>
          <w:szCs w:val="32"/>
        </w:rPr>
      </w:pPr>
    </w:p>
    <w:p w14:paraId="415F8D59" w14:textId="24A68BEB" w:rsidR="00DD514C" w:rsidRPr="00DD514C" w:rsidRDefault="00DD514C" w:rsidP="00DD514C"/>
    <w:p w14:paraId="7461C57D" w14:textId="0CEFB989" w:rsidR="006F4593" w:rsidRPr="006F4593" w:rsidRDefault="006F4593" w:rsidP="006F4593">
      <w:pPr>
        <w:rPr>
          <w:sz w:val="24"/>
          <w:szCs w:val="24"/>
        </w:rPr>
      </w:pPr>
    </w:p>
    <w:p w14:paraId="487C1D29" w14:textId="77777777" w:rsidR="00713D02" w:rsidRPr="00713D02" w:rsidRDefault="00713D02">
      <w:pPr>
        <w:rPr>
          <w:sz w:val="24"/>
          <w:szCs w:val="24"/>
        </w:rPr>
      </w:pPr>
    </w:p>
    <w:sectPr w:rsidR="00713D02" w:rsidRPr="00713D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8F7FC" w14:textId="77777777" w:rsidR="00FA3552" w:rsidRDefault="00FA3552" w:rsidP="001F4064">
      <w:pPr>
        <w:spacing w:after="0" w:line="240" w:lineRule="auto"/>
      </w:pPr>
      <w:r>
        <w:separator/>
      </w:r>
    </w:p>
  </w:endnote>
  <w:endnote w:type="continuationSeparator" w:id="0">
    <w:p w14:paraId="21379A9B" w14:textId="77777777" w:rsidR="00FA3552" w:rsidRDefault="00FA3552" w:rsidP="001F4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B20C6" w14:textId="77777777" w:rsidR="00FA3552" w:rsidRDefault="00FA3552" w:rsidP="001F4064">
      <w:pPr>
        <w:spacing w:after="0" w:line="240" w:lineRule="auto"/>
      </w:pPr>
      <w:r>
        <w:separator/>
      </w:r>
    </w:p>
  </w:footnote>
  <w:footnote w:type="continuationSeparator" w:id="0">
    <w:p w14:paraId="2E474F05" w14:textId="77777777" w:rsidR="00FA3552" w:rsidRDefault="00FA3552" w:rsidP="001F4064">
      <w:pPr>
        <w:spacing w:after="0" w:line="240" w:lineRule="auto"/>
      </w:pPr>
      <w:r>
        <w:continuationSeparator/>
      </w:r>
    </w:p>
  </w:footnote>
  <w:footnote w:id="1">
    <w:p w14:paraId="5052444A" w14:textId="0CD835C2" w:rsidR="001F4064" w:rsidRDefault="001F4064" w:rsidP="001F4064">
      <w:pPr>
        <w:rPr>
          <w:b/>
          <w:bCs/>
          <w:sz w:val="28"/>
          <w:szCs w:val="28"/>
        </w:rPr>
      </w:pPr>
      <w:r>
        <w:rPr>
          <w:rStyle w:val="FootnoteReference"/>
        </w:rPr>
        <w:footnoteRef/>
      </w:r>
      <w:r>
        <w:t xml:space="preserve"> </w:t>
      </w:r>
      <w:r w:rsidRPr="001F4064">
        <w:rPr>
          <w:b/>
          <w:bCs/>
        </w:rPr>
        <w:t>Here the  title of contents can be a bit simpler and shorter for readers to understand more</w:t>
      </w:r>
    </w:p>
    <w:p w14:paraId="607619AA" w14:textId="7F12BC8C" w:rsidR="001F4064" w:rsidRDefault="001F4064">
      <w:pPr>
        <w:pStyle w:val="FootnoteText"/>
      </w:pPr>
    </w:p>
  </w:footnote>
  <w:footnote w:id="2">
    <w:p w14:paraId="32948B2B" w14:textId="3EC68A8B" w:rsidR="001F4064" w:rsidRDefault="001F4064">
      <w:pPr>
        <w:pStyle w:val="FootnoteText"/>
      </w:pPr>
      <w:r>
        <w:rPr>
          <w:rStyle w:val="FootnoteReference"/>
        </w:rPr>
        <w:footnoteRef/>
      </w:r>
      <w:r>
        <w:t xml:space="preserve"> </w:t>
      </w:r>
      <w:r w:rsidR="00900578" w:rsidRPr="00900578">
        <w:t>This introduction serves as a general background and does not encompass all the complexities and details of the industry.</w:t>
      </w:r>
    </w:p>
  </w:footnote>
  <w:footnote w:id="3">
    <w:p w14:paraId="599950B2" w14:textId="3CDD0E0A" w:rsidR="001F4064" w:rsidRDefault="001F4064">
      <w:pPr>
        <w:pStyle w:val="FootnoteText"/>
      </w:pPr>
      <w:r>
        <w:rPr>
          <w:rStyle w:val="FootnoteReference"/>
        </w:rPr>
        <w:footnoteRef/>
      </w:r>
      <w:r>
        <w:t xml:space="preserve"> These are some of the many practices that I found, if </w:t>
      </w:r>
      <w:r w:rsidR="009F74C3">
        <w:t>required should be added to the file</w:t>
      </w:r>
    </w:p>
  </w:footnote>
  <w:footnote w:id="4">
    <w:p w14:paraId="7DC4F9E5" w14:textId="1B86E496" w:rsidR="009F74C3" w:rsidRDefault="009F74C3">
      <w:pPr>
        <w:pStyle w:val="FootnoteText"/>
      </w:pPr>
      <w:r>
        <w:rPr>
          <w:rStyle w:val="FootnoteReference"/>
        </w:rPr>
        <w:footnoteRef/>
      </w:r>
      <w:r>
        <w:t xml:space="preserve"> </w:t>
      </w:r>
      <w:r w:rsidRPr="009F74C3">
        <w:t>Effective risk management is crucial for the success and sustainability of solar panel supply chains.</w:t>
      </w:r>
      <w:r>
        <w:t xml:space="preserve"> </w:t>
      </w:r>
      <w:r w:rsidRPr="009F74C3">
        <w:t>The specific footnotes provided here are for illustrative purposes and can be modified or expanded based on the specific requirements</w:t>
      </w:r>
      <w:r>
        <w:t>.</w:t>
      </w:r>
    </w:p>
  </w:footnote>
  <w:footnote w:id="5">
    <w:p w14:paraId="1D79DE23" w14:textId="0BBB26C8" w:rsidR="00021421" w:rsidRDefault="00021421">
      <w:pPr>
        <w:pStyle w:val="FootnoteText"/>
      </w:pPr>
      <w:r>
        <w:rPr>
          <w:rStyle w:val="FootnoteReference"/>
        </w:rPr>
        <w:footnoteRef/>
      </w:r>
      <w:r>
        <w:t xml:space="preserve"> </w:t>
      </w:r>
      <w:r w:rsidRPr="00021421">
        <w:t>It is important to note that the applicability and effectiveness of these recommendations may vary depending on the specific context and dynamics of each supply chain.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35"/>
    <w:rsid w:val="00012310"/>
    <w:rsid w:val="00021421"/>
    <w:rsid w:val="0005321C"/>
    <w:rsid w:val="001C515D"/>
    <w:rsid w:val="001F4064"/>
    <w:rsid w:val="00454877"/>
    <w:rsid w:val="00593489"/>
    <w:rsid w:val="005E26CC"/>
    <w:rsid w:val="006F4593"/>
    <w:rsid w:val="00713D02"/>
    <w:rsid w:val="0083595B"/>
    <w:rsid w:val="00900578"/>
    <w:rsid w:val="0090253B"/>
    <w:rsid w:val="009736BB"/>
    <w:rsid w:val="009C2F35"/>
    <w:rsid w:val="009F74C3"/>
    <w:rsid w:val="00A0547E"/>
    <w:rsid w:val="00A16E4F"/>
    <w:rsid w:val="00A37012"/>
    <w:rsid w:val="00BD203A"/>
    <w:rsid w:val="00BE5893"/>
    <w:rsid w:val="00D67634"/>
    <w:rsid w:val="00DD514C"/>
    <w:rsid w:val="00E335A5"/>
    <w:rsid w:val="00E56107"/>
    <w:rsid w:val="00F02D35"/>
    <w:rsid w:val="00F070A8"/>
    <w:rsid w:val="00F739C9"/>
    <w:rsid w:val="00FA3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D822"/>
  <w15:chartTrackingRefBased/>
  <w15:docId w15:val="{CE9CC61A-0D4B-4DE8-84DA-30F671C6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0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0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2F35"/>
    <w:pPr>
      <w:keepNext/>
      <w:keepLines/>
      <w:spacing w:after="60" w:line="276" w:lineRule="auto"/>
    </w:pPr>
    <w:rPr>
      <w:rFonts w:ascii="Arial" w:eastAsia="Arial" w:hAnsi="Arial" w:cs="Arial"/>
      <w:kern w:val="0"/>
      <w:sz w:val="52"/>
      <w:szCs w:val="52"/>
      <w:lang w:val="en-GB" w:eastAsia="en-IN"/>
      <w14:ligatures w14:val="none"/>
    </w:rPr>
  </w:style>
  <w:style w:type="character" w:customStyle="1" w:styleId="TitleChar">
    <w:name w:val="Title Char"/>
    <w:basedOn w:val="DefaultParagraphFont"/>
    <w:link w:val="Title"/>
    <w:uiPriority w:val="10"/>
    <w:rsid w:val="009C2F35"/>
    <w:rPr>
      <w:rFonts w:ascii="Arial" w:eastAsia="Arial" w:hAnsi="Arial" w:cs="Arial"/>
      <w:kern w:val="0"/>
      <w:sz w:val="52"/>
      <w:szCs w:val="52"/>
      <w:lang w:val="en-GB" w:eastAsia="en-IN"/>
      <w14:ligatures w14:val="none"/>
    </w:rPr>
  </w:style>
  <w:style w:type="paragraph" w:styleId="Subtitle">
    <w:name w:val="Subtitle"/>
    <w:basedOn w:val="Normal"/>
    <w:next w:val="Normal"/>
    <w:link w:val="SubtitleChar"/>
    <w:uiPriority w:val="11"/>
    <w:qFormat/>
    <w:rsid w:val="00F070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70A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070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70A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0253B"/>
    <w:pPr>
      <w:spacing w:after="0" w:line="240" w:lineRule="auto"/>
    </w:pPr>
  </w:style>
  <w:style w:type="character" w:styleId="Hyperlink">
    <w:name w:val="Hyperlink"/>
    <w:basedOn w:val="DefaultParagraphFont"/>
    <w:uiPriority w:val="99"/>
    <w:unhideWhenUsed/>
    <w:rsid w:val="00593489"/>
    <w:rPr>
      <w:color w:val="0563C1" w:themeColor="hyperlink"/>
      <w:u w:val="single"/>
    </w:rPr>
  </w:style>
  <w:style w:type="character" w:styleId="UnresolvedMention">
    <w:name w:val="Unresolved Mention"/>
    <w:basedOn w:val="DefaultParagraphFont"/>
    <w:uiPriority w:val="99"/>
    <w:semiHidden/>
    <w:unhideWhenUsed/>
    <w:rsid w:val="00BE5893"/>
    <w:rPr>
      <w:color w:val="605E5C"/>
      <w:shd w:val="clear" w:color="auto" w:fill="E1DFDD"/>
    </w:rPr>
  </w:style>
  <w:style w:type="paragraph" w:styleId="FootnoteText">
    <w:name w:val="footnote text"/>
    <w:basedOn w:val="Normal"/>
    <w:link w:val="FootnoteTextChar"/>
    <w:uiPriority w:val="99"/>
    <w:semiHidden/>
    <w:unhideWhenUsed/>
    <w:rsid w:val="001F40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4064"/>
    <w:rPr>
      <w:sz w:val="20"/>
      <w:szCs w:val="20"/>
    </w:rPr>
  </w:style>
  <w:style w:type="character" w:styleId="FootnoteReference">
    <w:name w:val="footnote reference"/>
    <w:basedOn w:val="DefaultParagraphFont"/>
    <w:uiPriority w:val="99"/>
    <w:semiHidden/>
    <w:unhideWhenUsed/>
    <w:rsid w:val="001F40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52209">
      <w:bodyDiv w:val="1"/>
      <w:marLeft w:val="0"/>
      <w:marRight w:val="0"/>
      <w:marTop w:val="0"/>
      <w:marBottom w:val="0"/>
      <w:divBdr>
        <w:top w:val="none" w:sz="0" w:space="0" w:color="auto"/>
        <w:left w:val="none" w:sz="0" w:space="0" w:color="auto"/>
        <w:bottom w:val="none" w:sz="0" w:space="0" w:color="auto"/>
        <w:right w:val="none" w:sz="0" w:space="0" w:color="auto"/>
      </w:divBdr>
    </w:div>
    <w:div w:id="838345446">
      <w:bodyDiv w:val="1"/>
      <w:marLeft w:val="0"/>
      <w:marRight w:val="0"/>
      <w:marTop w:val="0"/>
      <w:marBottom w:val="0"/>
      <w:divBdr>
        <w:top w:val="none" w:sz="0" w:space="0" w:color="auto"/>
        <w:left w:val="none" w:sz="0" w:space="0" w:color="auto"/>
        <w:bottom w:val="none" w:sz="0" w:space="0" w:color="auto"/>
        <w:right w:val="none" w:sz="0" w:space="0" w:color="auto"/>
      </w:divBdr>
    </w:div>
    <w:div w:id="877666610">
      <w:bodyDiv w:val="1"/>
      <w:marLeft w:val="0"/>
      <w:marRight w:val="0"/>
      <w:marTop w:val="0"/>
      <w:marBottom w:val="0"/>
      <w:divBdr>
        <w:top w:val="none" w:sz="0" w:space="0" w:color="auto"/>
        <w:left w:val="none" w:sz="0" w:space="0" w:color="auto"/>
        <w:bottom w:val="none" w:sz="0" w:space="0" w:color="auto"/>
        <w:right w:val="none" w:sz="0" w:space="0" w:color="auto"/>
      </w:divBdr>
      <w:divsChild>
        <w:div w:id="1541161347">
          <w:marLeft w:val="0"/>
          <w:marRight w:val="0"/>
          <w:marTop w:val="0"/>
          <w:marBottom w:val="0"/>
          <w:divBdr>
            <w:top w:val="none" w:sz="0" w:space="0" w:color="auto"/>
            <w:left w:val="none" w:sz="0" w:space="0" w:color="auto"/>
            <w:bottom w:val="none" w:sz="0" w:space="0" w:color="auto"/>
            <w:right w:val="none" w:sz="0" w:space="0" w:color="auto"/>
          </w:divBdr>
        </w:div>
        <w:div w:id="1365641132">
          <w:marLeft w:val="0"/>
          <w:marRight w:val="0"/>
          <w:marTop w:val="0"/>
          <w:marBottom w:val="0"/>
          <w:divBdr>
            <w:top w:val="none" w:sz="0" w:space="0" w:color="auto"/>
            <w:left w:val="none" w:sz="0" w:space="0" w:color="auto"/>
            <w:bottom w:val="none" w:sz="0" w:space="0" w:color="auto"/>
            <w:right w:val="none" w:sz="0" w:space="0" w:color="auto"/>
          </w:divBdr>
        </w:div>
        <w:div w:id="1343361277">
          <w:marLeft w:val="0"/>
          <w:marRight w:val="0"/>
          <w:marTop w:val="0"/>
          <w:marBottom w:val="0"/>
          <w:divBdr>
            <w:top w:val="none" w:sz="0" w:space="0" w:color="auto"/>
            <w:left w:val="none" w:sz="0" w:space="0" w:color="auto"/>
            <w:bottom w:val="none" w:sz="0" w:space="0" w:color="auto"/>
            <w:right w:val="none" w:sz="0" w:space="0" w:color="auto"/>
          </w:divBdr>
        </w:div>
        <w:div w:id="1186138977">
          <w:marLeft w:val="0"/>
          <w:marRight w:val="0"/>
          <w:marTop w:val="0"/>
          <w:marBottom w:val="0"/>
          <w:divBdr>
            <w:top w:val="none" w:sz="0" w:space="0" w:color="auto"/>
            <w:left w:val="none" w:sz="0" w:space="0" w:color="auto"/>
            <w:bottom w:val="none" w:sz="0" w:space="0" w:color="auto"/>
            <w:right w:val="none" w:sz="0" w:space="0" w:color="auto"/>
          </w:divBdr>
        </w:div>
        <w:div w:id="491415607">
          <w:marLeft w:val="0"/>
          <w:marRight w:val="0"/>
          <w:marTop w:val="0"/>
          <w:marBottom w:val="0"/>
          <w:divBdr>
            <w:top w:val="none" w:sz="0" w:space="0" w:color="auto"/>
            <w:left w:val="none" w:sz="0" w:space="0" w:color="auto"/>
            <w:bottom w:val="none" w:sz="0" w:space="0" w:color="auto"/>
            <w:right w:val="none" w:sz="0" w:space="0" w:color="auto"/>
          </w:divBdr>
        </w:div>
        <w:div w:id="685713126">
          <w:marLeft w:val="0"/>
          <w:marRight w:val="0"/>
          <w:marTop w:val="0"/>
          <w:marBottom w:val="0"/>
          <w:divBdr>
            <w:top w:val="none" w:sz="0" w:space="0" w:color="auto"/>
            <w:left w:val="none" w:sz="0" w:space="0" w:color="auto"/>
            <w:bottom w:val="none" w:sz="0" w:space="0" w:color="auto"/>
            <w:right w:val="none" w:sz="0" w:space="0" w:color="auto"/>
          </w:divBdr>
        </w:div>
        <w:div w:id="1410229550">
          <w:marLeft w:val="0"/>
          <w:marRight w:val="0"/>
          <w:marTop w:val="0"/>
          <w:marBottom w:val="0"/>
          <w:divBdr>
            <w:top w:val="none" w:sz="0" w:space="0" w:color="auto"/>
            <w:left w:val="none" w:sz="0" w:space="0" w:color="auto"/>
            <w:bottom w:val="none" w:sz="0" w:space="0" w:color="auto"/>
            <w:right w:val="none" w:sz="0" w:space="0" w:color="auto"/>
          </w:divBdr>
        </w:div>
        <w:div w:id="952715450">
          <w:marLeft w:val="0"/>
          <w:marRight w:val="0"/>
          <w:marTop w:val="0"/>
          <w:marBottom w:val="0"/>
          <w:divBdr>
            <w:top w:val="none" w:sz="0" w:space="0" w:color="auto"/>
            <w:left w:val="none" w:sz="0" w:space="0" w:color="auto"/>
            <w:bottom w:val="none" w:sz="0" w:space="0" w:color="auto"/>
            <w:right w:val="none" w:sz="0" w:space="0" w:color="auto"/>
          </w:divBdr>
        </w:div>
        <w:div w:id="393890890">
          <w:marLeft w:val="0"/>
          <w:marRight w:val="0"/>
          <w:marTop w:val="0"/>
          <w:marBottom w:val="0"/>
          <w:divBdr>
            <w:top w:val="none" w:sz="0" w:space="0" w:color="auto"/>
            <w:left w:val="none" w:sz="0" w:space="0" w:color="auto"/>
            <w:bottom w:val="none" w:sz="0" w:space="0" w:color="auto"/>
            <w:right w:val="none" w:sz="0" w:space="0" w:color="auto"/>
          </w:divBdr>
        </w:div>
        <w:div w:id="1147405015">
          <w:marLeft w:val="0"/>
          <w:marRight w:val="0"/>
          <w:marTop w:val="0"/>
          <w:marBottom w:val="0"/>
          <w:divBdr>
            <w:top w:val="none" w:sz="0" w:space="0" w:color="auto"/>
            <w:left w:val="none" w:sz="0" w:space="0" w:color="auto"/>
            <w:bottom w:val="none" w:sz="0" w:space="0" w:color="auto"/>
            <w:right w:val="none" w:sz="0" w:space="0" w:color="auto"/>
          </w:divBdr>
        </w:div>
        <w:div w:id="204104435">
          <w:marLeft w:val="0"/>
          <w:marRight w:val="0"/>
          <w:marTop w:val="0"/>
          <w:marBottom w:val="0"/>
          <w:divBdr>
            <w:top w:val="none" w:sz="0" w:space="0" w:color="auto"/>
            <w:left w:val="none" w:sz="0" w:space="0" w:color="auto"/>
            <w:bottom w:val="none" w:sz="0" w:space="0" w:color="auto"/>
            <w:right w:val="none" w:sz="0" w:space="0" w:color="auto"/>
          </w:divBdr>
        </w:div>
      </w:divsChild>
    </w:div>
    <w:div w:id="896666034">
      <w:bodyDiv w:val="1"/>
      <w:marLeft w:val="0"/>
      <w:marRight w:val="0"/>
      <w:marTop w:val="0"/>
      <w:marBottom w:val="0"/>
      <w:divBdr>
        <w:top w:val="none" w:sz="0" w:space="0" w:color="auto"/>
        <w:left w:val="none" w:sz="0" w:space="0" w:color="auto"/>
        <w:bottom w:val="none" w:sz="0" w:space="0" w:color="auto"/>
        <w:right w:val="none" w:sz="0" w:space="0" w:color="auto"/>
      </w:divBdr>
    </w:div>
    <w:div w:id="1108037665">
      <w:bodyDiv w:val="1"/>
      <w:marLeft w:val="0"/>
      <w:marRight w:val="0"/>
      <w:marTop w:val="0"/>
      <w:marBottom w:val="0"/>
      <w:divBdr>
        <w:top w:val="none" w:sz="0" w:space="0" w:color="auto"/>
        <w:left w:val="none" w:sz="0" w:space="0" w:color="auto"/>
        <w:bottom w:val="none" w:sz="0" w:space="0" w:color="auto"/>
        <w:right w:val="none" w:sz="0" w:space="0" w:color="auto"/>
      </w:divBdr>
    </w:div>
    <w:div w:id="1242104039">
      <w:bodyDiv w:val="1"/>
      <w:marLeft w:val="0"/>
      <w:marRight w:val="0"/>
      <w:marTop w:val="0"/>
      <w:marBottom w:val="0"/>
      <w:divBdr>
        <w:top w:val="none" w:sz="0" w:space="0" w:color="auto"/>
        <w:left w:val="none" w:sz="0" w:space="0" w:color="auto"/>
        <w:bottom w:val="none" w:sz="0" w:space="0" w:color="auto"/>
        <w:right w:val="none" w:sz="0" w:space="0" w:color="auto"/>
      </w:divBdr>
    </w:div>
    <w:div w:id="1377512119">
      <w:bodyDiv w:val="1"/>
      <w:marLeft w:val="0"/>
      <w:marRight w:val="0"/>
      <w:marTop w:val="0"/>
      <w:marBottom w:val="0"/>
      <w:divBdr>
        <w:top w:val="none" w:sz="0" w:space="0" w:color="auto"/>
        <w:left w:val="none" w:sz="0" w:space="0" w:color="auto"/>
        <w:bottom w:val="none" w:sz="0" w:space="0" w:color="auto"/>
        <w:right w:val="none" w:sz="0" w:space="0" w:color="auto"/>
      </w:divBdr>
    </w:div>
    <w:div w:id="1402828178">
      <w:bodyDiv w:val="1"/>
      <w:marLeft w:val="0"/>
      <w:marRight w:val="0"/>
      <w:marTop w:val="0"/>
      <w:marBottom w:val="0"/>
      <w:divBdr>
        <w:top w:val="none" w:sz="0" w:space="0" w:color="auto"/>
        <w:left w:val="none" w:sz="0" w:space="0" w:color="auto"/>
        <w:bottom w:val="none" w:sz="0" w:space="0" w:color="auto"/>
        <w:right w:val="none" w:sz="0" w:space="0" w:color="auto"/>
      </w:divBdr>
    </w:div>
    <w:div w:id="1637834875">
      <w:bodyDiv w:val="1"/>
      <w:marLeft w:val="0"/>
      <w:marRight w:val="0"/>
      <w:marTop w:val="0"/>
      <w:marBottom w:val="0"/>
      <w:divBdr>
        <w:top w:val="none" w:sz="0" w:space="0" w:color="auto"/>
        <w:left w:val="none" w:sz="0" w:space="0" w:color="auto"/>
        <w:bottom w:val="none" w:sz="0" w:space="0" w:color="auto"/>
        <w:right w:val="none" w:sz="0" w:space="0" w:color="auto"/>
      </w:divBdr>
    </w:div>
    <w:div w:id="1680543460">
      <w:bodyDiv w:val="1"/>
      <w:marLeft w:val="0"/>
      <w:marRight w:val="0"/>
      <w:marTop w:val="0"/>
      <w:marBottom w:val="0"/>
      <w:divBdr>
        <w:top w:val="none" w:sz="0" w:space="0" w:color="auto"/>
        <w:left w:val="none" w:sz="0" w:space="0" w:color="auto"/>
        <w:bottom w:val="none" w:sz="0" w:space="0" w:color="auto"/>
        <w:right w:val="none" w:sz="0" w:space="0" w:color="auto"/>
      </w:divBdr>
      <w:divsChild>
        <w:div w:id="2121491459">
          <w:marLeft w:val="0"/>
          <w:marRight w:val="0"/>
          <w:marTop w:val="0"/>
          <w:marBottom w:val="0"/>
          <w:divBdr>
            <w:top w:val="none" w:sz="0" w:space="0" w:color="auto"/>
            <w:left w:val="none" w:sz="0" w:space="0" w:color="auto"/>
            <w:bottom w:val="none" w:sz="0" w:space="0" w:color="auto"/>
            <w:right w:val="none" w:sz="0" w:space="0" w:color="auto"/>
          </w:divBdr>
        </w:div>
        <w:div w:id="2013750193">
          <w:marLeft w:val="0"/>
          <w:marRight w:val="0"/>
          <w:marTop w:val="0"/>
          <w:marBottom w:val="0"/>
          <w:divBdr>
            <w:top w:val="none" w:sz="0" w:space="0" w:color="auto"/>
            <w:left w:val="none" w:sz="0" w:space="0" w:color="auto"/>
            <w:bottom w:val="none" w:sz="0" w:space="0" w:color="auto"/>
            <w:right w:val="none" w:sz="0" w:space="0" w:color="auto"/>
          </w:divBdr>
        </w:div>
        <w:div w:id="561064418">
          <w:marLeft w:val="0"/>
          <w:marRight w:val="0"/>
          <w:marTop w:val="0"/>
          <w:marBottom w:val="0"/>
          <w:divBdr>
            <w:top w:val="none" w:sz="0" w:space="0" w:color="auto"/>
            <w:left w:val="none" w:sz="0" w:space="0" w:color="auto"/>
            <w:bottom w:val="none" w:sz="0" w:space="0" w:color="auto"/>
            <w:right w:val="none" w:sz="0" w:space="0" w:color="auto"/>
          </w:divBdr>
        </w:div>
      </w:divsChild>
    </w:div>
    <w:div w:id="172189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8193179_Supply_Chain_Risk_Management_Literature_Revie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isco.com/c/en/us/products/security/supply-chain-risk-management.html" TargetMode="External"/><Relationship Id="rId12" Type="http://schemas.openxmlformats.org/officeDocument/2006/relationships/hyperlink" Target="https://www.mckinsey.com/capabilities/operations/our-insights/a-practical-approach-to-supply-chain-risk-manag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Supply_chain_risk_management" TargetMode="External"/><Relationship Id="rId5" Type="http://schemas.openxmlformats.org/officeDocument/2006/relationships/footnotes" Target="footnotes.xml"/><Relationship Id="rId10" Type="http://schemas.openxmlformats.org/officeDocument/2006/relationships/hyperlink" Target="https://www.weforum.org/agenda/2021/11/supply-chain-problems-solar-power-renewable-energy/" TargetMode="External"/><Relationship Id="rId4" Type="http://schemas.openxmlformats.org/officeDocument/2006/relationships/webSettings" Target="webSettings.xml"/><Relationship Id="rId9" Type="http://schemas.openxmlformats.org/officeDocument/2006/relationships/hyperlink" Target="https://www.sciencedirect.com/science/article/abs/pii/S026323731930075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cis</b:Tag>
    <b:SourceType>InternetSite</b:SourceType>
    <b:Guid>{0275C02E-E659-49F3-AE14-3274EF7A6095}</b:Guid>
    <b:Author>
      <b:Author>
        <b:Corporate>cisco</b:Corporate>
      </b:Author>
    </b:Author>
    <b:Title>What Is Supply Chain Risk Management (SCRM)?</b:Title>
    <b:InternetSiteTitle>cisco</b:InternetSiteTitle>
    <b:URL>https://www.cisco.com/c/en/us/products/security/supply-chain-risk-management.html</b:URL>
    <b:Year>2023</b:Year>
    <b:RefOrder>1</b:RefOrder>
  </b:Source>
  <b:Source>
    <b:Tag>Gur21</b:Tag>
    <b:SourceType>InternetSite</b:SourceType>
    <b:Guid>{E4C740DD-416F-4640-9F59-A52209DA7654}</b:Guid>
    <b:Author>
      <b:Author>
        <b:NameList>
          <b:Person>
            <b:Last>Gurtu</b:Last>
            <b:First>Amulya</b:First>
          </b:Person>
        </b:NameList>
      </b:Author>
    </b:Author>
    <b:Title>Supply Chain Risk Management: Literature Review</b:Title>
    <b:InternetSiteTitle>researchgate</b:InternetSiteTitle>
    <b:Year>2021</b:Year>
    <b:Month>January</b:Month>
    <b:Day>6</b:Day>
    <b:URL>https://www.researchgate.net/publication/348193179_Supply_Chain_Risk_Management_Literature_Review</b:URL>
    <b:YearAccessed>2023</b:YearAccessed>
    <b:MonthAccessed>July</b:MonthAccessed>
    <b:DayAccessed>10</b:DayAccessed>
    <b:RefOrder>2</b:RefOrder>
  </b:Source>
  <b:Source>
    <b:Tag>Mar19</b:Tag>
    <b:SourceType>InternetSite</b:SourceType>
    <b:Guid>{73F078CE-04C0-4B8C-8AB0-5EE41BC1FBE2}</b:Guid>
    <b:Author>
      <b:Author>
        <b:NameList>
          <b:Person>
            <b:Last>Maria Crema</b:Last>
            <b:First>Priscila</b:First>
            <b:Middle>Ferreira de Araújo Lima</b:Middle>
          </b:Person>
        </b:NameList>
      </b:Author>
    </b:Author>
    <b:Title>Risk management in SMEs: A systematic literature review and future directions</b:Title>
    <b:InternetSiteTitle>sciencedirect</b:InternetSiteTitle>
    <b:Year>2019</b:Year>
    <b:Month>June</b:Month>
    <b:Day>5</b:Day>
    <b:URL>https://www.sciencedirect.com/science/article/abs/pii/S0263237319300751</b:URL>
    <b:YearAccessed>2023</b:YearAccessed>
    <b:MonthAccessed>July</b:MonthAccessed>
    <b:DayAccessed>10</b:DayAccessed>
    <b:RefOrder>3</b:RefOrder>
  </b:Source>
  <b:Source>
    <b:Tag>wef21</b:Tag>
    <b:SourceType>InternetSite</b:SourceType>
    <b:Guid>{BFBD0615-6E40-4F00-91FA-D7A72514F9AC}</b:Guid>
    <b:Author>
      <b:Author>
        <b:Corporate>weforum</b:Corporate>
      </b:Author>
    </b:Author>
    <b:Title>Here's how supply chain issues are affecting renewable energy projects</b:Title>
    <b:InternetSiteTitle>weforum</b:InternetSiteTitle>
    <b:Year>2021</b:Year>
    <b:Month>November</b:Month>
    <b:Day>4</b:Day>
    <b:URL>https://www.weforum.org/agenda/2021/11/supply-chain-problems-solar-power-renewable-energy/</b:URL>
    <b:YearAccessed>2023</b:YearAccessed>
    <b:MonthAccessed>July</b:MonthAccessed>
    <b:DayAccessed>10</b:DayAccessed>
    <b:RefOrder>4</b:RefOrder>
  </b:Source>
  <b:Source>
    <b:Tag>wik23</b:Tag>
    <b:SourceType>InternetSite</b:SourceType>
    <b:Guid>{11E716F7-681E-4838-A855-1A3A646A6BD6}</b:Guid>
    <b:Author>
      <b:Author>
        <b:Corporate>wikipedia</b:Corporate>
      </b:Author>
    </b:Author>
    <b:Title>Supply chain risk management</b:Title>
    <b:InternetSiteTitle>wikipedia</b:InternetSiteTitle>
    <b:Year>2023</b:Year>
    <b:Month>June</b:Month>
    <b:Day>16</b:Day>
    <b:URL>https://en.wikipedia.org/wiki/Supply_chain_risk_management</b:URL>
    <b:YearAccessed>2023</b:YearAccessed>
    <b:MonthAccessed>July</b:MonthAccessed>
    <b:DayAccessed>10</b:DayAccessed>
    <b:RefOrder>5</b:RefOrder>
  </b:Source>
  <b:Source>
    <b:Tag>mck19</b:Tag>
    <b:SourceType>InternetSite</b:SourceType>
    <b:Guid>{73BDA524-BE3A-40A5-8C3F-7FAE189652E6}</b:Guid>
    <b:Author>
      <b:Author>
        <b:Corporate>mckinsey</b:Corporate>
      </b:Author>
    </b:Author>
    <b:Title>A practical approach to supply-chain risk management</b:Title>
    <b:InternetSiteTitle>mckinsey</b:InternetSiteTitle>
    <b:Year>2019</b:Year>
    <b:Month>March</b:Month>
    <b:Day>8</b:Day>
    <b:URL>https://www.mckinsey.com/capabilities/operations/our-insights/a-practical-approach-to-supply-chain-risk-management</b:URL>
    <b:YearAccessed>2023</b:YearAccessed>
    <b:MonthAccessed>July</b:MonthAccessed>
    <b:DayAccessed>10</b:DayAccessed>
    <b:RefOrder>6</b:RefOrder>
  </b:Source>
</b:Sources>
</file>

<file path=customXml/itemProps1.xml><?xml version="1.0" encoding="utf-8"?>
<ds:datastoreItem xmlns:ds="http://schemas.openxmlformats.org/officeDocument/2006/customXml" ds:itemID="{53D34C44-927E-4005-A73F-A53F7E3DB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Sarkar</dc:creator>
  <cp:keywords/>
  <dc:description/>
  <cp:lastModifiedBy>Aditya Sarkar</cp:lastModifiedBy>
  <cp:revision>2</cp:revision>
  <dcterms:created xsi:type="dcterms:W3CDTF">2023-07-11T07:55:00Z</dcterms:created>
  <dcterms:modified xsi:type="dcterms:W3CDTF">2023-07-11T07:55:00Z</dcterms:modified>
</cp:coreProperties>
</file>