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(SYS-LIMS-001)</w:t>
        <w:br/>
        <w:t>Lifecycle Status: PRE-OPERATIONAL / NOT ACTIVATED</w:t>
        <w:br/>
        <w:t>Current Release Recommendation: HOLD / DEFER - DO NOT RELEASE</w:t>
        <w:br/>
        <w:t>Assessment Timestamp: 2026-09-04 09:11:27 UTC</w:t>
        <w:br/>
        <w:t>Audit Readiness Index: 48%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48%.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09:11:27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08b96a579a...13f8bb</w:t>
            </w:r>
          </w:p>
        </w:tc>
      </w:tr>
      <w:tr>
        <w:tc>
          <w:tcPr>
            <w:tcW w:type="dxa" w:w="2160"/>
          </w:tcPr>
          <w:p>
            <w:r>
              <w:t>2026-09-04 09:11:26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2d83f815f2...ac1a6a</w:t>
            </w:r>
          </w:p>
        </w:tc>
      </w:tr>
      <w:tr>
        <w:tc>
          <w:tcPr>
            <w:tcW w:type="dxa" w:w="2160"/>
          </w:tcPr>
          <w:p>
            <w:r>
              <w:t>2026-09-04 09:11:22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15e0825bb5...633834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