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09:33:32 UTC</w:t>
        <w:br/>
        <w:t>Audit Readiness Index: 100%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100%.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</w:tbl>
    <w:p>
      <w:pPr>
        <w:pStyle w:val="Heading1"/>
      </w:pPr>
      <w:r>
        <w:t>4. Identified Compliance Gaps &amp; Risks</w:t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09:33:32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af1787a8e9...78b184</w:t>
            </w:r>
          </w:p>
        </w:tc>
      </w:tr>
      <w:tr>
        <w:tc>
          <w:tcPr>
            <w:tcW w:type="dxa" w:w="2160"/>
          </w:tcPr>
          <w:p>
            <w:r>
              <w:t>2026-09-04 09:33:30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25e6775d43...a09c92</w:t>
            </w:r>
          </w:p>
        </w:tc>
      </w:tr>
      <w:tr>
        <w:tc>
          <w:tcPr>
            <w:tcW w:type="dxa" w:w="2160"/>
          </w:tcPr>
          <w:p>
            <w:r>
              <w:t>2026-09-04 09:33:26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04936f3647...8900cb</w:t>
            </w:r>
          </w:p>
        </w:tc>
      </w:tr>
      <w:tr>
        <w:tc>
          <w:tcPr>
            <w:tcW w:type="dxa" w:w="2160"/>
          </w:tcPr>
          <w:p>
            <w:r>
              <w:t>2026-09-04 09:33:20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29f4085127...1bb48e</w:t>
            </w:r>
          </w:p>
        </w:tc>
      </w:tr>
      <w:tr>
        <w:tc>
          <w:tcPr>
            <w:tcW w:type="dxa" w:w="2160"/>
          </w:tcPr>
          <w:p>
            <w:r>
              <w:t>2026-09-04 09:33:19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864a282a49...9c1428</w:t>
            </w:r>
          </w:p>
        </w:tc>
      </w:tr>
      <w:tr>
        <w:tc>
          <w:tcPr>
            <w:tcW w:type="dxa" w:w="2160"/>
          </w:tcPr>
          <w:p>
            <w:r>
              <w:t>2026-09-04 09:33:18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228b4e6058...a73bf1</w:t>
            </w:r>
          </w:p>
        </w:tc>
      </w:tr>
      <w:tr>
        <w:tc>
          <w:tcPr>
            <w:tcW w:type="dxa" w:w="2160"/>
          </w:tcPr>
          <w:p>
            <w:r>
              <w:t>2026-09-04 09:33:15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4394cc31fb...1e62ad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