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spacing w:before="0" w:after="40" w:line="252" w:lineRule="auto"/>
        <w:pBdr>
          <w:bottom w:val="single" w:sz="6" w:space="2" w:color="B7C9D8"/>
        </w:pBdr>
      </w:pPr>
      <w:r>
        <w:rPr>
          <w:rFonts w:ascii="Calibri" w:hAnsi="Calibri"/>
          <w:b/>
          <w:i w:val="0"/>
          <w:color w:val="1F4D78"/>
          <w:sz w:val="16"/>
        </w:rPr>
        <w:t>DUMMY AUDIT SIMULATION PACKAGE | TECHNICAL DESIGN</w:t>
      </w:r>
    </w:p>
    <w:p>
      <w:pPr>
        <w:keepNext w:val="0"/>
        <w:spacing w:before="0" w:after="20" w:line="252" w:lineRule="auto"/>
      </w:pPr>
      <w:r>
        <w:rPr>
          <w:rFonts w:ascii="Calibri" w:hAnsi="Calibri"/>
          <w:b/>
          <w:i w:val="0"/>
          <w:color w:val="0B2545"/>
          <w:sz w:val="48"/>
        </w:rPr>
        <w:t>Design Specification</w:t>
      </w:r>
    </w:p>
    <w:p>
      <w:pPr>
        <w:keepNext w:val="0"/>
        <w:spacing w:before="0" w:after="120" w:line="252" w:lineRule="auto"/>
      </w:pPr>
      <w:r>
        <w:rPr>
          <w:rFonts w:ascii="Calibri" w:hAnsi="Calibri"/>
          <w:b w:val="0"/>
          <w:i w:val="0"/>
          <w:color w:val="1F4D78"/>
          <w:sz w:val="26"/>
        </w:rPr>
        <w:t>MES PAS-X New Implementation | Novo Life</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2450"/>
        <w:gridCol w:w="6910"/>
      </w:tblGrid>
      <w:tr>
        <w:trPr>
          <w:trHeight w:hRule="auto"/>
          <w:cantSplit/>
          <w:tblHeader w:val="true"/>
          <w:cantSplit/>
        </w:trPr>
        <w:tc>
          <w:tcPr>
            <w:tcW w:type="dxa" w:w="24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6"/>
              </w:rPr>
              <w:t>Control field</w:t>
            </w:r>
          </w:p>
        </w:tc>
        <w:tc>
          <w:tcPr>
            <w:tcW w:type="dxa" w:w="69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6"/>
              </w:rPr>
              <w:t>Value</w:t>
            </w:r>
          </w:p>
        </w:tc>
      </w:tr>
      <w:tr>
        <w:trPr>
          <w:cantSplit/>
          <w:trHeight w:hRule="auto"/>
          <w:cantSplit/>
        </w:trPr>
        <w:tc>
          <w:tcPr>
            <w:tcW w:type="dxa" w:w="24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Document ID</w:t>
            </w:r>
          </w:p>
        </w:tc>
        <w:tc>
          <w:tcPr>
            <w:tcW w:type="dxa" w:w="69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NL-MES-DS-001</w:t>
            </w:r>
          </w:p>
        </w:tc>
      </w:tr>
      <w:tr>
        <w:trPr>
          <w:cantSplit/>
          <w:trHeight w:hRule="auto"/>
          <w:cantSplit/>
        </w:trPr>
        <w:tc>
          <w:tcPr>
            <w:tcW w:type="dxa" w:w="24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Title</w:t>
            </w:r>
          </w:p>
        </w:tc>
        <w:tc>
          <w:tcPr>
            <w:tcW w:type="dxa" w:w="69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Design Specification</w:t>
            </w:r>
          </w:p>
        </w:tc>
      </w:tr>
      <w:tr>
        <w:trPr>
          <w:cantSplit/>
          <w:trHeight w:hRule="auto"/>
          <w:cantSplit/>
        </w:trPr>
        <w:tc>
          <w:tcPr>
            <w:tcW w:type="dxa" w:w="24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Version</w:t>
            </w:r>
          </w:p>
        </w:tc>
        <w:tc>
          <w:tcPr>
            <w:tcW w:type="dxa" w:w="69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0.1</w:t>
            </w:r>
          </w:p>
        </w:tc>
      </w:tr>
      <w:tr>
        <w:trPr>
          <w:cantSplit/>
          <w:trHeight w:hRule="auto"/>
          <w:cantSplit/>
        </w:trPr>
        <w:tc>
          <w:tcPr>
            <w:tcW w:type="dxa" w:w="24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Package classification</w:t>
            </w:r>
          </w:p>
        </w:tc>
        <w:tc>
          <w:tcPr>
            <w:tcW w:type="dxa" w:w="69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DUMMY - HACKATHON / TRAINING / DEMO ONLY</w:t>
            </w:r>
          </w:p>
        </w:tc>
      </w:tr>
      <w:tr>
        <w:trPr>
          <w:cantSplit/>
          <w:trHeight w:hRule="auto"/>
          <w:cantSplit/>
        </w:trPr>
        <w:tc>
          <w:tcPr>
            <w:tcW w:type="dxa" w:w="24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Lifecycle status</w:t>
            </w:r>
          </w:p>
        </w:tc>
        <w:tc>
          <w:tcPr>
            <w:tcW w:type="dxa" w:w="69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Simulated Reviewed and Approved for Demo/Training Use Only.</w:t>
            </w:r>
          </w:p>
        </w:tc>
      </w:tr>
      <w:tr>
        <w:trPr>
          <w:cantSplit/>
          <w:trHeight w:hRule="auto"/>
          <w:cantSplit/>
        </w:trPr>
        <w:tc>
          <w:tcPr>
            <w:tcW w:type="dxa" w:w="24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System</w:t>
            </w:r>
          </w:p>
        </w:tc>
        <w:tc>
          <w:tcPr>
            <w:tcW w:type="dxa" w:w="69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MES PAS-X</w:t>
            </w:r>
          </w:p>
        </w:tc>
      </w:tr>
      <w:tr>
        <w:trPr>
          <w:cantSplit/>
          <w:trHeight w:hRule="auto"/>
          <w:cantSplit/>
        </w:trPr>
        <w:tc>
          <w:tcPr>
            <w:tcW w:type="dxa" w:w="24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Company</w:t>
            </w:r>
          </w:p>
        </w:tc>
        <w:tc>
          <w:tcPr>
            <w:tcW w:type="dxa" w:w="69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Novo Life (fictional pharmaceutical organisation)</w:t>
            </w:r>
          </w:p>
        </w:tc>
      </w:tr>
      <w:tr>
        <w:trPr>
          <w:cantSplit/>
          <w:trHeight w:hRule="auto"/>
          <w:cantSplit/>
        </w:trPr>
        <w:tc>
          <w:tcPr>
            <w:tcW w:type="dxa" w:w="24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Prepared date</w:t>
            </w:r>
          </w:p>
        </w:tc>
        <w:tc>
          <w:tcPr>
            <w:tcW w:type="dxa" w:w="69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10 Aug 2026</w:t>
            </w:r>
          </w:p>
        </w:tc>
      </w:tr>
      <w:tr>
        <w:trPr>
          <w:cantSplit/>
          <w:trHeight w:hRule="auto"/>
          <w:cantSplit/>
        </w:trPr>
        <w:tc>
          <w:tcPr>
            <w:tcW w:type="dxa" w:w="24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Reference template</w:t>
            </w:r>
          </w:p>
        </w:tc>
        <w:tc>
          <w:tcPr>
            <w:tcW w:type="dxa" w:w="69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Q0803993 IT Functional/Design Specification, Ver 2.0</w:t>
            </w:r>
          </w:p>
        </w:tc>
      </w:tr>
      <w:tr>
        <w:trPr>
          <w:cantSplit/>
          <w:trHeight w:hRule="auto"/>
          <w:cantSplit/>
        </w:trPr>
        <w:tc>
          <w:tcPr>
            <w:tcW w:type="dxa" w:w="24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Governing plan</w:t>
            </w:r>
          </w:p>
        </w:tc>
        <w:tc>
          <w:tcPr>
            <w:tcW w:type="dxa" w:w="69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NL-MES-MLGP-001</w:t>
            </w:r>
          </w:p>
        </w:tc>
      </w:tr>
      <w:tr>
        <w:trPr>
          <w:cantSplit/>
          <w:trHeight w:hRule="auto"/>
          <w:cantSplit/>
        </w:trPr>
        <w:tc>
          <w:tcPr>
            <w:tcW w:type="dxa" w:w="24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Traceability</w:t>
            </w:r>
          </w:p>
        </w:tc>
        <w:tc>
          <w:tcPr>
            <w:tcW w:type="dxa" w:w="69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50 URS / 50 FS / 50 DS / 60 integration requirements / 26 risks</w:t>
            </w:r>
          </w:p>
        </w:tc>
      </w:tr>
    </w:tbl>
    <w:p>
      <w:pPr>
        <w:spacing w:after="40" w:before="0"/>
      </w:pPr>
    </w:p>
    <w:p>
      <w:pPr>
        <w:keepNext w:val="0"/>
        <w:spacing w:before="80" w:after="80" w:line="240" w:lineRule="auto"/>
        <w:shd w:val="clear" w:color="auto" w:fill="EAF3F8"/>
        <w:pBdr>
          <w:top w:val="single" w:sz="4" w:space="3" w:color="B7C9D8"/>
          <w:left w:val="single" w:sz="4" w:space="3" w:color="B7C9D8"/>
          <w:bottom w:val="single" w:sz="4" w:space="3" w:color="B7C9D8"/>
          <w:right w:val="single" w:sz="4" w:space="3" w:color="B7C9D8"/>
        </w:pBdr>
        <w:ind w:left="120" w:right="120"/>
      </w:pPr>
      <w:r>
        <w:rPr>
          <w:rFonts w:ascii="Calibri" w:hAnsi="Calibri"/>
          <w:b w:val="0"/>
          <w:color w:val="0B2545"/>
          <w:sz w:val="17"/>
        </w:rPr>
        <w:t>Controlled status: Simulated Reviewed and Approved for Demo/Training Use Only. This wording confirms only a simulated review state and is not a real implementation, validation, release or operational approval.</w:t>
      </w:r>
    </w:p>
    <w:p>
      <w:pPr>
        <w:spacing w:after="20"/>
      </w:pPr>
    </w:p>
    <w:p>
      <w:pPr>
        <w:pStyle w:val="Heading2"/>
        <w:keepNext/>
        <w:spacing w:before="100" w:after="80" w:line="252" w:lineRule="auto"/>
      </w:pPr>
      <w:r>
        <w:rPr>
          <w:rFonts w:ascii="Calibri" w:hAnsi="Calibri"/>
          <w:b/>
          <w:color w:val="2E74B5"/>
          <w:sz w:val="26"/>
        </w:rPr>
        <w:t>Document control</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850"/>
        <w:gridCol w:w="1150"/>
        <w:gridCol w:w="2200"/>
        <w:gridCol w:w="5160"/>
      </w:tblGrid>
      <w:tr>
        <w:trPr>
          <w:trHeight w:hRule="auto"/>
          <w:cantSplit/>
          <w:tblHeader w:val="true"/>
          <w:cantSplit/>
        </w:trPr>
        <w:tc>
          <w:tcPr>
            <w:tcW w:type="dxa" w:w="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Version</w:t>
            </w:r>
          </w:p>
        </w:tc>
        <w:tc>
          <w:tcPr>
            <w:tcW w:type="dxa" w:w="11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Date</w:t>
            </w:r>
          </w:p>
        </w:tc>
        <w:tc>
          <w:tcPr>
            <w:tcW w:type="dxa" w:w="22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Authoring role</w:t>
            </w:r>
          </w:p>
        </w:tc>
        <w:tc>
          <w:tcPr>
            <w:tcW w:type="dxa" w:w="51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Change description</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0.1</w:t>
            </w:r>
          </w:p>
        </w:tc>
        <w:tc>
          <w:tcPr>
            <w:tcW w:type="dxa" w:w="11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10 Aug 2026</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Fictional Solution Architect / Validation Lead</w:t>
            </w:r>
          </w:p>
        </w:tc>
        <w:tc>
          <w:tcPr>
            <w:tcW w:type="dxa" w:w="51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Initial dummy Design Specification defining 50 technical design elements and package traceability for audit simulation.</w:t>
            </w:r>
          </w:p>
        </w:tc>
      </w:tr>
    </w:tbl>
    <w:p>
      <w:pPr>
        <w:spacing w:after="40" w:before="0"/>
      </w:pPr>
    </w:p>
    <w:p>
      <w:pPr>
        <w:pStyle w:val="Heading2"/>
        <w:keepNext/>
        <w:spacing w:before="100" w:after="80" w:line="252" w:lineRule="auto"/>
      </w:pPr>
      <w:r>
        <w:rPr>
          <w:rFonts w:ascii="Calibri" w:hAnsi="Calibri"/>
          <w:b/>
          <w:color w:val="2E74B5"/>
          <w:sz w:val="26"/>
        </w:rPr>
        <w:t>Simulated review and approval</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900"/>
        <w:gridCol w:w="3150"/>
        <w:gridCol w:w="2050"/>
        <w:gridCol w:w="2260"/>
      </w:tblGrid>
      <w:tr>
        <w:trPr>
          <w:trHeight w:hRule="auto"/>
          <w:cantSplit/>
          <w:tblHeader w:val="true"/>
          <w:cantSplit/>
        </w:trPr>
        <w:tc>
          <w:tcPr>
            <w:tcW w:type="dxa" w:w="19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Role</w:t>
            </w:r>
          </w:p>
        </w:tc>
        <w:tc>
          <w:tcPr>
            <w:tcW w:type="dxa" w:w="31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Review / approval purpose</w:t>
            </w:r>
          </w:p>
        </w:tc>
        <w:tc>
          <w:tcPr>
            <w:tcW w:type="dxa" w:w="20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Simulation evidence</w:t>
            </w:r>
          </w:p>
        </w:tc>
        <w:tc>
          <w:tcPr>
            <w:tcW w:type="dxa" w:w="22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Status</w:t>
            </w:r>
          </w:p>
        </w:tc>
      </w:tr>
      <w:tr>
        <w:trPr>
          <w:cantSplit/>
          <w:trHeight w:hRule="auto"/>
          <w:cantSplit/>
        </w:trPr>
        <w:tc>
          <w:tcPr>
            <w:tcW w:type="dxa" w:w="1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Fictional Business Process Owner</w:t>
            </w:r>
          </w:p>
        </w:tc>
        <w:tc>
          <w:tcPr>
            <w:tcW w:type="dxa" w:w="31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Confirms the technical design remains aligned with intended use and controlled business processes.</w:t>
            </w:r>
          </w:p>
        </w:tc>
        <w:tc>
          <w:tcPr>
            <w:tcW w:type="dxa" w:w="20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Role-based simulated review record; no signature.</w:t>
            </w:r>
          </w:p>
        </w:tc>
        <w:tc>
          <w:tcPr>
            <w:tcW w:type="dxa" w:w="2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Simulated Reviewed and Approved for Demo/Training Use Only.</w:t>
            </w:r>
          </w:p>
        </w:tc>
      </w:tr>
      <w:tr>
        <w:trPr>
          <w:cantSplit/>
          <w:trHeight w:hRule="auto"/>
          <w:cantSplit/>
        </w:trPr>
        <w:tc>
          <w:tcPr>
            <w:tcW w:type="dxa" w:w="1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Fictional IT Solution Owner</w:t>
            </w:r>
          </w:p>
        </w:tc>
        <w:tc>
          <w:tcPr>
            <w:tcW w:type="dxa" w:w="31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Confirms architecture, component responsibilities, supportability and implementation handoff.</w:t>
            </w:r>
          </w:p>
        </w:tc>
        <w:tc>
          <w:tcPr>
            <w:tcW w:type="dxa" w:w="20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Role-based simulated review record; no signature.</w:t>
            </w:r>
          </w:p>
        </w:tc>
        <w:tc>
          <w:tcPr>
            <w:tcW w:type="dxa" w:w="2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Simulated Reviewed and Approved for Demo/Training Use Only.</w:t>
            </w:r>
          </w:p>
        </w:tc>
      </w:tr>
      <w:tr>
        <w:trPr>
          <w:cantSplit/>
          <w:trHeight w:hRule="auto"/>
          <w:cantSplit/>
        </w:trPr>
        <w:tc>
          <w:tcPr>
            <w:tcW w:type="dxa" w:w="1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Fictional Quality Assurance</w:t>
            </w:r>
          </w:p>
        </w:tc>
        <w:tc>
          <w:tcPr>
            <w:tcW w:type="dxa" w:w="31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Confirms risk-based design controls, traceability and lifecycle limitations for the training package.</w:t>
            </w:r>
          </w:p>
        </w:tc>
        <w:tc>
          <w:tcPr>
            <w:tcW w:type="dxa" w:w="20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Role-based simulated review record; no signature.</w:t>
            </w:r>
          </w:p>
        </w:tc>
        <w:tc>
          <w:tcPr>
            <w:tcW w:type="dxa" w:w="2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Simulated Reviewed and Approved for Demo/Training Use Only.</w:t>
            </w:r>
          </w:p>
        </w:tc>
      </w:tr>
    </w:tbl>
    <w:p>
      <w:pPr>
        <w:spacing w:after="40" w:before="0"/>
      </w:pPr>
    </w:p>
    <w:p>
      <w:pPr>
        <w:pageBreakBefore/>
      </w:pPr>
      <w:r>
        <w:br/>
      </w:r>
    </w:p>
    <w:p>
      <w:pPr>
        <w:pStyle w:val="Heading1"/>
        <w:keepNext/>
        <w:spacing w:before="160" w:after="80" w:line="252" w:lineRule="auto"/>
      </w:pPr>
      <w:r>
        <w:rPr>
          <w:rFonts w:ascii="Calibri" w:hAnsi="Calibri"/>
          <w:b/>
          <w:color w:val="2E74B5"/>
          <w:sz w:val="32"/>
        </w:rPr>
        <w:t>Contents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000"/>
        <w:gridCol w:w="8360"/>
      </w:tblGrid>
      <w:tr>
        <w:trPr>
          <w:trHeight w:hRule="auto"/>
          <w:cantSplit/>
          <w:tblHeader w:val="true"/>
          <w:cantSplit/>
        </w:trPr>
        <w:tc>
          <w:tcPr>
            <w:tcW w:type="dxa" w:w="10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Section</w:t>
            </w:r>
          </w:p>
        </w:tc>
        <w:tc>
          <w:tcPr>
            <w:tcW w:type="dxa" w:w="83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Title</w:t>
            </w:r>
          </w:p>
        </w:tc>
      </w:tr>
      <w:tr>
        <w:trPr>
          <w:cantSplit/>
          <w:trHeight w:hRule="auto"/>
          <w:cantSplit/>
        </w:trPr>
        <w:tc>
          <w:tcPr>
            <w:tcW w:type="dxa" w:w="10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1</w:t>
            </w:r>
          </w:p>
        </w:tc>
        <w:tc>
          <w:tcPr>
            <w:tcW w:type="dxa" w:w="83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Purpose, scope and lifecycle relationship</w:t>
            </w:r>
          </w:p>
        </w:tc>
      </w:tr>
      <w:tr>
        <w:trPr>
          <w:cantSplit/>
          <w:trHeight w:hRule="auto"/>
          <w:cantSplit/>
        </w:trPr>
        <w:tc>
          <w:tcPr>
            <w:tcW w:type="dxa" w:w="10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2</w:t>
            </w:r>
          </w:p>
        </w:tc>
        <w:tc>
          <w:tcPr>
            <w:tcW w:type="dxa" w:w="83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Controlled sources and design basis</w:t>
            </w:r>
          </w:p>
        </w:tc>
      </w:tr>
      <w:tr>
        <w:trPr>
          <w:cantSplit/>
          <w:trHeight w:hRule="auto"/>
          <w:cantSplit/>
        </w:trPr>
        <w:tc>
          <w:tcPr>
            <w:tcW w:type="dxa" w:w="10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3</w:t>
            </w:r>
          </w:p>
        </w:tc>
        <w:tc>
          <w:tcPr>
            <w:tcW w:type="dxa" w:w="83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Architecture and component design</w:t>
            </w:r>
          </w:p>
        </w:tc>
      </w:tr>
      <w:tr>
        <w:trPr>
          <w:cantSplit/>
          <w:trHeight w:hRule="auto"/>
          <w:cantSplit/>
        </w:trPr>
        <w:tc>
          <w:tcPr>
            <w:tcW w:type="dxa" w:w="10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4</w:t>
            </w:r>
          </w:p>
        </w:tc>
        <w:tc>
          <w:tcPr>
            <w:tcW w:type="dxa" w:w="83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Environment and deployment topology</w:t>
            </w:r>
          </w:p>
        </w:tc>
      </w:tr>
      <w:tr>
        <w:trPr>
          <w:cantSplit/>
          <w:trHeight w:hRule="auto"/>
          <w:cantSplit/>
        </w:trPr>
        <w:tc>
          <w:tcPr>
            <w:tcW w:type="dxa" w:w="10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5</w:t>
            </w:r>
          </w:p>
        </w:tc>
        <w:tc>
          <w:tcPr>
            <w:tcW w:type="dxa" w:w="83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Application services, transaction and state design</w:t>
            </w:r>
          </w:p>
        </w:tc>
      </w:tr>
      <w:tr>
        <w:trPr>
          <w:cantSplit/>
          <w:trHeight w:hRule="auto"/>
          <w:cantSplit/>
        </w:trPr>
        <w:tc>
          <w:tcPr>
            <w:tcW w:type="dxa" w:w="10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6</w:t>
            </w:r>
          </w:p>
        </w:tc>
        <w:tc>
          <w:tcPr>
            <w:tcW w:type="dxa" w:w="83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Data model and integrity boundaries</w:t>
            </w:r>
          </w:p>
        </w:tc>
      </w:tr>
      <w:tr>
        <w:trPr>
          <w:cantSplit/>
          <w:trHeight w:hRule="auto"/>
          <w:cantSplit/>
        </w:trPr>
        <w:tc>
          <w:tcPr>
            <w:tcW w:type="dxa" w:w="10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7</w:t>
            </w:r>
          </w:p>
        </w:tc>
        <w:tc>
          <w:tcPr>
            <w:tcW w:type="dxa" w:w="83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Security, electronic signatures and audit evidence</w:t>
            </w:r>
          </w:p>
        </w:tc>
      </w:tr>
      <w:tr>
        <w:trPr>
          <w:cantSplit/>
          <w:trHeight w:hRule="auto"/>
          <w:cantSplit/>
        </w:trPr>
        <w:tc>
          <w:tcPr>
            <w:tcW w:type="dxa" w:w="10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8</w:t>
            </w:r>
          </w:p>
        </w:tc>
        <w:tc>
          <w:tcPr>
            <w:tcW w:type="dxa" w:w="83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Interface technical architecture</w:t>
            </w:r>
          </w:p>
        </w:tc>
      </w:tr>
      <w:tr>
        <w:trPr>
          <w:cantSplit/>
          <w:trHeight w:hRule="auto"/>
          <w:cantSplit/>
        </w:trPr>
        <w:tc>
          <w:tcPr>
            <w:tcW w:type="dxa" w:w="10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9</w:t>
            </w:r>
          </w:p>
        </w:tc>
        <w:tc>
          <w:tcPr>
            <w:tcW w:type="dxa" w:w="83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Reporting and observability</w:t>
            </w:r>
          </w:p>
        </w:tc>
      </w:tr>
      <w:tr>
        <w:trPr>
          <w:cantSplit/>
          <w:trHeight w:hRule="auto"/>
          <w:cantSplit/>
        </w:trPr>
        <w:tc>
          <w:tcPr>
            <w:tcW w:type="dxa" w:w="10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10</w:t>
            </w:r>
          </w:p>
        </w:tc>
        <w:tc>
          <w:tcPr>
            <w:tcW w:type="dxa" w:w="83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Continuity, build, deployment and non-functional design</w:t>
            </w:r>
          </w:p>
        </w:tc>
      </w:tr>
      <w:tr>
        <w:trPr>
          <w:cantSplit/>
          <w:trHeight w:hRule="auto"/>
          <w:cantSplit/>
        </w:trPr>
        <w:tc>
          <w:tcPr>
            <w:tcW w:type="dxa" w:w="10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11</w:t>
            </w:r>
          </w:p>
        </w:tc>
        <w:tc>
          <w:tcPr>
            <w:tcW w:type="dxa" w:w="83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Detailed Design Specification requirements</w:t>
            </w:r>
          </w:p>
        </w:tc>
      </w:tr>
      <w:tr>
        <w:trPr>
          <w:cantSplit/>
          <w:trHeight w:hRule="auto"/>
          <w:cantSplit/>
        </w:trPr>
        <w:tc>
          <w:tcPr>
            <w:tcW w:type="dxa" w:w="10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12</w:t>
            </w:r>
          </w:p>
        </w:tc>
        <w:tc>
          <w:tcPr>
            <w:tcW w:type="dxa" w:w="83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Integration Specification to design allocation</w:t>
            </w:r>
          </w:p>
        </w:tc>
      </w:tr>
      <w:tr>
        <w:trPr>
          <w:cantSplit/>
          <w:trHeight w:hRule="auto"/>
          <w:cantSplit/>
        </w:trPr>
        <w:tc>
          <w:tcPr>
            <w:tcW w:type="dxa" w:w="10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13</w:t>
            </w:r>
          </w:p>
        </w:tc>
        <w:tc>
          <w:tcPr>
            <w:tcW w:type="dxa" w:w="83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Risk-control design realization</w:t>
            </w:r>
          </w:p>
        </w:tc>
      </w:tr>
      <w:tr>
        <w:trPr>
          <w:cantSplit/>
          <w:trHeight w:hRule="auto"/>
          <w:cantSplit/>
        </w:trPr>
        <w:tc>
          <w:tcPr>
            <w:tcW w:type="dxa" w:w="10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14</w:t>
            </w:r>
          </w:p>
        </w:tc>
        <w:tc>
          <w:tcPr>
            <w:tcW w:type="dxa" w:w="83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Live traceability and end-to-end register</w:t>
            </w:r>
          </w:p>
        </w:tc>
      </w:tr>
      <w:tr>
        <w:trPr>
          <w:cantSplit/>
          <w:trHeight w:hRule="auto"/>
          <w:cantSplit/>
        </w:trPr>
        <w:tc>
          <w:tcPr>
            <w:tcW w:type="dxa" w:w="10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15</w:t>
            </w:r>
          </w:p>
        </w:tc>
        <w:tc>
          <w:tcPr>
            <w:tcW w:type="dxa" w:w="83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Assumptions, Verify register and design-quality gate</w:t>
            </w:r>
          </w:p>
        </w:tc>
      </w:tr>
      <w:tr>
        <w:trPr>
          <w:cantSplit/>
          <w:trHeight w:hRule="auto"/>
          <w:cantSplit/>
        </w:trPr>
        <w:tc>
          <w:tcPr>
            <w:tcW w:type="dxa" w:w="10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5"/>
              </w:rPr>
              <w:t>16</w:t>
            </w:r>
          </w:p>
        </w:tc>
        <w:tc>
          <w:tcPr>
            <w:tcW w:type="dxa" w:w="83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Glossary, enclosures and final controlled status</w:t>
            </w:r>
          </w:p>
        </w:tc>
      </w:tr>
    </w:tbl>
    <w:p>
      <w:pPr>
        <w:spacing w:after="40" w:before="0"/>
      </w:pPr>
    </w:p>
    <w:p>
      <w:pPr>
        <w:pStyle w:val="Heading1"/>
        <w:keepNext/>
        <w:spacing w:before="160" w:after="80" w:line="252" w:lineRule="auto"/>
      </w:pPr>
      <w:r>
        <w:rPr>
          <w:rFonts w:ascii="Calibri" w:hAnsi="Calibri"/>
          <w:b/>
          <w:color w:val="2E74B5"/>
          <w:sz w:val="32"/>
        </w:rPr>
        <w:t>Executive summary</w:t>
      </w:r>
    </w:p>
    <w:p>
      <w:pPr>
        <w:keepNext w:val="0"/>
        <w:spacing w:before="0" w:after="80" w:line="252" w:lineRule="auto"/>
      </w:pPr>
      <w:r>
        <w:rPr>
          <w:rFonts w:ascii="Calibri" w:hAnsi="Calibri"/>
          <w:b w:val="0"/>
          <w:i w:val="0"/>
          <w:color w:val="203040"/>
          <w:sz w:val="18"/>
        </w:rPr>
        <w:t>This Design Specification is the controlled technical expansion of NL-MES-FS-001 for the fictional Novo Life MES PAS-X implementation. It defines how the approved functional design is intended to be realised across the established application, database, integration, reporting, identity, time, backup and monitoring components, while deliberately withholding unverified product and infrastructure values.</w:t>
      </w:r>
    </w:p>
    <w:p>
      <w:pPr>
        <w:keepNext w:val="0"/>
        <w:spacing w:before="0" w:after="80" w:line="252" w:lineRule="auto"/>
      </w:pPr>
      <w:r>
        <w:rPr>
          <w:rFonts w:ascii="Calibri" w:hAnsi="Calibri"/>
          <w:b w:val="0"/>
          <w:i w:val="0"/>
          <w:color w:val="203040"/>
          <w:sz w:val="18"/>
        </w:rPr>
        <w:t>The specification creates exactly 50 design elements, DS-MES-001 through DS-MES-050, mapped one-to-one to the 50 FS and 50 URS records. It also allocates all 60 detailed integration requirements and all 26 existing risks to design controls. No implementation, code review, configuration, executed test, defect/deviation, residual-risk acceptance or operational-release evidence is claimed.</w:t>
      </w:r>
    </w:p>
    <w:p>
      <w:pPr>
        <w:keepNext w:val="0"/>
        <w:spacing w:before="80" w:after="80" w:line="240" w:lineRule="auto"/>
        <w:shd w:val="clear" w:color="auto" w:fill="EAF3F8"/>
        <w:pBdr>
          <w:top w:val="single" w:sz="4" w:space="3" w:color="B7C9D8"/>
          <w:left w:val="single" w:sz="4" w:space="3" w:color="B7C9D8"/>
          <w:bottom w:val="single" w:sz="4" w:space="3" w:color="B7C9D8"/>
          <w:right w:val="single" w:sz="4" w:space="3" w:color="B7C9D8"/>
        </w:pBdr>
        <w:ind w:left="120" w:right="120"/>
      </w:pPr>
      <w:r>
        <w:rPr>
          <w:rFonts w:ascii="Calibri" w:hAnsi="Calibri"/>
          <w:b w:val="0"/>
          <w:color w:val="0B2545"/>
          <w:sz w:val="17"/>
        </w:rPr>
        <w:t>Lifecycle position: URS baselined -&gt; ITRA / ITRRA complete as working assessments -&gt; FS, IS and DS designed -&gt; CS, DIA, design review, build/configuration, code review where applicable, verification and operational evidence remain open.</w:t>
      </w:r>
    </w:p>
    <w:p>
      <w:pPr>
        <w:spacing w:after="20"/>
      </w:pPr>
    </w:p>
    <w:p>
      <w:pPr>
        <w:pStyle w:val="Heading1"/>
        <w:keepNext/>
        <w:spacing w:before="160" w:after="80" w:line="252" w:lineRule="auto"/>
      </w:pPr>
      <w:r>
        <w:rPr>
          <w:rFonts w:ascii="Calibri" w:hAnsi="Calibri"/>
          <w:b/>
          <w:color w:val="2E74B5"/>
          <w:sz w:val="32"/>
        </w:rPr>
        <w:t>1 Purpose, scope and lifecycle relationship</w:t>
      </w:r>
    </w:p>
    <w:p>
      <w:pPr>
        <w:pStyle w:val="Heading2"/>
        <w:keepNext/>
        <w:spacing w:before="100" w:after="80" w:line="252" w:lineRule="auto"/>
      </w:pPr>
      <w:r>
        <w:rPr>
          <w:rFonts w:ascii="Calibri" w:hAnsi="Calibri"/>
          <w:b/>
          <w:color w:val="2E74B5"/>
          <w:sz w:val="26"/>
        </w:rPr>
        <w:t>1.1 Purpose</w:t>
      </w:r>
    </w:p>
    <w:p>
      <w:pPr>
        <w:keepNext w:val="0"/>
        <w:spacing w:before="0" w:after="80" w:line="252" w:lineRule="auto"/>
      </w:pPr>
      <w:r>
        <w:rPr>
          <w:rFonts w:ascii="Calibri" w:hAnsi="Calibri"/>
          <w:b w:val="0"/>
          <w:i w:val="0"/>
          <w:color w:val="203040"/>
          <w:sz w:val="18"/>
        </w:rPr>
        <w:t>The purpose of this document is to specify an implementable and verifiable technical design for the planned MES PAS-X solution. It translates each functional requirement into component responsibilities, logical data/state behavior, control boundaries and design-verification focus in accordance with the approved source guidance.</w:t>
      </w:r>
    </w:p>
    <w:p>
      <w:pPr>
        <w:pStyle w:val="Heading2"/>
        <w:keepNext/>
        <w:spacing w:before="100" w:after="80" w:line="252" w:lineRule="auto"/>
      </w:pPr>
      <w:r>
        <w:rPr>
          <w:rFonts w:ascii="Calibri" w:hAnsi="Calibri"/>
          <w:b/>
          <w:color w:val="2E74B5"/>
          <w:sz w:val="26"/>
        </w:rPr>
        <w:t>1.2 Scope</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2300"/>
        <w:gridCol w:w="7060"/>
      </w:tblGrid>
      <w:tr>
        <w:trPr>
          <w:trHeight w:hRule="auto"/>
          <w:cantSplit/>
          <w:tblHeader w:val="true"/>
          <w:cantSplit/>
        </w:trPr>
        <w:tc>
          <w:tcPr>
            <w:tcW w:type="dxa" w:w="23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Scope dimension</w:t>
            </w:r>
          </w:p>
        </w:tc>
        <w:tc>
          <w:tcPr>
            <w:tcW w:type="dxa" w:w="70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Included technical design</w:t>
            </w:r>
          </w:p>
        </w:tc>
      </w:tr>
      <w:tr>
        <w:trPr>
          <w:cantSplit/>
          <w:trHeight w:hRule="auto"/>
          <w:cantSplit/>
        </w:trPr>
        <w:tc>
          <w:tcPr>
            <w:tcW w:type="dxa" w:w="2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System</w:t>
            </w:r>
          </w:p>
        </w:tc>
        <w:tc>
          <w:tcPr>
            <w:tcW w:type="dxa" w:w="70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MES PAS-X application, database, integration and reporting components plus defined dependencies on enterprise identity, time, backup and monitoring services.</w:t>
            </w:r>
          </w:p>
        </w:tc>
      </w:tr>
      <w:tr>
        <w:trPr>
          <w:cantSplit/>
          <w:trHeight w:hRule="auto"/>
          <w:cantSplit/>
        </w:trPr>
        <w:tc>
          <w:tcPr>
            <w:tcW w:type="dxa" w:w="2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Lifecycle</w:t>
            </w:r>
          </w:p>
        </w:tc>
        <w:tc>
          <w:tcPr>
            <w:tcW w:type="dxa" w:w="70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Technical design before configuration/build, final design review and acceptance verification.</w:t>
            </w:r>
          </w:p>
        </w:tc>
      </w:tr>
      <w:tr>
        <w:trPr>
          <w:cantSplit/>
          <w:trHeight w:hRule="auto"/>
          <w:cantSplit/>
        </w:trPr>
        <w:tc>
          <w:tcPr>
            <w:tcW w:type="dxa" w:w="2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Requirements</w:t>
            </w:r>
          </w:p>
        </w:tc>
        <w:tc>
          <w:tcPr>
            <w:tcW w:type="dxa" w:w="70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Exactly URS-MES-001 to 050, FS-MES-001 to 050 and DS-MES-001 to 050.</w:t>
            </w:r>
          </w:p>
        </w:tc>
      </w:tr>
      <w:tr>
        <w:trPr>
          <w:cantSplit/>
          <w:trHeight w:hRule="auto"/>
          <w:cantSplit/>
        </w:trPr>
        <w:tc>
          <w:tcPr>
            <w:tcW w:type="dxa" w:w="2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Interfaces</w:t>
            </w:r>
          </w:p>
        </w:tc>
        <w:tc>
          <w:tcPr>
            <w:tcW w:type="dxa" w:w="70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All 60 INT-MES-* detailed requirements already established in NL-MES-IS-001; no new interface namespace.</w:t>
            </w:r>
          </w:p>
        </w:tc>
      </w:tr>
      <w:tr>
        <w:trPr>
          <w:cantSplit/>
          <w:trHeight w:hRule="auto"/>
          <w:cantSplit/>
        </w:trPr>
        <w:tc>
          <w:tcPr>
            <w:tcW w:type="dxa" w:w="2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Risk</w:t>
            </w:r>
          </w:p>
        </w:tc>
        <w:tc>
          <w:tcPr>
            <w:tcW w:type="dxa" w:w="70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Existing RSK-MES-001 to 026 only; design realization stated, implementation effectiveness and residual risk remain open.</w:t>
            </w:r>
          </w:p>
        </w:tc>
      </w:tr>
      <w:tr>
        <w:trPr>
          <w:cantSplit/>
          <w:trHeight w:hRule="auto"/>
          <w:cantSplit/>
        </w:trPr>
        <w:tc>
          <w:tcPr>
            <w:tcW w:type="dxa" w:w="2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Environments</w:t>
            </w:r>
          </w:p>
        </w:tc>
        <w:tc>
          <w:tcPr>
            <w:tcW w:type="dxa" w:w="70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5"/>
              </w:rPr>
              <w:t>Conceptual DEV/configuration, TEST/VAL, PROD and DR/recovery arrangements without invented hostnames, versions, ports or sizing.</w:t>
            </w:r>
          </w:p>
        </w:tc>
      </w:tr>
    </w:tbl>
    <w:p>
      <w:pPr>
        <w:spacing w:after="40" w:before="0"/>
      </w:pPr>
    </w:p>
    <w:p>
      <w:pPr>
        <w:pStyle w:val="Heading2"/>
        <w:keepNext/>
        <w:spacing w:before="100" w:after="80" w:line="252" w:lineRule="auto"/>
      </w:pPr>
      <w:r>
        <w:rPr>
          <w:rFonts w:ascii="Calibri" w:hAnsi="Calibri"/>
          <w:b/>
          <w:color w:val="2E74B5"/>
          <w:sz w:val="26"/>
        </w:rPr>
        <w:t>1.3 Exclusions and controlled boundaries</w:t>
      </w:r>
    </w:p>
    <w:p>
      <w:pPr>
        <w:pStyle w:val="ListBullet"/>
        <w:keepNext w:val="0"/>
        <w:spacing w:before="0" w:after="40" w:line="252" w:lineRule="auto"/>
      </w:pPr>
      <w:r>
        <w:rPr>
          <w:rFonts w:ascii="Calibri" w:hAnsi="Calibri"/>
          <w:color w:val="203040"/>
          <w:sz w:val="18"/>
        </w:rPr>
        <w:t>Exact PAS-X release/modules, operating system, database, middleware, browser/client, hosting platform, endpoint, protocol, port, firewall, certificate, key, hostname and hardware/capacity values.</w:t>
      </w:r>
    </w:p>
    <w:p>
      <w:pPr>
        <w:pStyle w:val="ListBullet"/>
        <w:keepNext w:val="0"/>
        <w:spacing w:before="0" w:after="40" w:line="252" w:lineRule="auto"/>
      </w:pPr>
      <w:r>
        <w:rPr>
          <w:rFonts w:ascii="Calibri" w:hAnsi="Calibri"/>
          <w:color w:val="203040"/>
          <w:sz w:val="18"/>
        </w:rPr>
        <w:t>Configuration parameter values and screen/recipe/workflow objects that belong in NL-MES-CS-001.</w:t>
      </w:r>
    </w:p>
    <w:p>
      <w:pPr>
        <w:pStyle w:val="ListBullet"/>
        <w:keepNext w:val="0"/>
        <w:spacing w:before="0" w:after="40" w:line="252" w:lineRule="auto"/>
      </w:pPr>
      <w:r>
        <w:rPr>
          <w:rFonts w:ascii="Calibri" w:hAnsi="Calibri"/>
          <w:color w:val="203040"/>
          <w:sz w:val="18"/>
        </w:rPr>
        <w:t>Physical data inventory and privacy classification that belong in NL-MES-DIA-001 and related assessments.</w:t>
      </w:r>
    </w:p>
    <w:p>
      <w:pPr>
        <w:pStyle w:val="ListBullet"/>
        <w:keepNext w:val="0"/>
        <w:spacing w:before="0" w:after="40" w:line="252" w:lineRule="auto"/>
      </w:pPr>
      <w:r>
        <w:rPr>
          <w:rFonts w:ascii="Calibri" w:hAnsi="Calibri"/>
          <w:color w:val="203040"/>
          <w:sz w:val="18"/>
        </w:rPr>
        <w:t>Actual source-code objects, repository paths, method names or unit specifications until the implementation strategy and software-category decisions are confirmed.</w:t>
      </w:r>
    </w:p>
    <w:p>
      <w:pPr>
        <w:pStyle w:val="ListBullet"/>
        <w:keepNext w:val="0"/>
        <w:spacing w:before="0" w:after="40" w:line="252" w:lineRule="auto"/>
      </w:pPr>
      <w:r>
        <w:rPr>
          <w:rFonts w:ascii="Calibri" w:hAnsi="Calibri"/>
          <w:color w:val="203040"/>
          <w:sz w:val="18"/>
        </w:rPr>
        <w:t>Executed design review, code review, supplier acceptance, test, deviation/defect, release, disaster-recovery or operational evidence.</w:t>
      </w:r>
    </w:p>
    <w:p>
      <w:pPr>
        <w:pStyle w:val="Heading2"/>
        <w:keepNext/>
        <w:spacing w:before="100" w:after="80" w:line="252" w:lineRule="auto"/>
      </w:pPr>
      <w:r>
        <w:rPr>
          <w:rFonts w:ascii="Calibri" w:hAnsi="Calibri"/>
          <w:b/>
          <w:color w:val="2E74B5"/>
          <w:sz w:val="26"/>
        </w:rPr>
        <w:t>1.4 Lifecycle and document relationships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650"/>
        <w:gridCol w:w="2450"/>
        <w:gridCol w:w="5260"/>
      </w:tblGrid>
      <w:tr>
        <w:trPr>
          <w:trHeight w:hRule="auto"/>
          <w:cantSplit/>
          <w:tblHeader w:val="true"/>
          <w:cantSplit/>
        </w:trPr>
        <w:tc>
          <w:tcPr>
            <w:tcW w:type="dxa" w:w="16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Relationship</w:t>
            </w:r>
          </w:p>
        </w:tc>
        <w:tc>
          <w:tcPr>
            <w:tcW w:type="dxa" w:w="24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Controlled document / record</w:t>
            </w:r>
          </w:p>
        </w:tc>
        <w:tc>
          <w:tcPr>
            <w:tcW w:type="dxa" w:w="52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Design relationship</w:t>
            </w:r>
          </w:p>
        </w:tc>
      </w:tr>
      <w:tr>
        <w:trPr>
          <w:cantSplit/>
          <w:trHeight w:hRule="auto"/>
          <w:cantSplit/>
        </w:trPr>
        <w:tc>
          <w:tcPr>
            <w:tcW w:type="dxa" w:w="16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Governing plan</w:t>
            </w:r>
          </w:p>
        </w:tc>
        <w:tc>
          <w:tcPr>
            <w:tcW w:type="dxa" w:w="24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NL-MES-MLGP-001</w:t>
            </w:r>
          </w:p>
        </w:tc>
        <w:tc>
          <w:tcPr>
            <w:tcW w:type="dxa" w:w="5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Controls sequence, identifiers, roles, quality gates and one-document-at-a-time generation.</w:t>
            </w:r>
          </w:p>
        </w:tc>
      </w:tr>
      <w:tr>
        <w:trPr>
          <w:cantSplit/>
          <w:trHeight w:hRule="auto"/>
          <w:cantSplit/>
        </w:trPr>
        <w:tc>
          <w:tcPr>
            <w:tcW w:type="dxa" w:w="16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System baseline</w:t>
            </w:r>
          </w:p>
        </w:tc>
        <w:tc>
          <w:tcPr>
            <w:tcW w:type="dxa" w:w="24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NL-MES-SYS-001</w:t>
            </w:r>
          </w:p>
        </w:tc>
        <w:tc>
          <w:tcPr>
            <w:tcW w:type="dxa" w:w="5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Provides intended use, logical architecture, 8-component register and environment model.</w:t>
            </w:r>
          </w:p>
        </w:tc>
      </w:tr>
      <w:tr>
        <w:trPr>
          <w:cantSplit/>
          <w:trHeight w:hRule="auto"/>
          <w:cantSplit/>
        </w:trPr>
        <w:tc>
          <w:tcPr>
            <w:tcW w:type="dxa" w:w="16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Implementation plan</w:t>
            </w:r>
          </w:p>
        </w:tc>
        <w:tc>
          <w:tcPr>
            <w:tcW w:type="dxa" w:w="24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NL-MES-IPLAN-001</w:t>
            </w:r>
          </w:p>
        </w:tc>
        <w:tc>
          <w:tcPr>
            <w:tcW w:type="dxa" w:w="5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Defines lifecycle strategy, software-category verification, design review and promotion/verification gates.</w:t>
            </w:r>
          </w:p>
        </w:tc>
      </w:tr>
      <w:tr>
        <w:trPr>
          <w:cantSplit/>
          <w:trHeight w:hRule="auto"/>
          <w:cantSplit/>
        </w:trPr>
        <w:tc>
          <w:tcPr>
            <w:tcW w:type="dxa" w:w="16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Requirements</w:t>
            </w:r>
          </w:p>
        </w:tc>
        <w:tc>
          <w:tcPr>
            <w:tcW w:type="dxa" w:w="24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NL-MES-URS-001</w:t>
            </w:r>
          </w:p>
        </w:tc>
        <w:tc>
          <w:tcPr>
            <w:tcW w:type="dxa" w:w="5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Provides exactly 50 GxP user requirements and initial trace fields.</w:t>
            </w:r>
          </w:p>
        </w:tc>
      </w:tr>
      <w:tr>
        <w:trPr>
          <w:cantSplit/>
          <w:trHeight w:hRule="auto"/>
          <w:cantSplit/>
        </w:trPr>
        <w:tc>
          <w:tcPr>
            <w:tcW w:type="dxa" w:w="16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Risk</w:t>
            </w:r>
          </w:p>
        </w:tc>
        <w:tc>
          <w:tcPr>
            <w:tcW w:type="dxa" w:w="24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NL-MES-ITRA-001 / NL-MES-ITRRA-001</w:t>
            </w:r>
          </w:p>
        </w:tc>
        <w:tc>
          <w:tcPr>
            <w:tcW w:type="dxa" w:w="5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Provides the shared 26-risk register and 49 Working High / 1 Working Medium requirement assessment.</w:t>
            </w:r>
          </w:p>
        </w:tc>
      </w:tr>
      <w:tr>
        <w:trPr>
          <w:cantSplit/>
          <w:trHeight w:hRule="auto"/>
          <w:cantSplit/>
        </w:trPr>
        <w:tc>
          <w:tcPr>
            <w:tcW w:type="dxa" w:w="16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Functional design</w:t>
            </w:r>
          </w:p>
        </w:tc>
        <w:tc>
          <w:tcPr>
            <w:tcW w:type="dxa" w:w="24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NL-MES-FS-001</w:t>
            </w:r>
          </w:p>
        </w:tc>
        <w:tc>
          <w:tcPr>
            <w:tcW w:type="dxa" w:w="5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Provides exactly 50 functional design requirements expanded technically here.</w:t>
            </w:r>
          </w:p>
        </w:tc>
      </w:tr>
      <w:tr>
        <w:trPr>
          <w:cantSplit/>
          <w:trHeight w:hRule="auto"/>
          <w:cantSplit/>
        </w:trPr>
        <w:tc>
          <w:tcPr>
            <w:tcW w:type="dxa" w:w="16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Integration design</w:t>
            </w:r>
          </w:p>
        </w:tc>
        <w:tc>
          <w:tcPr>
            <w:tcW w:type="dxa" w:w="24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NL-MES-IS-001</w:t>
            </w:r>
          </w:p>
        </w:tc>
        <w:tc>
          <w:tcPr>
            <w:tcW w:type="dxa" w:w="5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Provides 60 detailed interface requirements across 7 established families, allocated here without redefinition.</w:t>
            </w:r>
          </w:p>
        </w:tc>
      </w:tr>
      <w:tr>
        <w:trPr>
          <w:cantSplit/>
          <w:trHeight w:hRule="auto"/>
          <w:cantSplit/>
        </w:trPr>
        <w:tc>
          <w:tcPr>
            <w:tcW w:type="dxa" w:w="16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Downstream</w:t>
            </w:r>
          </w:p>
        </w:tc>
        <w:tc>
          <w:tcPr>
            <w:tcW w:type="dxa" w:w="24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NL-MES-CS-001 and later lifecycle records</w:t>
            </w:r>
          </w:p>
        </w:tc>
        <w:tc>
          <w:tcPr>
            <w:tcW w:type="dxa" w:w="5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Will define approved configuration, data inventory/assessment, review/build/test and maintained-state evidence.</w:t>
            </w:r>
          </w:p>
        </w:tc>
      </w:tr>
    </w:tbl>
    <w:p>
      <w:pPr>
        <w:spacing w:after="40" w:before="0"/>
      </w:pPr>
    </w:p>
    <w:p>
      <w:pPr>
        <w:pStyle w:val="Heading1"/>
        <w:keepNext/>
        <w:spacing w:before="160" w:after="80" w:line="252" w:lineRule="auto"/>
      </w:pPr>
      <w:r>
        <w:rPr>
          <w:rFonts w:ascii="Calibri" w:hAnsi="Calibri"/>
          <w:b/>
          <w:color w:val="2E74B5"/>
          <w:sz w:val="32"/>
        </w:rPr>
        <w:t>2 Controlled sources and design basis</w:t>
      </w:r>
    </w:p>
    <w:p>
      <w:pPr>
        <w:pStyle w:val="Heading2"/>
        <w:keepNext/>
        <w:spacing w:before="100" w:after="80" w:line="252" w:lineRule="auto"/>
      </w:pPr>
      <w:r>
        <w:rPr>
          <w:rFonts w:ascii="Calibri" w:hAnsi="Calibri"/>
          <w:b/>
          <w:color w:val="2E74B5"/>
          <w:sz w:val="26"/>
        </w:rPr>
        <w:t>2.1 Source selection and visible control metadata</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900"/>
        <w:gridCol w:w="2350"/>
        <w:gridCol w:w="2600"/>
        <w:gridCol w:w="3510"/>
      </w:tblGrid>
      <w:tr>
        <w:trPr>
          <w:trHeight w:hRule="auto"/>
          <w:cantSplit/>
          <w:tblHeader w:val="true"/>
          <w:cantSplit/>
        </w:trPr>
        <w:tc>
          <w:tcPr>
            <w:tcW w:type="dxa" w:w="9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Ref.</w:t>
            </w:r>
          </w:p>
        </w:tc>
        <w:tc>
          <w:tcPr>
            <w:tcW w:type="dxa" w:w="23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Controlled source</w:t>
            </w:r>
          </w:p>
        </w:tc>
        <w:tc>
          <w:tcPr>
            <w:tcW w:type="dxa" w:w="2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Visible control information</w:t>
            </w:r>
          </w:p>
        </w:tc>
        <w:tc>
          <w:tcPr>
            <w:tcW w:type="dxa" w:w="35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Application in this DS</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Q0803993</w:t>
            </w:r>
          </w:p>
        </w:tc>
        <w:tc>
          <w:tcPr>
            <w:tcW w:type="dxa" w:w="23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IT Functional/Design Specification Template</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 2.0; Status Approved; approval tasks 12 Nov 2025; visible Approved Date field blank</w:t>
            </w:r>
          </w:p>
        </w:tc>
        <w:tc>
          <w:tcPr>
            <w:tcW w:type="dxa" w:w="35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Primary DS content structure: unique/verifiable design requirements, network/data flow and URS-FS-DS traceability.</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Q0723392</w:t>
            </w:r>
          </w:p>
        </w:tc>
        <w:tc>
          <w:tcPr>
            <w:tcW w:type="dxa" w:w="23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Design and development of IT solutions</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 1.0; Status Approved; Approved Date 28 Aug 2025</w:t>
            </w:r>
          </w:p>
        </w:tc>
        <w:tc>
          <w:tcPr>
            <w:tcW w:type="dxa" w:w="35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SW category 4/5 scaling, architecture/component/interface design, critical parameters, access/security/data-integrity controls, input validation, traceability, final design review and risk-based code review.</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Q0749711</w:t>
            </w:r>
          </w:p>
        </w:tc>
        <w:tc>
          <w:tcPr>
            <w:tcW w:type="dxa" w:w="23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Design review for IT solutions</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 1.0; Status Approved; Approved Date 18 May 2022</w:t>
            </w:r>
          </w:p>
        </w:tc>
        <w:tc>
          <w:tcPr>
            <w:tcW w:type="dxa" w:w="35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Design completeness, correctness, consistency, unambiguity, feasibility, maintainability, URS fulfilment, interfaces, traceability and risk controls.</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Q0873805</w:t>
            </w:r>
          </w:p>
        </w:tc>
        <w:tc>
          <w:tcPr>
            <w:tcW w:type="dxa" w:w="23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Manage IT interfaces</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 1.0; Status Approved; Approved Date 03 Apr 2024</w:t>
            </w:r>
          </w:p>
        </w:tc>
        <w:tc>
          <w:tcPr>
            <w:tcW w:type="dxa" w:w="35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Interface ownership, reuse, design, testing, operation, change, recovery and retirement.</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Q204010</w:t>
            </w:r>
          </w:p>
        </w:tc>
        <w:tc>
          <w:tcPr>
            <w:tcW w:type="dxa" w:w="23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Manage data integrity in IT solutions</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 8.0; supplied training copy; approval 12 Jun 2026; proposed effective 25 Jun 2026</w:t>
            </w:r>
          </w:p>
        </w:tc>
        <w:tc>
          <w:tcPr>
            <w:tcW w:type="dxa" w:w="35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ALCOA+, data lifecycle, auditability, transfer/migration and integrity-control design input; applicability/status remains controlled Verify.</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Q187655</w:t>
            </w:r>
          </w:p>
        </w:tc>
        <w:tc>
          <w:tcPr>
            <w:tcW w:type="dxa" w:w="23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Manage Information Security in IT Solutions</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 3.0; Effective 02 Oct 2023</w:t>
            </w:r>
          </w:p>
        </w:tc>
        <w:tc>
          <w:tcPr>
            <w:tcW w:type="dxa" w:w="35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Security architecture, access, vulnerability and protected information design input.</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Q0355420</w:t>
            </w:r>
          </w:p>
        </w:tc>
        <w:tc>
          <w:tcPr>
            <w:tcW w:type="dxa" w:w="23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Manage users of IT solutions</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 7.0; Approved 18 Nov 2025</w:t>
            </w:r>
          </w:p>
        </w:tc>
        <w:tc>
          <w:tcPr>
            <w:tcW w:type="dxa" w:w="35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Identity, roles, account lifecycle, privilege and access-review design input.</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Q0726202</w:t>
            </w:r>
          </w:p>
        </w:tc>
        <w:tc>
          <w:tcPr>
            <w:tcW w:type="dxa" w:w="23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Preparing an IT traceability matrix (TRM)</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 1.0; Approved 03 Jan 2022</w:t>
            </w:r>
          </w:p>
        </w:tc>
        <w:tc>
          <w:tcPr>
            <w:tcW w:type="dxa" w:w="35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Live forward/backward traceability and controlled status population.</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Q0707384</w:t>
            </w:r>
          </w:p>
        </w:tc>
        <w:tc>
          <w:tcPr>
            <w:tcW w:type="dxa" w:w="23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IT software development lifecycle (SDLC)</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 7.0; Approved 18 Aug 2025</w:t>
            </w:r>
          </w:p>
        </w:tc>
        <w:tc>
          <w:tcPr>
            <w:tcW w:type="dxa" w:w="35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FS/DS separation, development consistency and design review before acceptance verification.</w:t>
            </w:r>
          </w:p>
        </w:tc>
      </w:tr>
    </w:tbl>
    <w:p>
      <w:pPr>
        <w:spacing w:after="40" w:before="0"/>
      </w:pPr>
    </w:p>
    <w:p>
      <w:pPr>
        <w:pStyle w:val="Heading2"/>
        <w:keepNext/>
        <w:spacing w:before="100" w:after="80" w:line="252" w:lineRule="auto"/>
      </w:pPr>
      <w:r>
        <w:rPr>
          <w:rFonts w:ascii="Calibri" w:hAnsi="Calibri"/>
          <w:b/>
          <w:color w:val="2E74B5"/>
          <w:sz w:val="26"/>
        </w:rPr>
        <w:t>2.2 Template and design-detail decision</w:t>
      </w:r>
    </w:p>
    <w:p>
      <w:pPr>
        <w:keepNext w:val="0"/>
        <w:spacing w:before="0" w:after="80" w:line="252" w:lineRule="auto"/>
      </w:pPr>
      <w:r>
        <w:rPr>
          <w:rFonts w:ascii="Calibri" w:hAnsi="Calibri"/>
          <w:b w:val="0"/>
          <w:i w:val="0"/>
          <w:color w:val="203040"/>
          <w:sz w:val="18"/>
        </w:rPr>
        <w:t>A dedicated generic Design Specification template was not present in the user-specified 'NN SOPs from QD' folder. Q0803993 explicitly supports use as either FS or DS and defines a DS as the detailed technical expansion of the FS. The similarly named templates located by broad SharePoint search outside the supplied folder were not used as controlled sources for this document.</w:t>
      </w:r>
    </w:p>
    <w:p>
      <w:pPr>
        <w:keepNext w:val="0"/>
        <w:spacing w:before="80" w:after="80" w:line="240" w:lineRule="auto"/>
        <w:shd w:val="clear" w:color="auto" w:fill="EAF3F8"/>
        <w:pBdr>
          <w:top w:val="single" w:sz="4" w:space="3" w:color="B7C9D8"/>
          <w:left w:val="single" w:sz="4" w:space="3" w:color="B7C9D8"/>
          <w:bottom w:val="single" w:sz="4" w:space="3" w:color="B7C9D8"/>
          <w:right w:val="single" w:sz="4" w:space="3" w:color="B7C9D8"/>
        </w:pBdr>
        <w:ind w:left="120" w:right="120"/>
      </w:pPr>
      <w:r>
        <w:rPr>
          <w:rFonts w:ascii="Calibri" w:hAnsi="Calibri"/>
          <w:b w:val="0"/>
          <w:color w:val="0B2545"/>
          <w:sz w:val="17"/>
        </w:rPr>
        <w:t>Design-authority rule: Q0803993 governs DS content structure; Q0723392 and Q0749711 govern technical completeness and review readiness; the retained NL-MES-MLGP-001 package governs visual presentation only.</w:t>
      </w:r>
    </w:p>
    <w:p>
      <w:pPr>
        <w:spacing w:after="20"/>
      </w:pPr>
    </w:p>
    <w:p>
      <w:pPr>
        <w:pStyle w:val="Heading1"/>
        <w:keepNext/>
        <w:spacing w:before="160" w:after="80" w:line="252" w:lineRule="auto"/>
      </w:pPr>
      <w:r>
        <w:rPr>
          <w:rFonts w:ascii="Calibri" w:hAnsi="Calibri"/>
          <w:b/>
          <w:color w:val="2E74B5"/>
          <w:sz w:val="32"/>
        </w:rPr>
        <w:t>3 Architecture and component design</w:t>
      </w:r>
    </w:p>
    <w:p>
      <w:pPr>
        <w:pStyle w:val="Heading2"/>
        <w:keepNext/>
        <w:spacing w:before="100" w:after="80" w:line="252" w:lineRule="auto"/>
      </w:pPr>
      <w:r>
        <w:rPr>
          <w:rFonts w:ascii="Calibri" w:hAnsi="Calibri"/>
          <w:b/>
          <w:color w:val="2E74B5"/>
          <w:sz w:val="26"/>
        </w:rPr>
        <w:t>3.1 Logical architecture</w:t>
      </w:r>
    </w:p>
    <w:p>
      <w:pPr>
        <w:keepNext w:val="0"/>
        <w:spacing w:before="80" w:after="80" w:line="240" w:lineRule="auto"/>
        <w:shd w:val="clear" w:color="auto" w:fill="EAF3F8"/>
        <w:pBdr>
          <w:top w:val="single" w:sz="4" w:space="3" w:color="B7C9D8"/>
          <w:left w:val="single" w:sz="4" w:space="3" w:color="B7C9D8"/>
          <w:bottom w:val="single" w:sz="4" w:space="3" w:color="B7C9D8"/>
          <w:right w:val="single" w:sz="4" w:space="3" w:color="B7C9D8"/>
        </w:pBdr>
        <w:ind w:left="120" w:right="120"/>
      </w:pPr>
      <w:r>
        <w:rPr>
          <w:rFonts w:ascii="Calibri" w:hAnsi="Calibri"/>
          <w:b w:val="0"/>
          <w:color w:val="0B2545"/>
          <w:sz w:val="17"/>
        </w:rPr>
        <w:t>Conceptual architecture: authorised clients -&gt; MES application services -&gt; governed database and reporting services; enterprise systems/services &lt;-&gt; integration control plane &lt;-&gt; MES; identity, time, backup and monitoring provide shared controls. This is a logical design and does not assert physical topology or selected technology.</w:t>
      </w:r>
    </w:p>
    <w:p>
      <w:pPr>
        <w:spacing w:after="20"/>
      </w:pP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500"/>
        <w:gridCol w:w="3000"/>
        <w:gridCol w:w="2200"/>
        <w:gridCol w:w="2660"/>
      </w:tblGrid>
      <w:tr>
        <w:trPr>
          <w:trHeight w:hRule="auto"/>
          <w:cantSplit/>
          <w:tblHeader w:val="true"/>
          <w:cantSplit/>
        </w:trPr>
        <w:tc>
          <w:tcPr>
            <w:tcW w:type="dxa" w:w="15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Layer</w:t>
            </w:r>
          </w:p>
        </w:tc>
        <w:tc>
          <w:tcPr>
            <w:tcW w:type="dxa" w:w="30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Logical responsibility</w:t>
            </w:r>
          </w:p>
        </w:tc>
        <w:tc>
          <w:tcPr>
            <w:tcW w:type="dxa" w:w="22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Primary components</w:t>
            </w:r>
          </w:p>
        </w:tc>
        <w:tc>
          <w:tcPr>
            <w:tcW w:type="dxa" w:w="26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Boundary / failure principle</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User interaction</w:t>
            </w:r>
          </w:p>
        </w:tc>
        <w:tc>
          <w:tcPr>
            <w:tcW w:type="dxa" w:w="3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Operator, supervisor, quality review, administration and support interactions with server-side enforcement.</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w:t>
            </w:r>
          </w:p>
        </w:tc>
        <w:tc>
          <w:tcPr>
            <w:tcW w:type="dxa" w:w="26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Client visibility is not authorisation; stale or unavailable state is explicit.</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Application services</w:t>
            </w:r>
          </w:p>
        </w:tc>
        <w:tc>
          <w:tcPr>
            <w:tcW w:type="dxa" w:w="3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Execution state, EBR, exception, signature, audit orchestration and controlled workflow services.</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w:t>
            </w:r>
          </w:p>
        </w:tc>
        <w:tc>
          <w:tcPr>
            <w:tcW w:type="dxa" w:w="26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Stateless/stateful allocation and product modules Verify; business commits are atomic.</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Data services</w:t>
            </w:r>
          </w:p>
        </w:tc>
        <w:tc>
          <w:tcPr>
            <w:tcW w:type="dxa" w:w="3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Transactional GxP data, audit/signature linkage, integration state and report-read models.</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CMP-MES-DB-001</w:t>
            </w:r>
          </w:p>
        </w:tc>
        <w:tc>
          <w:tcPr>
            <w:tcW w:type="dxa" w:w="26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Referential integrity, concurrency and recoverability are enforced centrally.</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Integration control plane</w:t>
            </w:r>
          </w:p>
        </w:tc>
        <w:tc>
          <w:tcPr>
            <w:tcW w:type="dxa" w:w="3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Contract validation, mapping/versioning, correlation, queues, acknowledgement, reconciliation and monitoring.</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w:t>
            </w:r>
          </w:p>
        </w:tc>
        <w:tc>
          <w:tcPr>
            <w:tcW w:type="dxa" w:w="26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No uncertain state is treated as business success; families retain owners.</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Reporting</w:t>
            </w:r>
          </w:p>
        </w:tc>
        <w:tc>
          <w:tcPr>
            <w:tcW w:type="dxa" w:w="3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Governed operational/quality views, controlled exports and provenance.</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CMP-MES-REP-001</w:t>
            </w:r>
          </w:p>
        </w:tc>
        <w:tc>
          <w:tcPr>
            <w:tcW w:type="dxa" w:w="26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Read models expose as-of/provenance and drill back to governed sources.</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Enterprise controls</w:t>
            </w:r>
          </w:p>
        </w:tc>
        <w:tc>
          <w:tcPr>
            <w:tcW w:type="dxa" w:w="3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Identity, authoritative time, backup/recovery and monitoring services.</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CMP-ENT-IAM-001; CMP-ENT-TIME-001; CMP-ENT-BCK-001; CMP-ENT-MON-001</w:t>
            </w:r>
          </w:p>
        </w:tc>
        <w:tc>
          <w:tcPr>
            <w:tcW w:type="dxa" w:w="26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Dependency loss produces fail-closed, safe degraded or visible delayed behavior as designed.</w:t>
            </w:r>
          </w:p>
        </w:tc>
      </w:tr>
    </w:tbl>
    <w:p>
      <w:pPr>
        <w:spacing w:after="40" w:before="0"/>
      </w:pPr>
    </w:p>
    <w:p>
      <w:pPr>
        <w:pStyle w:val="Heading2"/>
        <w:keepNext/>
        <w:spacing w:before="100" w:after="80" w:line="252" w:lineRule="auto"/>
      </w:pPr>
      <w:r>
        <w:rPr>
          <w:rFonts w:ascii="Calibri" w:hAnsi="Calibri"/>
          <w:b/>
          <w:color w:val="2E74B5"/>
          <w:sz w:val="26"/>
        </w:rPr>
        <w:t>3.2 Component responsibility register</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500"/>
        <w:gridCol w:w="1800"/>
        <w:gridCol w:w="3600"/>
        <w:gridCol w:w="2460"/>
      </w:tblGrid>
      <w:tr>
        <w:trPr>
          <w:trHeight w:hRule="auto"/>
          <w:cantSplit/>
          <w:tblHeader w:val="true"/>
          <w:cantSplit/>
        </w:trPr>
        <w:tc>
          <w:tcPr>
            <w:tcW w:type="dxa" w:w="15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Component ID</w:t>
            </w:r>
          </w:p>
        </w:tc>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Component / service</w:t>
            </w:r>
          </w:p>
        </w:tc>
        <w:tc>
          <w:tcPr>
            <w:tcW w:type="dxa" w:w="3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Design responsibility</w:t>
            </w:r>
          </w:p>
        </w:tc>
        <w:tc>
          <w:tcPr>
            <w:tcW w:type="dxa" w:w="24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Open technical detail</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PAS-X application services</w:t>
            </w:r>
          </w:p>
        </w:tc>
        <w:tc>
          <w:tcPr>
            <w:tcW w:type="dxa" w:w="3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Execution, EBR, review, signatures, audit presentation, controlled actions and service APIs.</w:t>
            </w:r>
          </w:p>
        </w:tc>
        <w:tc>
          <w:tcPr>
            <w:tcW w:type="dxa" w:w="24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Selected modules/release, service decomposition and customisation level Verify.</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CMP-MES-DB-001</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MES database services</w:t>
            </w:r>
          </w:p>
        </w:tc>
        <w:tc>
          <w:tcPr>
            <w:tcW w:type="dxa" w:w="3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Transactional records, relationships, concurrency, retention, audit/signature and integration persistence.</w:t>
            </w:r>
          </w:p>
        </w:tc>
        <w:tc>
          <w:tcPr>
            <w:tcW w:type="dxa" w:w="24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Database product/version, schema, HA and maintenance design Verify.</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MES integration services</w:t>
            </w:r>
          </w:p>
        </w:tc>
        <w:tc>
          <w:tcPr>
            <w:tcW w:type="dxa" w:w="3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 7 interface families and 60 IS controls; shared state, queues, mapping, security, reconciliation and recovery.</w:t>
            </w:r>
          </w:p>
        </w:tc>
        <w:tc>
          <w:tcPr>
            <w:tcW w:type="dxa" w:w="24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Platform, adapters, protocols, endpoints, ports and certificates Verify.</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CMP-MES-REP-001</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MES reporting services</w:t>
            </w:r>
          </w:p>
        </w:tc>
        <w:tc>
          <w:tcPr>
            <w:tcW w:type="dxa" w:w="3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Operational/quality/reconciliation views, controlled copies/exports and provenance.</w:t>
            </w:r>
          </w:p>
        </w:tc>
        <w:tc>
          <w:tcPr>
            <w:tcW w:type="dxa" w:w="24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Reporting product, refresh, caching and format catalogue Verify.</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CMP-ENT-IAM-001</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Enterprise identity/access service</w:t>
            </w:r>
          </w:p>
        </w:tc>
        <w:tc>
          <w:tcPr>
            <w:tcW w:type="dxa" w:w="3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Authentication, subject attributes, entitlement source and identity lifecycle events.</w:t>
            </w:r>
          </w:p>
        </w:tc>
        <w:tc>
          <w:tcPr>
            <w:tcW w:type="dxa" w:w="24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SSO/MFA mechanism, directory objects and availability target Verify.</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CMP-ENT-TIME-001</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Enterprise time service</w:t>
            </w:r>
          </w:p>
        </w:tc>
        <w:tc>
          <w:tcPr>
            <w:tcW w:type="dxa" w:w="3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Authoritative time distribution, drift visibility and recovery of synchronisation.</w:t>
            </w:r>
          </w:p>
        </w:tc>
        <w:tc>
          <w:tcPr>
            <w:tcW w:type="dxa" w:w="24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Source, hierarchy, tolerance and monitoring threshold Verify.</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CMP-ENT-BCK-001</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Enterprise backup/recovery service</w:t>
            </w:r>
          </w:p>
        </w:tc>
        <w:tc>
          <w:tcPr>
            <w:tcW w:type="dxa" w:w="3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Protected-object policies, backup jobs, restore media/process and evidence.</w:t>
            </w:r>
          </w:p>
        </w:tc>
        <w:tc>
          <w:tcPr>
            <w:tcW w:type="dxa" w:w="24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Product, schedule, retention, encryption, RPO/RTO and restore design Verify.</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CMP-ENT-MON-001</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Enterprise monitoring/alerting service</w:t>
            </w:r>
          </w:p>
        </w:tc>
        <w:tc>
          <w:tcPr>
            <w:tcW w:type="dxa" w:w="3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Health/security/capacity/backup/interface/time events, routing, escalation and evidence.</w:t>
            </w:r>
          </w:p>
        </w:tc>
        <w:tc>
          <w:tcPr>
            <w:tcW w:type="dxa" w:w="24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Tool, thresholds, recipients, on-call workflow and retention Verify.</w:t>
            </w:r>
          </w:p>
        </w:tc>
      </w:tr>
    </w:tbl>
    <w:p>
      <w:pPr>
        <w:spacing w:after="40" w:before="0"/>
      </w:pPr>
    </w:p>
    <w:p>
      <w:pPr>
        <w:pStyle w:val="Heading2"/>
        <w:keepNext/>
        <w:spacing w:before="100" w:after="80" w:line="252" w:lineRule="auto"/>
      </w:pPr>
      <w:r>
        <w:rPr>
          <w:rFonts w:ascii="Calibri" w:hAnsi="Calibri"/>
          <w:b/>
          <w:color w:val="2E74B5"/>
          <w:sz w:val="26"/>
        </w:rPr>
        <w:t>3.3 Relationships and trust boundaries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950"/>
        <w:gridCol w:w="3300"/>
        <w:gridCol w:w="4110"/>
      </w:tblGrid>
      <w:tr>
        <w:trPr>
          <w:trHeight w:hRule="auto"/>
          <w:cantSplit/>
          <w:tblHeader w:val="true"/>
          <w:cantSplit/>
        </w:trPr>
        <w:tc>
          <w:tcPr>
            <w:tcW w:type="dxa" w:w="19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Boundary</w:t>
            </w:r>
          </w:p>
        </w:tc>
        <w:tc>
          <w:tcPr>
            <w:tcW w:type="dxa" w:w="33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Permitted relationship</w:t>
            </w:r>
          </w:p>
        </w:tc>
        <w:tc>
          <w:tcPr>
            <w:tcW w:type="dxa" w:w="41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Required design control</w:t>
            </w:r>
          </w:p>
        </w:tc>
      </w:tr>
      <w:tr>
        <w:trPr>
          <w:cantSplit/>
          <w:trHeight w:hRule="auto"/>
          <w:cantSplit/>
        </w:trPr>
        <w:tc>
          <w:tcPr>
            <w:tcW w:type="dxa" w:w="19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Client to application</w:t>
            </w:r>
          </w:p>
        </w:tc>
        <w:tc>
          <w:tcPr>
            <w:tcW w:type="dxa" w:w="3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Authenticated interactive session to approved MES functions.</w:t>
            </w:r>
          </w:p>
        </w:tc>
        <w:tc>
          <w:tcPr>
            <w:tcW w:type="dxa" w:w="41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Identity mapping, TLS/trust Verify, server-side RBAC, session control, input validation and audit.</w:t>
            </w:r>
          </w:p>
        </w:tc>
      </w:tr>
      <w:tr>
        <w:trPr>
          <w:cantSplit/>
          <w:trHeight w:hRule="auto"/>
          <w:cantSplit/>
        </w:trPr>
        <w:tc>
          <w:tcPr>
            <w:tcW w:type="dxa" w:w="19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Application to database</w:t>
            </w:r>
          </w:p>
        </w:tc>
        <w:tc>
          <w:tcPr>
            <w:tcW w:type="dxa" w:w="3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Dedicated application/service identity to governed transactional services.</w:t>
            </w:r>
          </w:p>
        </w:tc>
        <w:tc>
          <w:tcPr>
            <w:tcW w:type="dxa" w:w="41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Least privilege, prepared/validated data access, transaction control, monitoring and no direct business-user write.</w:t>
            </w:r>
          </w:p>
        </w:tc>
      </w:tr>
      <w:tr>
        <w:trPr>
          <w:cantSplit/>
          <w:trHeight w:hRule="auto"/>
          <w:cantSplit/>
        </w:trPr>
        <w:tc>
          <w:tcPr>
            <w:tcW w:type="dxa" w:w="19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External systems to integration</w:t>
            </w:r>
          </w:p>
        </w:tc>
        <w:tc>
          <w:tcPr>
            <w:tcW w:type="dxa" w:w="3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Authenticated machine-to-machine contracts for ERP, LIMS, automation, historian/reporting, IAM, time and operational services.</w:t>
            </w:r>
          </w:p>
        </w:tc>
        <w:tc>
          <w:tcPr>
            <w:tcW w:type="dxa" w:w="41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Endpoint trust, data minimisation, schema/mapping version, correlation, quarantine and reconciliation.</w:t>
            </w:r>
          </w:p>
        </w:tc>
      </w:tr>
      <w:tr>
        <w:trPr>
          <w:cantSplit/>
          <w:trHeight w:hRule="auto"/>
          <w:cantSplit/>
        </w:trPr>
        <w:tc>
          <w:tcPr>
            <w:tcW w:type="dxa" w:w="19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Reporting to data/read model</w:t>
            </w:r>
          </w:p>
        </w:tc>
        <w:tc>
          <w:tcPr>
            <w:tcW w:type="dxa" w:w="3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Read-only or governed service access to approved data products.</w:t>
            </w:r>
          </w:p>
        </w:tc>
        <w:tc>
          <w:tcPr>
            <w:tcW w:type="dxa" w:w="41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Access scope, freshness/provenance, no bypass of record controls and protected export.</w:t>
            </w:r>
          </w:p>
        </w:tc>
      </w:tr>
      <w:tr>
        <w:trPr>
          <w:cantSplit/>
          <w:trHeight w:hRule="auto"/>
          <w:cantSplit/>
        </w:trPr>
        <w:tc>
          <w:tcPr>
            <w:tcW w:type="dxa" w:w="19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Administration to components</w:t>
            </w:r>
          </w:p>
        </w:tc>
        <w:tc>
          <w:tcPr>
            <w:tcW w:type="dxa" w:w="3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Dedicated privileged functions under authorised maintenance state.</w:t>
            </w:r>
          </w:p>
        </w:tc>
        <w:tc>
          <w:tcPr>
            <w:tcW w:type="dxa" w:w="41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Segregation, reason/approval, time-bound access where applicable, full logging and post-use review.</w:t>
            </w:r>
          </w:p>
        </w:tc>
      </w:tr>
      <w:tr>
        <w:trPr>
          <w:cantSplit/>
          <w:trHeight w:hRule="auto"/>
          <w:cantSplit/>
        </w:trPr>
        <w:tc>
          <w:tcPr>
            <w:tcW w:type="dxa" w:w="19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Backup/monitoring to components</w:t>
            </w:r>
          </w:p>
        </w:tc>
        <w:tc>
          <w:tcPr>
            <w:tcW w:type="dxa" w:w="3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Dedicated service access for protected copies and telemetry.</w:t>
            </w:r>
          </w:p>
        </w:tc>
        <w:tc>
          <w:tcPr>
            <w:tcW w:type="dxa" w:w="41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Least privilege, encrypted/trusted transport Verify, failure visibility, independent evidence and recovery testing.</w:t>
            </w:r>
          </w:p>
        </w:tc>
      </w:tr>
    </w:tbl>
    <w:p>
      <w:pPr>
        <w:spacing w:after="40" w:before="0"/>
      </w:pPr>
    </w:p>
    <w:p>
      <w:pPr>
        <w:pStyle w:val="Heading1"/>
        <w:keepNext/>
        <w:spacing w:before="160" w:after="80" w:line="252" w:lineRule="auto"/>
      </w:pPr>
      <w:r>
        <w:rPr>
          <w:rFonts w:ascii="Calibri" w:hAnsi="Calibri"/>
          <w:b/>
          <w:color w:val="2E74B5"/>
          <w:sz w:val="32"/>
        </w:rPr>
        <w:t>4 Environment and deployment topology</w:t>
      </w:r>
    </w:p>
    <w:p>
      <w:pPr>
        <w:pStyle w:val="Heading2"/>
        <w:keepNext/>
        <w:spacing w:before="100" w:after="80" w:line="252" w:lineRule="auto"/>
      </w:pPr>
      <w:r>
        <w:rPr>
          <w:rFonts w:ascii="Calibri" w:hAnsi="Calibri"/>
          <w:b/>
          <w:color w:val="2E74B5"/>
          <w:sz w:val="26"/>
        </w:rPr>
        <w:t>4.1 Logical environment topology</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500"/>
        <w:gridCol w:w="2700"/>
        <w:gridCol w:w="3100"/>
        <w:gridCol w:w="2060"/>
      </w:tblGrid>
      <w:tr>
        <w:trPr>
          <w:trHeight w:hRule="auto"/>
          <w:cantSplit/>
          <w:tblHeader w:val="true"/>
          <w:cantSplit/>
        </w:trPr>
        <w:tc>
          <w:tcPr>
            <w:tcW w:type="dxa" w:w="15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Environment</w:t>
            </w:r>
          </w:p>
        </w:tc>
        <w:tc>
          <w:tcPr>
            <w:tcW w:type="dxa" w:w="27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Permitted purpose</w:t>
            </w:r>
          </w:p>
        </w:tc>
        <w:tc>
          <w:tcPr>
            <w:tcW w:type="dxa" w:w="31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Data/access boundary</w:t>
            </w:r>
          </w:p>
        </w:tc>
        <w:tc>
          <w:tcPr>
            <w:tcW w:type="dxa" w:w="20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Promotion / evidence rule</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DEV / configuration</w:t>
            </w:r>
          </w:p>
        </w:tc>
        <w:tc>
          <w:tcPr>
            <w:tcW w:type="dxa" w:w="27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Controlled development, configuration, unit-level checks and technical diagnostics.</w:t>
            </w:r>
          </w:p>
        </w:tc>
        <w:tc>
          <w:tcPr>
            <w:tcW w:type="dxa" w:w="3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No uncontrolled production GxP data; developer/configurator privileges restricted and logged.</w:t>
            </w:r>
          </w:p>
        </w:tc>
        <w:tc>
          <w:tcPr>
            <w:tcW w:type="dxa" w:w="20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Versioned candidate artifacts only; no direct promotion to PROD.</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TEST / VAL</w:t>
            </w:r>
          </w:p>
        </w:tc>
        <w:tc>
          <w:tcPr>
            <w:tcW w:type="dxa" w:w="27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Integrated design, configuration and risk-based acceptance verification using controlled test data.</w:t>
            </w:r>
          </w:p>
        </w:tc>
        <w:tc>
          <w:tcPr>
            <w:tcW w:type="dxa" w:w="3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Separated access and services; test accounts/data governed; representative integrations or approved simulations.</w:t>
            </w:r>
          </w:p>
        </w:tc>
        <w:tc>
          <w:tcPr>
            <w:tcW w:type="dxa" w:w="20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Approved build/configuration manifest and traceable test evidence required.</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PROD</w:t>
            </w:r>
          </w:p>
        </w:tc>
        <w:tc>
          <w:tcPr>
            <w:tcW w:type="dxa" w:w="27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Authorised regulated manufacturing execution and support.</w:t>
            </w:r>
          </w:p>
        </w:tc>
        <w:tc>
          <w:tcPr>
            <w:tcW w:type="dxa" w:w="3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Least privilege, monitored service/admin identities, controlled maintenance and production data protection.</w:t>
            </w:r>
          </w:p>
        </w:tc>
        <w:tc>
          <w:tcPr>
            <w:tcW w:type="dxa" w:w="20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Only approved, verified release bundle; rollback/fallback reference and release decision required.</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DR / recovery</w:t>
            </w:r>
          </w:p>
        </w:tc>
        <w:tc>
          <w:tcPr>
            <w:tcW w:type="dxa" w:w="27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Recovery/continuity target or capability appropriate to approved architecture.</w:t>
            </w:r>
          </w:p>
        </w:tc>
        <w:tc>
          <w:tcPr>
            <w:tcW w:type="dxa" w:w="3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Access controlled; restored data protected; exposure only after integrity and reconciliation checks.</w:t>
            </w:r>
          </w:p>
        </w:tc>
        <w:tc>
          <w:tcPr>
            <w:tcW w:type="dxa" w:w="20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RTO/RPO, topology and invocation method Verify; recovery test/evidence remains open.</w:t>
            </w:r>
          </w:p>
        </w:tc>
      </w:tr>
    </w:tbl>
    <w:p>
      <w:pPr>
        <w:spacing w:after="40" w:before="0"/>
      </w:pPr>
    </w:p>
    <w:p>
      <w:pPr>
        <w:pStyle w:val="Heading2"/>
        <w:keepNext/>
        <w:spacing w:before="100" w:after="80" w:line="252" w:lineRule="auto"/>
      </w:pPr>
      <w:r>
        <w:rPr>
          <w:rFonts w:ascii="Calibri" w:hAnsi="Calibri"/>
          <w:b/>
          <w:color w:val="2E74B5"/>
          <w:sz w:val="26"/>
        </w:rPr>
        <w:t>4.2 Deployment units and unresolved physical values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800"/>
        <w:gridCol w:w="2600"/>
        <w:gridCol w:w="3000"/>
        <w:gridCol w:w="1960"/>
      </w:tblGrid>
      <w:tr>
        <w:trPr>
          <w:trHeight w:hRule="auto"/>
          <w:cantSplit/>
          <w:tblHeader w:val="true"/>
          <w:cantSplit/>
        </w:trPr>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Logical deployment unit</w:t>
            </w:r>
          </w:p>
        </w:tc>
        <w:tc>
          <w:tcPr>
            <w:tcW w:type="dxa" w:w="2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Contains / serves</w:t>
            </w:r>
          </w:p>
        </w:tc>
        <w:tc>
          <w:tcPr>
            <w:tcW w:type="dxa" w:w="30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Isolation / scaling principle</w:t>
            </w:r>
          </w:p>
        </w:tc>
        <w:tc>
          <w:tcPr>
            <w:tcW w:type="dxa" w:w="19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Verify before implementation</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Application runtime</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Execution, EBR, exception, signature/audit presentation and service endpoints.</w:t>
            </w:r>
          </w:p>
        </w:tc>
        <w:tc>
          <w:tcPr>
            <w:tcW w:type="dxa" w:w="3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Separate from database; support failure visibility and controlled restart; scaling model follows supplier support.</w:t>
            </w:r>
          </w:p>
        </w:tc>
        <w:tc>
          <w:tcPr>
            <w:tcW w:type="dxa" w:w="1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Runtime product/version, host/cluster model, OS, CPU/memory and HA.</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Database runtime</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Transactional, audit/signature, interface state and report-read data stores.</w:t>
            </w:r>
          </w:p>
        </w:tc>
        <w:tc>
          <w:tcPr>
            <w:tcW w:type="dxa" w:w="3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Restricted network/data access; protected transaction logs and backup; HA consistent with data integrity.</w:t>
            </w:r>
          </w:p>
        </w:tc>
        <w:tc>
          <w:tcPr>
            <w:tcW w:type="dxa" w:w="19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Database engine/version, schema/file layout, encryption, HA and storage sizing.</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Integration runtime</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Adapters, contracts, queues/quarantine, mapping, reconciliation and monitoring.</w:t>
            </w:r>
          </w:p>
        </w:tc>
        <w:tc>
          <w:tcPr>
            <w:tcW w:type="dxa" w:w="3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Family-level isolation where needed so one failure does not silently corrupt others.</w:t>
            </w:r>
          </w:p>
        </w:tc>
        <w:tc>
          <w:tcPr>
            <w:tcW w:type="dxa" w:w="1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Platform, broker/queue topology, endpoint/protocol/port/firewall and capacity.</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Reporting runtime</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Governed views, scheduled/on-demand reports and controlled exports.</w:t>
            </w:r>
          </w:p>
        </w:tc>
        <w:tc>
          <w:tcPr>
            <w:tcW w:type="dxa" w:w="3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Read workloads must not compromise execution; freshness/as-of context required.</w:t>
            </w:r>
          </w:p>
        </w:tc>
        <w:tc>
          <w:tcPr>
            <w:tcW w:type="dxa" w:w="19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Product/version, cache/read replica decision, report formats and schedules.</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Enterprise dependencies</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IAM, time, backup and monitoring services.</w:t>
            </w:r>
          </w:p>
        </w:tc>
        <w:tc>
          <w:tcPr>
            <w:tcW w:type="dxa" w:w="3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Defined trust/dependency relationships and visible degraded behavior.</w:t>
            </w:r>
          </w:p>
        </w:tc>
        <w:tc>
          <w:tcPr>
            <w:tcW w:type="dxa" w:w="1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Service instances, availability, trust, credentials, routing and operational owners.</w:t>
            </w:r>
          </w:p>
        </w:tc>
      </w:tr>
    </w:tbl>
    <w:p>
      <w:pPr>
        <w:spacing w:after="40" w:before="0"/>
      </w:pPr>
    </w:p>
    <w:p>
      <w:pPr>
        <w:keepNext w:val="0"/>
        <w:spacing w:before="80" w:after="80" w:line="240" w:lineRule="auto"/>
        <w:shd w:val="clear" w:color="auto" w:fill="FFF5CC"/>
        <w:pBdr>
          <w:top w:val="single" w:sz="4" w:space="3" w:color="B7C9D8"/>
          <w:left w:val="single" w:sz="4" w:space="3" w:color="B7C9D8"/>
          <w:bottom w:val="single" w:sz="4" w:space="3" w:color="B7C9D8"/>
          <w:right w:val="single" w:sz="4" w:space="3" w:color="B7C9D8"/>
        </w:pBdr>
        <w:ind w:left="120" w:right="120"/>
      </w:pPr>
      <w:r>
        <w:rPr>
          <w:rFonts w:ascii="Calibri" w:hAnsi="Calibri"/>
          <w:b w:val="0"/>
          <w:color w:val="0B2545"/>
          <w:sz w:val="17"/>
        </w:rPr>
        <w:t>No host, cluster, zone, network segment, endpoint, protocol, port, certificate, key, capacity or availability value in this document is an as-built claim. These values remain controlled Verify items and must be baselined before implementation and final design review.</w:t>
      </w:r>
    </w:p>
    <w:p>
      <w:pPr>
        <w:spacing w:after="20"/>
      </w:pPr>
    </w:p>
    <w:p>
      <w:pPr>
        <w:pStyle w:val="Heading1"/>
        <w:keepNext/>
        <w:spacing w:before="160" w:after="80" w:line="252" w:lineRule="auto"/>
      </w:pPr>
      <w:r>
        <w:rPr>
          <w:rFonts w:ascii="Calibri" w:hAnsi="Calibri"/>
          <w:b/>
          <w:color w:val="2E74B5"/>
          <w:sz w:val="32"/>
        </w:rPr>
        <w:t>5 Application services, transaction and state design</w:t>
      </w:r>
    </w:p>
    <w:p>
      <w:pPr>
        <w:pStyle w:val="Heading2"/>
        <w:keepNext/>
        <w:spacing w:before="100" w:after="80" w:line="252" w:lineRule="auto"/>
      </w:pPr>
      <w:r>
        <w:rPr>
          <w:rFonts w:ascii="Calibri" w:hAnsi="Calibri"/>
          <w:b/>
          <w:color w:val="2E74B5"/>
          <w:sz w:val="26"/>
        </w:rPr>
        <w:t>5.1 Logical service decomposition</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800"/>
        <w:gridCol w:w="3000"/>
        <w:gridCol w:w="3200"/>
        <w:gridCol w:w="1360"/>
      </w:tblGrid>
      <w:tr>
        <w:trPr>
          <w:trHeight w:hRule="auto"/>
          <w:cantSplit/>
          <w:tblHeader w:val="true"/>
          <w:cantSplit/>
        </w:trPr>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Logical service</w:t>
            </w:r>
          </w:p>
        </w:tc>
        <w:tc>
          <w:tcPr>
            <w:tcW w:type="dxa" w:w="30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Primary design responsibility</w:t>
            </w:r>
          </w:p>
        </w:tc>
        <w:tc>
          <w:tcPr>
            <w:tcW w:type="dxa" w:w="32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Persistent evidence / dependency</w:t>
            </w:r>
          </w:p>
        </w:tc>
        <w:tc>
          <w:tcPr>
            <w:tcW w:type="dxa" w:w="13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Primary DS</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Order release and execution</w:t>
            </w:r>
          </w:p>
        </w:tc>
        <w:tc>
          <w:tcPr>
            <w:tcW w:type="dxa" w:w="3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Stage orders, evaluate release, execute state transitions and prerequisites.</w:t>
            </w:r>
          </w:p>
        </w:tc>
        <w:tc>
          <w:tcPr>
            <w:tcW w:type="dxa" w:w="3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Order/instruction versions, state events, actor/source and exception links.</w:t>
            </w:r>
          </w:p>
        </w:tc>
        <w:tc>
          <w:tcPr>
            <w:tcW w:type="dxa" w:w="136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001-006</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Electronic batch record</w:t>
            </w:r>
          </w:p>
        </w:tc>
        <w:tc>
          <w:tcPr>
            <w:tcW w:type="dxa" w:w="3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Assemble record manifest, completion and review state, retrieval and copies.</w:t>
            </w:r>
          </w:p>
        </w:tc>
        <w:tc>
          <w:tcPr>
            <w:tcW w:type="dxa" w:w="3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Batch manifest, record relationships, review/signature status, copies/provenance.</w:t>
            </w:r>
          </w:p>
        </w:tc>
        <w:tc>
          <w:tcPr>
            <w:tcW w:type="dxa" w:w="136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007-011</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Identity and authorisation</w:t>
            </w:r>
          </w:p>
        </w:tc>
        <w:tc>
          <w:tcPr>
            <w:tcW w:type="dxa" w:w="3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Map subjects, enforce RBAC/SoD, access lifecycle and session/privilege controls.</w:t>
            </w:r>
          </w:p>
        </w:tc>
        <w:tc>
          <w:tcPr>
            <w:tcW w:type="dxa" w:w="3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Identity/entitlement history, session/security and access-review evidence.</w:t>
            </w:r>
          </w:p>
        </w:tc>
        <w:tc>
          <w:tcPr>
            <w:tcW w:type="dxa" w:w="136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012-016</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Signature</w:t>
            </w:r>
          </w:p>
        </w:tc>
        <w:tc>
          <w:tcPr>
            <w:tcW w:type="dxa" w:w="3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Validate signing event, authority and meaning; bind signature to record version.</w:t>
            </w:r>
          </w:p>
        </w:tc>
        <w:tc>
          <w:tcPr>
            <w:tcW w:type="dxa" w:w="3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Signature envelope and immutable record relationship.</w:t>
            </w:r>
          </w:p>
        </w:tc>
        <w:tc>
          <w:tcPr>
            <w:tcW w:type="dxa" w:w="136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017-019</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Audit and review</w:t>
            </w:r>
          </w:p>
        </w:tc>
        <w:tc>
          <w:tcPr>
            <w:tcW w:type="dxa" w:w="3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Capture protected events, query/export and derive review populations.</w:t>
            </w:r>
          </w:p>
        </w:tc>
        <w:tc>
          <w:tcPr>
            <w:tcW w:type="dxa" w:w="3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Audit events, review scope/findings/dispositions.</w:t>
            </w:r>
          </w:p>
        </w:tc>
        <w:tc>
          <w:tcPr>
            <w:tcW w:type="dxa" w:w="136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020-023</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Data lifecycle</w:t>
            </w:r>
          </w:p>
        </w:tc>
        <w:tc>
          <w:tcPr>
            <w:tcW w:type="dxa" w:w="3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Enforce object identity/relationships, authoritative time, corrections and transfer/migration.</w:t>
            </w:r>
          </w:p>
        </w:tc>
        <w:tc>
          <w:tcPr>
            <w:tcW w:type="dxa" w:w="3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GxP objects, metadata, correction history and reconciliation packages.</w:t>
            </w:r>
          </w:p>
        </w:tc>
        <w:tc>
          <w:tcPr>
            <w:tcW w:type="dxa" w:w="136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024-027</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Integration</w:t>
            </w:r>
          </w:p>
        </w:tc>
        <w:tc>
          <w:tcPr>
            <w:tcW w:type="dxa" w:w="3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Apply all 60 IS controls across 7 families and common transaction services.</w:t>
            </w:r>
          </w:p>
        </w:tc>
        <w:tc>
          <w:tcPr>
            <w:tcW w:type="dxa" w:w="3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Contracts, correlations, state, queues, audit and reconciliation.</w:t>
            </w:r>
          </w:p>
        </w:tc>
        <w:tc>
          <w:tcPr>
            <w:tcW w:type="dxa" w:w="136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028-036</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Continuity and reporting</w:t>
            </w:r>
          </w:p>
        </w:tc>
        <w:tc>
          <w:tcPr>
            <w:tcW w:type="dxa" w:w="3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Backup/restore/recovery, governed views/exports, monitoring and maintained state.</w:t>
            </w:r>
          </w:p>
        </w:tc>
        <w:tc>
          <w:tcPr>
            <w:tcW w:type="dxa" w:w="3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Policies/jobs/restores, report provenance, alerts and periodic evidence.</w:t>
            </w:r>
          </w:p>
        </w:tc>
        <w:tc>
          <w:tcPr>
            <w:tcW w:type="dxa" w:w="136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037-050</w:t>
            </w:r>
          </w:p>
        </w:tc>
      </w:tr>
    </w:tbl>
    <w:p>
      <w:pPr>
        <w:spacing w:after="40" w:before="0"/>
      </w:pPr>
    </w:p>
    <w:p>
      <w:pPr>
        <w:pStyle w:val="Heading2"/>
        <w:keepNext/>
        <w:spacing w:before="100" w:after="80" w:line="252" w:lineRule="auto"/>
      </w:pPr>
      <w:r>
        <w:rPr>
          <w:rFonts w:ascii="Calibri" w:hAnsi="Calibri"/>
          <w:b/>
          <w:color w:val="2E74B5"/>
          <w:sz w:val="26"/>
        </w:rPr>
        <w:t>5.2 Common business transaction pattern</w:t>
      </w:r>
    </w:p>
    <w:p>
      <w:pPr>
        <w:pStyle w:val="ListNumber"/>
        <w:keepNext w:val="0"/>
        <w:spacing w:before="0" w:after="40" w:line="252" w:lineRule="auto"/>
      </w:pPr>
      <w:r>
        <w:rPr>
          <w:rFonts w:ascii="Calibri" w:hAnsi="Calibri"/>
          <w:color w:val="203040"/>
          <w:sz w:val="18"/>
        </w:rPr>
        <w:t>Assign or validate the stable business and correlation identity from an authorised source.</w:t>
      </w:r>
    </w:p>
    <w:p>
      <w:pPr>
        <w:pStyle w:val="ListNumber"/>
        <w:keepNext w:val="0"/>
        <w:spacing w:before="0" w:after="40" w:line="252" w:lineRule="auto"/>
      </w:pPr>
      <w:r>
        <w:rPr>
          <w:rFonts w:ascii="Calibri" w:hAnsi="Calibri"/>
          <w:color w:val="203040"/>
          <w:sz w:val="18"/>
        </w:rPr>
        <w:t>Load the effective controlled rule, mapping, instruction or configuration version.</w:t>
      </w:r>
    </w:p>
    <w:p>
      <w:pPr>
        <w:pStyle w:val="ListNumber"/>
        <w:keepNext w:val="0"/>
        <w:spacing w:before="0" w:after="40" w:line="252" w:lineRule="auto"/>
      </w:pPr>
      <w:r>
        <w:rPr>
          <w:rFonts w:ascii="Calibri" w:hAnsi="Calibri"/>
          <w:color w:val="203040"/>
          <w:sz w:val="18"/>
        </w:rPr>
        <w:t>Validate identity, role/service scope, state, prerequisites, mandatory fields, ranges and relationships server-side.</w:t>
      </w:r>
    </w:p>
    <w:p>
      <w:pPr>
        <w:pStyle w:val="ListNumber"/>
        <w:keepNext w:val="0"/>
        <w:spacing w:before="0" w:after="40" w:line="252" w:lineRule="auto"/>
      </w:pPr>
      <w:r>
        <w:rPr>
          <w:rFonts w:ascii="Calibri" w:hAnsi="Calibri"/>
          <w:color w:val="203040"/>
          <w:sz w:val="18"/>
        </w:rPr>
        <w:t>Commit the business change and its attribution/audit linkage atomically, or retain an explicit rejected/uncertain state without partial success.</w:t>
      </w:r>
    </w:p>
    <w:p>
      <w:pPr>
        <w:pStyle w:val="ListNumber"/>
        <w:keepNext w:val="0"/>
        <w:spacing w:before="0" w:after="40" w:line="252" w:lineRule="auto"/>
      </w:pPr>
      <w:r>
        <w:rPr>
          <w:rFonts w:ascii="Calibri" w:hAnsi="Calibri"/>
          <w:color w:val="203040"/>
          <w:sz w:val="18"/>
        </w:rPr>
        <w:t>Publish governed downstream events through the integration state model; distinguish technical receipt from business completion.</w:t>
      </w:r>
    </w:p>
    <w:p>
      <w:pPr>
        <w:pStyle w:val="ListNumber"/>
        <w:keepNext w:val="0"/>
        <w:spacing w:before="0" w:after="40" w:line="252" w:lineRule="auto"/>
      </w:pPr>
      <w:r>
        <w:rPr>
          <w:rFonts w:ascii="Calibri" w:hAnsi="Calibri"/>
          <w:color w:val="203040"/>
          <w:sz w:val="18"/>
        </w:rPr>
        <w:t>Expose monitoring, exception, reconciliation and review evidence with accountable ownership until controlled closure.</w:t>
      </w:r>
    </w:p>
    <w:p>
      <w:pPr>
        <w:pStyle w:val="Heading2"/>
        <w:keepNext/>
        <w:spacing w:before="100" w:after="80" w:line="252" w:lineRule="auto"/>
      </w:pPr>
      <w:r>
        <w:rPr>
          <w:rFonts w:ascii="Calibri" w:hAnsi="Calibri"/>
          <w:b/>
          <w:color w:val="2E74B5"/>
          <w:sz w:val="26"/>
        </w:rPr>
        <w:t>5.3 Concurrency, idempotency and safe failure</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600"/>
        <w:gridCol w:w="4800"/>
        <w:gridCol w:w="2960"/>
      </w:tblGrid>
      <w:tr>
        <w:trPr>
          <w:trHeight w:hRule="auto"/>
          <w:cantSplit/>
          <w:tblHeader w:val="true"/>
          <w:cantSplit/>
        </w:trPr>
        <w:tc>
          <w:tcPr>
            <w:tcW w:type="dxa" w:w="1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Concern</w:t>
            </w:r>
          </w:p>
        </w:tc>
        <w:tc>
          <w:tcPr>
            <w:tcW w:type="dxa" w:w="4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Technical design rule</w:t>
            </w:r>
          </w:p>
        </w:tc>
        <w:tc>
          <w:tcPr>
            <w:tcW w:type="dxa" w:w="29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Failure / verification focus</w:t>
            </w:r>
          </w:p>
        </w:tc>
      </w:tr>
      <w:tr>
        <w:trPr>
          <w:cantSplit/>
          <w:trHeight w:hRule="auto"/>
          <w:cantSplit/>
        </w:trPr>
        <w:tc>
          <w:tcPr>
            <w:tcW w:type="dxa" w:w="1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Concurrent update</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Use optimistic/pessimistic controls appropriate to the selected data service; reject stale versions and preserve the attempted event.</w:t>
            </w:r>
          </w:p>
        </w:tc>
        <w:tc>
          <w:tcPr>
            <w:tcW w:type="dxa" w:w="2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Two actors/services update the same state; only one authorised version succeeds.</w:t>
            </w:r>
          </w:p>
        </w:tc>
      </w:tr>
      <w:tr>
        <w:trPr>
          <w:cantSplit/>
          <w:trHeight w:hRule="auto"/>
          <w:cantSplit/>
        </w:trPr>
        <w:tc>
          <w:tcPr>
            <w:tcW w:type="dxa" w:w="1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Duplicate request</w:t>
            </w:r>
          </w:p>
        </w:tc>
        <w:tc>
          <w:tcPr>
            <w:tcW w:type="dxa" w:w="4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Stable business/correlation identity and idempotency state prevent a second business effect.</w:t>
            </w:r>
          </w:p>
        </w:tc>
        <w:tc>
          <w:tcPr>
            <w:tcW w:type="dxa" w:w="29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Repeat, replay and network retry create one effect plus complete attempt history.</w:t>
            </w:r>
          </w:p>
        </w:tc>
      </w:tr>
      <w:tr>
        <w:trPr>
          <w:cantSplit/>
          <w:trHeight w:hRule="auto"/>
          <w:cantSplit/>
        </w:trPr>
        <w:tc>
          <w:tcPr>
            <w:tcW w:type="dxa" w:w="1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Partial transaction</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Business data, relationship and audit/signature linkage commit together or roll back to a visible safe state.</w:t>
            </w:r>
          </w:p>
        </w:tc>
        <w:tc>
          <w:tcPr>
            <w:tcW w:type="dxa" w:w="2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Interrupt each transaction boundary and reconcile no orphan or false-success record.</w:t>
            </w:r>
          </w:p>
        </w:tc>
      </w:tr>
      <w:tr>
        <w:trPr>
          <w:cantSplit/>
          <w:trHeight w:hRule="auto"/>
          <w:cantSplit/>
        </w:trPr>
        <w:tc>
          <w:tcPr>
            <w:tcW w:type="dxa" w:w="1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Dependency loss</w:t>
            </w:r>
          </w:p>
        </w:tc>
        <w:tc>
          <w:tcPr>
            <w:tcW w:type="dxa" w:w="4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Block, queue or degrade according to the approved function; never infer success from timeout or unavailable authority.</w:t>
            </w:r>
          </w:p>
        </w:tc>
        <w:tc>
          <w:tcPr>
            <w:tcW w:type="dxa" w:w="29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Identity, time, database and interface loss produce the designed visible state.</w:t>
            </w:r>
          </w:p>
        </w:tc>
      </w:tr>
      <w:tr>
        <w:trPr>
          <w:cantSplit/>
          <w:trHeight w:hRule="auto"/>
          <w:cantSplit/>
        </w:trPr>
        <w:tc>
          <w:tcPr>
            <w:tcW w:type="dxa" w:w="1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Recovery</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Restart from durable state, evaluate uncertain transactions and reconcile before normal progression.</w:t>
            </w:r>
          </w:p>
        </w:tc>
        <w:tc>
          <w:tcPr>
            <w:tcW w:type="dxa" w:w="2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Crash/restart and partial recovery preserve chronology and controlled disposition.</w:t>
            </w:r>
          </w:p>
        </w:tc>
      </w:tr>
    </w:tbl>
    <w:p>
      <w:pPr>
        <w:spacing w:after="40" w:before="0"/>
      </w:pPr>
    </w:p>
    <w:p>
      <w:pPr>
        <w:pStyle w:val="Heading1"/>
        <w:keepNext/>
        <w:spacing w:before="160" w:after="80" w:line="252" w:lineRule="auto"/>
      </w:pPr>
      <w:r>
        <w:rPr>
          <w:rFonts w:ascii="Calibri" w:hAnsi="Calibri"/>
          <w:b/>
          <w:color w:val="2E74B5"/>
          <w:sz w:val="32"/>
        </w:rPr>
        <w:t>6 Data model and integrity boundaries</w:t>
      </w:r>
    </w:p>
    <w:p>
      <w:pPr>
        <w:pStyle w:val="Heading2"/>
        <w:keepNext/>
        <w:spacing w:before="100" w:after="80" w:line="252" w:lineRule="auto"/>
      </w:pPr>
      <w:r>
        <w:rPr>
          <w:rFonts w:ascii="Calibri" w:hAnsi="Calibri"/>
          <w:b/>
          <w:color w:val="2E74B5"/>
          <w:sz w:val="26"/>
        </w:rPr>
        <w:t>6.1 Logical data domains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500"/>
        <w:gridCol w:w="3100"/>
        <w:gridCol w:w="3300"/>
        <w:gridCol w:w="1460"/>
      </w:tblGrid>
      <w:tr>
        <w:trPr>
          <w:trHeight w:hRule="auto"/>
          <w:cantSplit/>
          <w:tblHeader w:val="true"/>
          <w:cantSplit/>
        </w:trPr>
        <w:tc>
          <w:tcPr>
            <w:tcW w:type="dxa" w:w="15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Data domain</w:t>
            </w:r>
          </w:p>
        </w:tc>
        <w:tc>
          <w:tcPr>
            <w:tcW w:type="dxa" w:w="31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Core objects / relationships</w:t>
            </w:r>
          </w:p>
        </w:tc>
        <w:tc>
          <w:tcPr>
            <w:tcW w:type="dxa" w:w="33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Integrity boundary</w:t>
            </w:r>
          </w:p>
        </w:tc>
        <w:tc>
          <w:tcPr>
            <w:tcW w:type="dxa" w:w="14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Primary DS</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Execution</w:t>
            </w:r>
          </w:p>
        </w:tc>
        <w:tc>
          <w:tcPr>
            <w:tcW w:type="dxa" w:w="3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Order -&gt; batch -&gt; operation -&gt; step -&gt; entry/calculation/material/equipment event.</w:t>
            </w:r>
          </w:p>
        </w:tc>
        <w:tc>
          <w:tcPr>
            <w:tcW w:type="dxa" w:w="3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Stable identity, effective instruction, allowed state and atomic step evidence.</w:t>
            </w:r>
          </w:p>
        </w:tc>
        <w:tc>
          <w:tcPr>
            <w:tcW w:type="dxa" w:w="146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001-008, 024-027</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Quality review</w:t>
            </w:r>
          </w:p>
        </w:tc>
        <w:tc>
          <w:tcPr>
            <w:tcW w:type="dxa" w:w="3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Batch -&gt; exceptions -&gt; dispositions -&gt; review decisions -&gt; completion/release evidence.</w:t>
            </w:r>
          </w:p>
        </w:tc>
        <w:tc>
          <w:tcPr>
            <w:tcW w:type="dxa" w:w="3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Reproducible population, segregated decisions and version binding.</w:t>
            </w:r>
          </w:p>
        </w:tc>
        <w:tc>
          <w:tcPr>
            <w:tcW w:type="dxa" w:w="146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006, 008-009, 042</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Identity/access</w:t>
            </w:r>
          </w:p>
        </w:tc>
        <w:tc>
          <w:tcPr>
            <w:tcW w:type="dxa" w:w="3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Subject -&gt; role/scope -&gt; entitlement -&gt; approval/effective period -&gt; review decision.</w:t>
            </w:r>
          </w:p>
        </w:tc>
        <w:tc>
          <w:tcPr>
            <w:tcW w:type="dxa" w:w="3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Unique identity, deny-by-default, SoD and retained lifecycle history.</w:t>
            </w:r>
          </w:p>
        </w:tc>
        <w:tc>
          <w:tcPr>
            <w:tcW w:type="dxa" w:w="146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012-016, 050</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Signature/audit</w:t>
            </w:r>
          </w:p>
        </w:tc>
        <w:tc>
          <w:tcPr>
            <w:tcW w:type="dxa" w:w="3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Record version -&gt; signature envelope; object/event -&gt; audit event -&gt; review population/disposition.</w:t>
            </w:r>
          </w:p>
        </w:tc>
        <w:tc>
          <w:tcPr>
            <w:tcW w:type="dxa" w:w="3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Immutable linkage, authoritative time, append-only event interface and retention.</w:t>
            </w:r>
          </w:p>
        </w:tc>
        <w:tc>
          <w:tcPr>
            <w:tcW w:type="dxa" w:w="146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017-023</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Integration</w:t>
            </w:r>
          </w:p>
        </w:tc>
        <w:tc>
          <w:tcPr>
            <w:tcW w:type="dxa" w:w="3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Contract -&gt; message/business identity -&gt; transaction state -&gt; acknowledgement -&gt; queue/reconciliation.</w:t>
            </w:r>
          </w:p>
        </w:tc>
        <w:tc>
          <w:tcPr>
            <w:tcW w:type="dxa" w:w="3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Schema/mapping version, idempotency, no uncertain success and source/target evidence.</w:t>
            </w:r>
          </w:p>
        </w:tc>
        <w:tc>
          <w:tcPr>
            <w:tcW w:type="dxa" w:w="146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028-036, 043</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Continuity/reporting</w:t>
            </w:r>
          </w:p>
        </w:tc>
        <w:tc>
          <w:tcPr>
            <w:tcW w:type="dxa" w:w="3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Protected object -&gt; backup job -&gt; restore/recovery evidence; report definition -&gt; run -&gt; output/provenance.</w:t>
            </w:r>
          </w:p>
        </w:tc>
        <w:tc>
          <w:tcPr>
            <w:tcW w:type="dxa" w:w="3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Integrity, completeness, as-of/source context and controlled access.</w:t>
            </w:r>
          </w:p>
        </w:tc>
        <w:tc>
          <w:tcPr>
            <w:tcW w:type="dxa" w:w="146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037-044</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Maintained state</w:t>
            </w:r>
          </w:p>
        </w:tc>
        <w:tc>
          <w:tcPr>
            <w:tcW w:type="dxa" w:w="3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Baseline -&gt; release/change -&gt; incident/problem -&gt; review/training/supplier evidence.</w:t>
            </w:r>
          </w:p>
        </w:tc>
        <w:tc>
          <w:tcPr>
            <w:tcW w:type="dxa" w:w="3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Traceable evidence sources, open-action status and controlled conclusions.</w:t>
            </w:r>
          </w:p>
        </w:tc>
        <w:tc>
          <w:tcPr>
            <w:tcW w:type="dxa" w:w="146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045-050</w:t>
            </w:r>
          </w:p>
        </w:tc>
      </w:tr>
    </w:tbl>
    <w:p>
      <w:pPr>
        <w:spacing w:after="40" w:before="0"/>
      </w:pPr>
    </w:p>
    <w:p>
      <w:pPr>
        <w:pStyle w:val="Heading2"/>
        <w:keepNext/>
        <w:spacing w:before="100" w:after="80" w:line="252" w:lineRule="auto"/>
      </w:pPr>
      <w:r>
        <w:rPr>
          <w:rFonts w:ascii="Calibri" w:hAnsi="Calibri"/>
          <w:b/>
          <w:color w:val="2E74B5"/>
          <w:sz w:val="26"/>
        </w:rPr>
        <w:t>6.2 Validation, ranges and controlled correction</w:t>
      </w:r>
    </w:p>
    <w:p>
      <w:pPr>
        <w:keepNext w:val="0"/>
        <w:spacing w:before="0" w:after="80" w:line="252" w:lineRule="auto"/>
      </w:pPr>
      <w:r>
        <w:rPr>
          <w:rFonts w:ascii="Calibri" w:hAnsi="Calibri"/>
          <w:b w:val="0"/>
          <w:i w:val="0"/>
          <w:color w:val="203040"/>
          <w:sz w:val="18"/>
        </w:rPr>
        <w:t>All regulated inputs are validated at the authoritative service boundary, not only in the user interface. Field definitions shall identify data type, mandatory state, permitted format/length/range, unit and precision, source authority and relationship constraints. Validation failure shall be specific, visible and non-destructive; unsupported values shall not be silently defaulted, coerced or truncated.</w:t>
      </w:r>
    </w:p>
    <w:p>
      <w:pPr>
        <w:keepNext w:val="0"/>
        <w:spacing w:before="0" w:after="80" w:line="252" w:lineRule="auto"/>
      </w:pPr>
      <w:r>
        <w:rPr>
          <w:rFonts w:ascii="Calibri" w:hAnsi="Calibri"/>
          <w:b w:val="0"/>
          <w:i w:val="0"/>
          <w:color w:val="203040"/>
          <w:sz w:val="18"/>
        </w:rPr>
        <w:t>Corrections create a new attributable event and preserve the prior value, reason, time, actor, affected record version and any configured approval/signature. Dependent calculations, views and review states shall be recalculated, invalidated or flagged according to the approved rule so the corrected value cannot silently coexist with stale evidence.</w:t>
      </w:r>
    </w:p>
    <w:p>
      <w:pPr>
        <w:pStyle w:val="Heading2"/>
        <w:keepNext/>
        <w:spacing w:before="100" w:after="80" w:line="252" w:lineRule="auto"/>
      </w:pPr>
      <w:r>
        <w:rPr>
          <w:rFonts w:ascii="Calibri" w:hAnsi="Calibri"/>
          <w:b/>
          <w:color w:val="2E74B5"/>
          <w:sz w:val="26"/>
        </w:rPr>
        <w:t>6.3 Retention, archive, transfer and migration</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600"/>
        <w:gridCol w:w="4500"/>
        <w:gridCol w:w="3260"/>
      </w:tblGrid>
      <w:tr>
        <w:trPr>
          <w:trHeight w:hRule="auto"/>
          <w:cantSplit/>
          <w:tblHeader w:val="true"/>
          <w:cantSplit/>
        </w:trPr>
        <w:tc>
          <w:tcPr>
            <w:tcW w:type="dxa" w:w="1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Lifecycle action</w:t>
            </w:r>
          </w:p>
        </w:tc>
        <w:tc>
          <w:tcPr>
            <w:tcW w:type="dxa" w:w="45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Design package / evidence</w:t>
            </w:r>
          </w:p>
        </w:tc>
        <w:tc>
          <w:tcPr>
            <w:tcW w:type="dxa" w:w="32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Acceptance condition</w:t>
            </w:r>
          </w:p>
        </w:tc>
      </w:tr>
      <w:tr>
        <w:trPr>
          <w:cantSplit/>
          <w:trHeight w:hRule="auto"/>
          <w:cantSplit/>
        </w:trPr>
        <w:tc>
          <w:tcPr>
            <w:tcW w:type="dxa" w:w="1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Retention / archive</w:t>
            </w:r>
          </w:p>
        </w:tc>
        <w:tc>
          <w:tcPr>
            <w:tcW w:type="dxa" w:w="4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Object identity, relationships, metadata, signatures, audit references, retention class and archive status.</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Readable, searchable and protected for the approved period; retention values Verify.</w:t>
            </w:r>
          </w:p>
        </w:tc>
      </w:tr>
      <w:tr>
        <w:trPr>
          <w:cantSplit/>
          <w:trHeight w:hRule="auto"/>
          <w:cantSplit/>
        </w:trPr>
        <w:tc>
          <w:tcPr>
            <w:tcW w:type="dxa" w:w="1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Controlled copy / extract</w:t>
            </w:r>
          </w:p>
        </w:tc>
        <w:tc>
          <w:tcPr>
            <w:tcW w:type="dxa" w:w="4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Definition/version, parameters, as-of/source context, record counts, generator and output protection/provenance.</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Complete and accurate representation with drill-back or trace to governed source.</w:t>
            </w:r>
          </w:p>
        </w:tc>
      </w:tr>
      <w:tr>
        <w:trPr>
          <w:cantSplit/>
          <w:trHeight w:hRule="auto"/>
          <w:cantSplit/>
        </w:trPr>
        <w:tc>
          <w:tcPr>
            <w:tcW w:type="dxa" w:w="1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Transfer / restore</w:t>
            </w:r>
          </w:p>
        </w:tc>
        <w:tc>
          <w:tcPr>
            <w:tcW w:type="dxa" w:w="4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Package manifest, object counts, integrity evidence, schema/version, source/target and reconciliation results.</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No missing, extra, orphan or unauthorised records; exceptions controlled.</w:t>
            </w:r>
          </w:p>
        </w:tc>
      </w:tr>
      <w:tr>
        <w:trPr>
          <w:cantSplit/>
          <w:trHeight w:hRule="auto"/>
          <w:cantSplit/>
        </w:trPr>
        <w:tc>
          <w:tcPr>
            <w:tcW w:type="dxa" w:w="1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Migration if applicable</w:t>
            </w:r>
          </w:p>
        </w:tc>
        <w:tc>
          <w:tcPr>
            <w:tcW w:type="dxa" w:w="4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Approved scope/mapping/transformation version, trial evidence, rejects, reconciliation and sign-off roles.</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Content, meaning, metadata, signature/audit linkage and chronology preserved; applicability Verify.</w:t>
            </w:r>
          </w:p>
        </w:tc>
      </w:tr>
    </w:tbl>
    <w:p>
      <w:pPr>
        <w:spacing w:after="40" w:before="0"/>
      </w:pPr>
    </w:p>
    <w:p>
      <w:pPr>
        <w:pStyle w:val="Heading1"/>
        <w:keepNext/>
        <w:spacing w:before="160" w:after="80" w:line="252" w:lineRule="auto"/>
      </w:pPr>
      <w:r>
        <w:rPr>
          <w:rFonts w:ascii="Calibri" w:hAnsi="Calibri"/>
          <w:b/>
          <w:color w:val="2E74B5"/>
          <w:sz w:val="32"/>
        </w:rPr>
        <w:t>7 Security, electronic signatures and audit evidence</w:t>
      </w:r>
    </w:p>
    <w:p>
      <w:pPr>
        <w:pStyle w:val="Heading2"/>
        <w:keepNext/>
        <w:spacing w:before="100" w:after="80" w:line="252" w:lineRule="auto"/>
      </w:pPr>
      <w:r>
        <w:rPr>
          <w:rFonts w:ascii="Calibri" w:hAnsi="Calibri"/>
          <w:b/>
          <w:color w:val="2E74B5"/>
          <w:sz w:val="26"/>
        </w:rPr>
        <w:t>7.1 Security architecture and trust boundaries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900"/>
        <w:gridCol w:w="4550"/>
        <w:gridCol w:w="2910"/>
      </w:tblGrid>
      <w:tr>
        <w:trPr>
          <w:trHeight w:hRule="auto"/>
          <w:cantSplit/>
          <w:tblHeader w:val="true"/>
          <w:cantSplit/>
        </w:trPr>
        <w:tc>
          <w:tcPr>
            <w:tcW w:type="dxa" w:w="19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Control domain</w:t>
            </w:r>
          </w:p>
        </w:tc>
        <w:tc>
          <w:tcPr>
            <w:tcW w:type="dxa" w:w="45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Technical design</w:t>
            </w:r>
          </w:p>
        </w:tc>
        <w:tc>
          <w:tcPr>
            <w:tcW w:type="dxa" w:w="29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Unresolved configuration / evidence</w:t>
            </w:r>
          </w:p>
        </w:tc>
      </w:tr>
      <w:tr>
        <w:trPr>
          <w:cantSplit/>
          <w:trHeight w:hRule="auto"/>
          <w:cantSplit/>
        </w:trPr>
        <w:tc>
          <w:tcPr>
            <w:tcW w:type="dxa" w:w="1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Identity and session</w:t>
            </w:r>
          </w:p>
        </w:tc>
        <w:tc>
          <w:tcPr>
            <w:tcW w:type="dxa" w:w="45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Enterprise subject mapping, unique MES identity, authenticated session, timeout/revocation and fail-closed behavior.</w:t>
            </w:r>
          </w:p>
        </w:tc>
        <w:tc>
          <w:tcPr>
            <w:tcW w:type="dxa" w:w="29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Identity provider, protocol, MFA, claims, timeout/lockout and availability.</w:t>
            </w:r>
          </w:p>
        </w:tc>
      </w:tr>
      <w:tr>
        <w:trPr>
          <w:cantSplit/>
          <w:trHeight w:hRule="auto"/>
          <w:cantSplit/>
        </w:trPr>
        <w:tc>
          <w:tcPr>
            <w:tcW w:type="dxa" w:w="1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Authorisation</w:t>
            </w:r>
          </w:p>
        </w:tc>
        <w:tc>
          <w:tcPr>
            <w:tcW w:type="dxa" w:w="45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Server-side deny-by-default RBAC with object/environment/state scope and SoD pre-checks.</w:t>
            </w:r>
          </w:p>
        </w:tc>
        <w:tc>
          <w:tcPr>
            <w:tcW w:type="dxa" w:w="29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Role-permission matrix, delegated approval and emergency exception process.</w:t>
            </w:r>
          </w:p>
        </w:tc>
      </w:tr>
      <w:tr>
        <w:trPr>
          <w:cantSplit/>
          <w:trHeight w:hRule="auto"/>
          <w:cantSplit/>
        </w:trPr>
        <w:tc>
          <w:tcPr>
            <w:tcW w:type="dxa" w:w="1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Service and privileged access</w:t>
            </w:r>
          </w:p>
        </w:tc>
        <w:tc>
          <w:tcPr>
            <w:tcW w:type="dxa" w:w="45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Dedicated non-interactive identities, least privilege, restricted administration and monitored use.</w:t>
            </w:r>
          </w:p>
        </w:tc>
        <w:tc>
          <w:tcPr>
            <w:tcW w:type="dxa" w:w="29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Vault/credential/certificate/key technology, rotation, break-glass and PAM applicability.</w:t>
            </w:r>
          </w:p>
        </w:tc>
      </w:tr>
      <w:tr>
        <w:trPr>
          <w:cantSplit/>
          <w:trHeight w:hRule="auto"/>
          <w:cantSplit/>
        </w:trPr>
        <w:tc>
          <w:tcPr>
            <w:tcW w:type="dxa" w:w="1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Network and transmission</w:t>
            </w:r>
          </w:p>
        </w:tc>
        <w:tc>
          <w:tcPr>
            <w:tcW w:type="dxa" w:w="45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Authenticated trusted endpoints and protected channels at every external/component boundary.</w:t>
            </w:r>
          </w:p>
        </w:tc>
        <w:tc>
          <w:tcPr>
            <w:tcW w:type="dxa" w:w="29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Network zones, endpoints, protocols, ports, firewall rules, cipher/certificate values.</w:t>
            </w:r>
          </w:p>
        </w:tc>
      </w:tr>
      <w:tr>
        <w:trPr>
          <w:cantSplit/>
          <w:trHeight w:hRule="auto"/>
          <w:cantSplit/>
        </w:trPr>
        <w:tc>
          <w:tcPr>
            <w:tcW w:type="dxa" w:w="1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Data protection</w:t>
            </w:r>
          </w:p>
        </w:tc>
        <w:tc>
          <w:tcPr>
            <w:tcW w:type="dxa" w:w="45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Access-scoped records/exports/backups, retention and integrity controls; personal-data minimisation hooks.</w:t>
            </w:r>
          </w:p>
        </w:tc>
        <w:tc>
          <w:tcPr>
            <w:tcW w:type="dxa" w:w="29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Encryption-at-rest/in-transit design, data classification and privacy assessment.</w:t>
            </w:r>
          </w:p>
        </w:tc>
      </w:tr>
      <w:tr>
        <w:trPr>
          <w:cantSplit/>
          <w:trHeight w:hRule="auto"/>
          <w:cantSplit/>
        </w:trPr>
        <w:tc>
          <w:tcPr>
            <w:tcW w:type="dxa" w:w="1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Security maintenance</w:t>
            </w:r>
          </w:p>
        </w:tc>
        <w:tc>
          <w:tcPr>
            <w:tcW w:type="dxa" w:w="45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Versioned component baseline, vulnerability/patch evidence, monitoring and periodic review.</w:t>
            </w:r>
          </w:p>
        </w:tc>
        <w:tc>
          <w:tcPr>
            <w:tcW w:type="dxa" w:w="29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Product inventory, support lifecycle, scanning/patch tooling and risk acceptance roles.</w:t>
            </w:r>
          </w:p>
        </w:tc>
      </w:tr>
    </w:tbl>
    <w:p>
      <w:pPr>
        <w:spacing w:after="40" w:before="0"/>
      </w:pPr>
    </w:p>
    <w:p>
      <w:pPr>
        <w:pStyle w:val="Heading2"/>
        <w:keepNext/>
        <w:spacing w:before="100" w:after="80" w:line="252" w:lineRule="auto"/>
      </w:pPr>
      <w:r>
        <w:rPr>
          <w:rFonts w:ascii="Calibri" w:hAnsi="Calibri"/>
          <w:b/>
          <w:color w:val="2E74B5"/>
          <w:sz w:val="26"/>
        </w:rPr>
        <w:t>7.2 Electronic-signature technical flow</w:t>
      </w:r>
    </w:p>
    <w:p>
      <w:pPr>
        <w:pStyle w:val="ListNumber"/>
        <w:keepNext w:val="0"/>
        <w:spacing w:before="0" w:after="40" w:line="252" w:lineRule="auto"/>
      </w:pPr>
      <w:r>
        <w:rPr>
          <w:rFonts w:ascii="Calibri" w:hAnsi="Calibri"/>
          <w:color w:val="203040"/>
          <w:sz w:val="18"/>
        </w:rPr>
        <w:t>The workflow raises a configured signing event with record/object version and controlled meaning code.</w:t>
      </w:r>
    </w:p>
    <w:p>
      <w:pPr>
        <w:pStyle w:val="ListNumber"/>
        <w:keepNext w:val="0"/>
        <w:spacing w:before="0" w:after="40" w:line="252" w:lineRule="auto"/>
      </w:pPr>
      <w:r>
        <w:rPr>
          <w:rFonts w:ascii="Calibri" w:hAnsi="Calibri"/>
          <w:color w:val="203040"/>
          <w:sz w:val="18"/>
        </w:rPr>
        <w:t>The signature service displays the meaning and exact signing context and invokes the approved re-authentication control.</w:t>
      </w:r>
    </w:p>
    <w:p>
      <w:pPr>
        <w:pStyle w:val="ListNumber"/>
        <w:keepNext w:val="0"/>
        <w:spacing w:before="0" w:after="40" w:line="252" w:lineRule="auto"/>
      </w:pPr>
      <w:r>
        <w:rPr>
          <w:rFonts w:ascii="Calibri" w:hAnsi="Calibri"/>
          <w:color w:val="203040"/>
          <w:sz w:val="18"/>
        </w:rPr>
        <w:t>The service re-evaluates signer identity, permission, segregation and record state at signing time.</w:t>
      </w:r>
    </w:p>
    <w:p>
      <w:pPr>
        <w:pStyle w:val="ListNumber"/>
        <w:keepNext w:val="0"/>
        <w:spacing w:before="0" w:after="40" w:line="252" w:lineRule="auto"/>
      </w:pPr>
      <w:r>
        <w:rPr>
          <w:rFonts w:ascii="Calibri" w:hAnsi="Calibri"/>
          <w:color w:val="203040"/>
          <w:sz w:val="18"/>
        </w:rPr>
        <w:t>A signature envelope is created with signer, signed-at authoritative time, meaning and immutable linkage to the exact record version.</w:t>
      </w:r>
    </w:p>
    <w:p>
      <w:pPr>
        <w:pStyle w:val="ListNumber"/>
        <w:keepNext w:val="0"/>
        <w:spacing w:before="0" w:after="40" w:line="252" w:lineRule="auto"/>
      </w:pPr>
      <w:r>
        <w:rPr>
          <w:rFonts w:ascii="Calibri" w:hAnsi="Calibri"/>
          <w:color w:val="203040"/>
          <w:sz w:val="18"/>
        </w:rPr>
        <w:t>The business transition and signature/audit relationship commit atomically; any failure leaves no false signed state.</w:t>
      </w:r>
    </w:p>
    <w:p>
      <w:pPr>
        <w:pStyle w:val="ListNumber"/>
        <w:keepNext w:val="0"/>
        <w:spacing w:before="0" w:after="40" w:line="252" w:lineRule="auto"/>
      </w:pPr>
      <w:r>
        <w:rPr>
          <w:rFonts w:ascii="Calibri" w:hAnsi="Calibri"/>
          <w:color w:val="203040"/>
          <w:sz w:val="18"/>
        </w:rPr>
        <w:t>Review, retrieval, copy, archive, restore and migration functions preserve and display the linkage or expose an integrity failure.</w:t>
      </w:r>
    </w:p>
    <w:p>
      <w:pPr>
        <w:pStyle w:val="Heading2"/>
        <w:keepNext/>
        <w:spacing w:before="100" w:after="80" w:line="252" w:lineRule="auto"/>
      </w:pPr>
      <w:r>
        <w:rPr>
          <w:rFonts w:ascii="Calibri" w:hAnsi="Calibri"/>
          <w:b/>
          <w:color w:val="2E74B5"/>
          <w:sz w:val="26"/>
        </w:rPr>
        <w:t>7.3 Audit-event and review architecture</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800"/>
        <w:gridCol w:w="4300"/>
        <w:gridCol w:w="3260"/>
      </w:tblGrid>
      <w:tr>
        <w:trPr>
          <w:trHeight w:hRule="auto"/>
          <w:cantSplit/>
          <w:tblHeader w:val="true"/>
          <w:cantSplit/>
        </w:trPr>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Event class</w:t>
            </w:r>
          </w:p>
        </w:tc>
        <w:tc>
          <w:tcPr>
            <w:tcW w:type="dxa" w:w="43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Minimum event context</w:t>
            </w:r>
          </w:p>
        </w:tc>
        <w:tc>
          <w:tcPr>
            <w:tcW w:type="dxa" w:w="32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Review / protection design</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GxP data create/change/correction</w:t>
            </w:r>
          </w:p>
        </w:tc>
        <w:tc>
          <w:tcPr>
            <w:tcW w:type="dxa" w:w="4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Object/record/batch, actor/source, authoritative time, action, reason, prior/new value and outcome.</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Transaction-coupled capture; batch/review drill-through; protected retention.</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Workflow/state and exception</w:t>
            </w:r>
          </w:p>
        </w:tc>
        <w:tc>
          <w:tcPr>
            <w:tcW w:type="dxa" w:w="4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Prior/new state, guard/decision, triggering event, exception/disposition and accountable roles.</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Chronological reconstruction and completion/release control.</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Electronic signature</w:t>
            </w:r>
          </w:p>
        </w:tc>
        <w:tc>
          <w:tcPr>
            <w:tcW w:type="dxa" w:w="4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Signing event, signer, meaning, record/version link, authentication outcome and transition.</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Permanent linkage, copy/retrieval visibility and unauthorised-attempt review.</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Identity/access/security</w:t>
            </w:r>
          </w:p>
        </w:tc>
        <w:tc>
          <w:tcPr>
            <w:tcW w:type="dxa" w:w="4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Authentication/session, entitlement, privilege/service use, approval and outcome.</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Security monitoring, access review and incident evidence.</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Configuration/change</w:t>
            </w:r>
          </w:p>
        </w:tc>
        <w:tc>
          <w:tcPr>
            <w:tcW w:type="dxa" w:w="4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Artifact/configuration identity/version, actor, approval/change reference placeholder, prior/new value and promotion.</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Baseline comparison and code/configuration review trace; no actual change ID created.</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Interface</w:t>
            </w:r>
          </w:p>
        </w:tc>
        <w:tc>
          <w:tcPr>
            <w:tcW w:type="dxa" w:w="4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Family/contract, message/business/correlation identity, state, mapping version, endpoint identity, error/disposition.</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Reconciliation, retry/replay/quarantine review and recovery continuity.</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Backup/recovery/operations</w:t>
            </w:r>
          </w:p>
        </w:tc>
        <w:tc>
          <w:tcPr>
            <w:tcW w:type="dxa" w:w="4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Protected object/job/restore/alert, result, time, owner and resolution.</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Maintained-state review and independent evidence retention.</w:t>
            </w:r>
          </w:p>
        </w:tc>
      </w:tr>
    </w:tbl>
    <w:p>
      <w:pPr>
        <w:spacing w:after="40" w:before="0"/>
      </w:pPr>
    </w:p>
    <w:p>
      <w:pPr>
        <w:pStyle w:val="Heading1"/>
        <w:keepNext/>
        <w:spacing w:before="160" w:after="80" w:line="252" w:lineRule="auto"/>
      </w:pPr>
      <w:r>
        <w:rPr>
          <w:rFonts w:ascii="Calibri" w:hAnsi="Calibri"/>
          <w:b/>
          <w:color w:val="2E74B5"/>
          <w:sz w:val="32"/>
        </w:rPr>
        <w:t>8 Interface technical architecture</w:t>
      </w:r>
    </w:p>
    <w:p>
      <w:pPr>
        <w:pStyle w:val="Heading2"/>
        <w:keepNext/>
        <w:spacing w:before="100" w:after="80" w:line="252" w:lineRule="auto"/>
      </w:pPr>
      <w:r>
        <w:rPr>
          <w:rFonts w:ascii="Calibri" w:hAnsi="Calibri"/>
          <w:b/>
          <w:color w:val="2E74B5"/>
          <w:sz w:val="26"/>
        </w:rPr>
        <w:t>8.1 Common integration control plane</w:t>
      </w:r>
    </w:p>
    <w:p>
      <w:pPr>
        <w:keepNext w:val="0"/>
        <w:spacing w:before="0" w:after="80" w:line="252" w:lineRule="auto"/>
      </w:pPr>
      <w:r>
        <w:rPr>
          <w:rFonts w:ascii="Calibri" w:hAnsi="Calibri"/>
          <w:b w:val="0"/>
          <w:i w:val="0"/>
          <w:color w:val="203040"/>
          <w:sz w:val="18"/>
        </w:rPr>
        <w:t>NL-MES-IS-001 is the detailed contract authority for the 60 integration requirements. This DS allocates those requirements to CMP-MES-INT-001 and the relevant consumer/provider components. Physical technologies remain Verify; logical behavior is fixed by the existing IS namespace and shall not be silently renamed.</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900"/>
        <w:gridCol w:w="4500"/>
        <w:gridCol w:w="2960"/>
      </w:tblGrid>
      <w:tr>
        <w:trPr>
          <w:trHeight w:hRule="auto"/>
          <w:cantSplit/>
          <w:tblHeader w:val="true"/>
          <w:cantSplit/>
        </w:trPr>
        <w:tc>
          <w:tcPr>
            <w:tcW w:type="dxa" w:w="19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Shared capability</w:t>
            </w:r>
          </w:p>
        </w:tc>
        <w:tc>
          <w:tcPr>
            <w:tcW w:type="dxa" w:w="45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Technical design responsibility</w:t>
            </w:r>
          </w:p>
        </w:tc>
        <w:tc>
          <w:tcPr>
            <w:tcW w:type="dxa" w:w="29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Evidence / failure rule</w:t>
            </w:r>
          </w:p>
        </w:tc>
      </w:tr>
      <w:tr>
        <w:trPr>
          <w:cantSplit/>
          <w:trHeight w:hRule="auto"/>
          <w:cantSplit/>
        </w:trPr>
        <w:tc>
          <w:tcPr>
            <w:tcW w:type="dxa" w:w="1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Contract registry</w:t>
            </w:r>
          </w:p>
        </w:tc>
        <w:tc>
          <w:tcPr>
            <w:tcW w:type="dxa" w:w="4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Versioned logical schemas, required fields, mappings, compatibility/deprecation and accountable family owner.</w:t>
            </w:r>
          </w:p>
        </w:tc>
        <w:tc>
          <w:tcPr>
            <w:tcW w:type="dxa" w:w="2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Unsupported version or missing field is rejected before business use.</w:t>
            </w:r>
          </w:p>
        </w:tc>
      </w:tr>
      <w:tr>
        <w:trPr>
          <w:cantSplit/>
          <w:trHeight w:hRule="auto"/>
          <w:cantSplit/>
        </w:trPr>
        <w:tc>
          <w:tcPr>
            <w:tcW w:type="dxa" w:w="1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Trust and access</w:t>
            </w:r>
          </w:p>
        </w:tc>
        <w:tc>
          <w:tcPr>
            <w:tcW w:type="dxa" w:w="4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Endpoint/service identity, least privilege, protected channel and approved data scope.</w:t>
            </w:r>
          </w:p>
        </w:tc>
        <w:tc>
          <w:tcPr>
            <w:tcW w:type="dxa" w:w="29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Invalid/expired trust and excess scope fail closed and are logged.</w:t>
            </w:r>
          </w:p>
        </w:tc>
      </w:tr>
      <w:tr>
        <w:trPr>
          <w:cantSplit/>
          <w:trHeight w:hRule="auto"/>
          <w:cantSplit/>
        </w:trPr>
        <w:tc>
          <w:tcPr>
            <w:tcW w:type="dxa" w:w="1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Correlation/idempotency</w:t>
            </w:r>
          </w:p>
        </w:tc>
        <w:tc>
          <w:tcPr>
            <w:tcW w:type="dxa" w:w="4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Stable message, business object and correlation identities plus sequence/supersession state.</w:t>
            </w:r>
          </w:p>
        </w:tc>
        <w:tc>
          <w:tcPr>
            <w:tcW w:type="dxa" w:w="2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Duplicate, late and reordered events create deterministic single effects and complete history.</w:t>
            </w:r>
          </w:p>
        </w:tc>
      </w:tr>
      <w:tr>
        <w:trPr>
          <w:cantSplit/>
          <w:trHeight w:hRule="auto"/>
          <w:cantSplit/>
        </w:trPr>
        <w:tc>
          <w:tcPr>
            <w:tcW w:type="dxa" w:w="1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Acknowledgement/retry/replay</w:t>
            </w:r>
          </w:p>
        </w:tc>
        <w:tc>
          <w:tcPr>
            <w:tcW w:type="dxa" w:w="4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Separate technical receipt and business outcome; controlled timeout/retry; authorised idempotent replay.</w:t>
            </w:r>
          </w:p>
        </w:tc>
        <w:tc>
          <w:tcPr>
            <w:tcW w:type="dxa" w:w="29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Uncertain state remains visible and is never treated as success.</w:t>
            </w:r>
          </w:p>
        </w:tc>
      </w:tr>
      <w:tr>
        <w:trPr>
          <w:cantSplit/>
          <w:trHeight w:hRule="auto"/>
          <w:cantSplit/>
        </w:trPr>
        <w:tc>
          <w:tcPr>
            <w:tcW w:type="dxa" w:w="1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Quarantine/disposition</w:t>
            </w:r>
          </w:p>
        </w:tc>
        <w:tc>
          <w:tcPr>
            <w:tcW w:type="dxa" w:w="4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Retain original invalid/unmatched/rejected transaction, reason, age, owner and controlled disposition.</w:t>
            </w:r>
          </w:p>
        </w:tc>
        <w:tc>
          <w:tcPr>
            <w:tcW w:type="dxa" w:w="2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No delete/overwrite that disguises the original failure.</w:t>
            </w:r>
          </w:p>
        </w:tc>
      </w:tr>
      <w:tr>
        <w:trPr>
          <w:cantSplit/>
          <w:trHeight w:hRule="auto"/>
          <w:cantSplit/>
        </w:trPr>
        <w:tc>
          <w:tcPr>
            <w:tcW w:type="dxa" w:w="1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Reconciliation</w:t>
            </w:r>
          </w:p>
        </w:tc>
        <w:tc>
          <w:tcPr>
            <w:tcW w:type="dxa" w:w="4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Compare source, integration and target counts/identities/states for a reproducible window.</w:t>
            </w:r>
          </w:p>
        </w:tc>
        <w:tc>
          <w:tcPr>
            <w:tcW w:type="dxa" w:w="29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Differences remain open with ownership and evidence until resolved.</w:t>
            </w:r>
          </w:p>
        </w:tc>
      </w:tr>
      <w:tr>
        <w:trPr>
          <w:cantSplit/>
          <w:trHeight w:hRule="auto"/>
          <w:cantSplit/>
        </w:trPr>
        <w:tc>
          <w:tcPr>
            <w:tcW w:type="dxa" w:w="1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Monitoring/recovery</w:t>
            </w:r>
          </w:p>
        </w:tc>
        <w:tc>
          <w:tcPr>
            <w:tcW w:type="dxa" w:w="4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Health, capacity, data-quality, security and backlog events; restore configuration/state and reconcile after recovery.</w:t>
            </w:r>
          </w:p>
        </w:tc>
        <w:tc>
          <w:tcPr>
            <w:tcW w:type="dxa" w:w="2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Recovery or version change cannot reset unresolved evidence.</w:t>
            </w:r>
          </w:p>
        </w:tc>
      </w:tr>
    </w:tbl>
    <w:p>
      <w:pPr>
        <w:spacing w:after="40" w:before="0"/>
      </w:pPr>
    </w:p>
    <w:p>
      <w:pPr>
        <w:pStyle w:val="Heading2"/>
        <w:keepNext/>
        <w:spacing w:before="100" w:after="80" w:line="252" w:lineRule="auto"/>
      </w:pPr>
      <w:r>
        <w:rPr>
          <w:rFonts w:ascii="Calibri" w:hAnsi="Calibri"/>
          <w:b/>
          <w:color w:val="2E74B5"/>
          <w:sz w:val="26"/>
        </w:rPr>
        <w:t>8.2 Interface families and ownership</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700"/>
        <w:gridCol w:w="2000"/>
        <w:gridCol w:w="2900"/>
        <w:gridCol w:w="2760"/>
      </w:tblGrid>
      <w:tr>
        <w:trPr>
          <w:trHeight w:hRule="auto"/>
          <w:cantSplit/>
          <w:tblHeader w:val="true"/>
          <w:cantSplit/>
        </w:trPr>
        <w:tc>
          <w:tcPr>
            <w:tcW w:type="dxa" w:w="17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Family anchor</w:t>
            </w:r>
          </w:p>
        </w:tc>
        <w:tc>
          <w:tcPr>
            <w:tcW w:type="dxa" w:w="20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Detailed range / count</w:t>
            </w:r>
          </w:p>
        </w:tc>
        <w:tc>
          <w:tcPr>
            <w:tcW w:type="dxa" w:w="29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Business responsibility</w:t>
            </w:r>
          </w:p>
        </w:tc>
        <w:tc>
          <w:tcPr>
            <w:tcW w:type="dxa" w:w="27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Technical allocation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INT-MES-ERP-001</w:t>
            </w:r>
          </w:p>
        </w:tc>
        <w:tc>
          <w:tcPr>
            <w:tcW w:type="dxa" w:w="2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INT-MES-ERP-001 to 009 / 9</w:t>
            </w:r>
          </w:p>
        </w:tc>
        <w:tc>
          <w:tcPr>
            <w:tcW w:type="dxa" w:w="2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Orders/master data inbound; manufacturing confirmations outbound.</w:t>
            </w:r>
          </w:p>
        </w:tc>
        <w:tc>
          <w:tcPr>
            <w:tcW w:type="dxa" w:w="27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INT-MES-LIMS-001</w:t>
            </w:r>
          </w:p>
        </w:tc>
        <w:tc>
          <w:tcPr>
            <w:tcW w:type="dxa" w:w="2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INT-MES-LIMS-001 to 009 / 9</w:t>
            </w:r>
          </w:p>
        </w:tc>
        <w:tc>
          <w:tcPr>
            <w:tcW w:type="dxa" w:w="2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Sample requests/status and result/disposition exchanges.</w:t>
            </w:r>
          </w:p>
        </w:tc>
        <w:tc>
          <w:tcPr>
            <w:tcW w:type="dxa" w:w="27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INT-MES-AUT-001</w:t>
            </w:r>
          </w:p>
        </w:tc>
        <w:tc>
          <w:tcPr>
            <w:tcW w:type="dxa" w:w="2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INT-MES-AUT-001 to 010 / 10</w:t>
            </w:r>
          </w:p>
        </w:tc>
        <w:tc>
          <w:tcPr>
            <w:tcW w:type="dxa" w:w="2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Commands/setpoints and measurement/status/alarm exchanges.</w:t>
            </w:r>
          </w:p>
        </w:tc>
        <w:tc>
          <w:tcPr>
            <w:tcW w:type="dxa" w:w="27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INT-MES-HIS-001</w:t>
            </w:r>
          </w:p>
        </w:tc>
        <w:tc>
          <w:tcPr>
            <w:tcW w:type="dxa" w:w="2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INT-MES-HIS-001 to 008 / 8</w:t>
            </w:r>
          </w:p>
        </w:tc>
        <w:tc>
          <w:tcPr>
            <w:tcW w:type="dxa" w:w="2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Historian/reporting publication and correction/reconciliation.</w:t>
            </w:r>
          </w:p>
        </w:tc>
        <w:tc>
          <w:tcPr>
            <w:tcW w:type="dxa" w:w="27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CMP-MES-REP-001; CMP-MES-DB-001</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INT-MES-IAM-001</w:t>
            </w:r>
          </w:p>
        </w:tc>
        <w:tc>
          <w:tcPr>
            <w:tcW w:type="dxa" w:w="2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INT-MES-IAM-001 to 008 / 8</w:t>
            </w:r>
          </w:p>
        </w:tc>
        <w:tc>
          <w:tcPr>
            <w:tcW w:type="dxa" w:w="2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Enterprise identity, entitlement lifecycle and reconciliation.</w:t>
            </w:r>
          </w:p>
        </w:tc>
        <w:tc>
          <w:tcPr>
            <w:tcW w:type="dxa" w:w="27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CMP-ENT-IAM-001; CMP-MES-APP-001</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INT-MES-TIM-001</w:t>
            </w:r>
          </w:p>
        </w:tc>
        <w:tc>
          <w:tcPr>
            <w:tcW w:type="dxa" w:w="2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INT-MES-TIM-001 to 006 / 6</w:t>
            </w:r>
          </w:p>
        </w:tc>
        <w:tc>
          <w:tcPr>
            <w:tcW w:type="dxa" w:w="2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Authoritative time distribution, drift/failure and recovery.</w:t>
            </w:r>
          </w:p>
        </w:tc>
        <w:tc>
          <w:tcPr>
            <w:tcW w:type="dxa" w:w="27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CMP-ENT-TIME-001; all timestamping components</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INT-MES-OPS-001</w:t>
            </w:r>
          </w:p>
        </w:tc>
        <w:tc>
          <w:tcPr>
            <w:tcW w:type="dxa" w:w="2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INT-MES-OPS-001 to 010 / 10</w:t>
            </w:r>
          </w:p>
        </w:tc>
        <w:tc>
          <w:tcPr>
            <w:tcW w:type="dxa" w:w="2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Monitoring, backup/recovery and operational-control exchanges.</w:t>
            </w:r>
          </w:p>
        </w:tc>
        <w:tc>
          <w:tcPr>
            <w:tcW w:type="dxa" w:w="27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CMP-ENT-MON-001; CMP-ENT-BCK-001</w:t>
            </w:r>
          </w:p>
        </w:tc>
      </w:tr>
    </w:tbl>
    <w:p>
      <w:pPr>
        <w:spacing w:after="40" w:before="0"/>
      </w:pPr>
    </w:p>
    <w:p>
      <w:pPr>
        <w:keepNext w:val="0"/>
        <w:spacing w:before="80" w:after="80" w:line="240" w:lineRule="auto"/>
        <w:shd w:val="clear" w:color="auto" w:fill="FFF5CC"/>
        <w:pBdr>
          <w:top w:val="single" w:sz="4" w:space="3" w:color="B7C9D8"/>
          <w:left w:val="single" w:sz="4" w:space="3" w:color="B7C9D8"/>
          <w:bottom w:val="single" w:sz="4" w:space="3" w:color="B7C9D8"/>
          <w:right w:val="single" w:sz="4" w:space="3" w:color="B7C9D8"/>
        </w:pBdr>
        <w:ind w:left="120" w:right="120"/>
      </w:pPr>
      <w:r>
        <w:rPr>
          <w:rFonts w:ascii="Calibri" w:hAnsi="Calibri"/>
          <w:b w:val="0"/>
          <w:color w:val="0B2545"/>
          <w:sz w:val="17"/>
        </w:rPr>
        <w:t>Network/data-flow gate: protocol, service, port, source, destination, firewall rule and certificate values are not invented. They must be populated in the approved design/configuration records and traced to the applicable INT-MES-* and DS-MES-* identifiers before implementation.</w:t>
      </w:r>
    </w:p>
    <w:p>
      <w:pPr>
        <w:spacing w:after="20"/>
      </w:pPr>
    </w:p>
    <w:p>
      <w:pPr>
        <w:pStyle w:val="Heading1"/>
        <w:keepNext/>
        <w:spacing w:before="160" w:after="80" w:line="252" w:lineRule="auto"/>
      </w:pPr>
      <w:r>
        <w:rPr>
          <w:rFonts w:ascii="Calibri" w:hAnsi="Calibri"/>
          <w:b/>
          <w:color w:val="2E74B5"/>
          <w:sz w:val="32"/>
        </w:rPr>
        <w:t>9 Reporting and observability</w:t>
      </w:r>
    </w:p>
    <w:p>
      <w:pPr>
        <w:pStyle w:val="Heading2"/>
        <w:keepNext/>
        <w:spacing w:before="100" w:after="80" w:line="252" w:lineRule="auto"/>
      </w:pPr>
      <w:r>
        <w:rPr>
          <w:rFonts w:ascii="Calibri" w:hAnsi="Calibri"/>
          <w:b/>
          <w:color w:val="2E74B5"/>
          <w:sz w:val="26"/>
        </w:rPr>
        <w:t>9.1 Reporting architecture</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900"/>
        <w:gridCol w:w="2800"/>
        <w:gridCol w:w="3300"/>
        <w:gridCol w:w="1360"/>
      </w:tblGrid>
      <w:tr>
        <w:trPr>
          <w:trHeight w:hRule="auto"/>
          <w:cantSplit/>
          <w:tblHeader w:val="true"/>
          <w:cantSplit/>
        </w:trPr>
        <w:tc>
          <w:tcPr>
            <w:tcW w:type="dxa" w:w="19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Report/view class</w:t>
            </w:r>
          </w:p>
        </w:tc>
        <w:tc>
          <w:tcPr>
            <w:tcW w:type="dxa" w:w="2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Governed source and freshness</w:t>
            </w:r>
          </w:p>
        </w:tc>
        <w:tc>
          <w:tcPr>
            <w:tcW w:type="dxa" w:w="33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Required provenance / control</w:t>
            </w:r>
          </w:p>
        </w:tc>
        <w:tc>
          <w:tcPr>
            <w:tcW w:type="dxa" w:w="13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Primary DS</w:t>
            </w:r>
          </w:p>
        </w:tc>
      </w:tr>
      <w:tr>
        <w:trPr>
          <w:cantSplit/>
          <w:trHeight w:hRule="auto"/>
          <w:cantSplit/>
        </w:trPr>
        <w:tc>
          <w:tcPr>
            <w:tcW w:type="dxa" w:w="1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Operational execution</w:t>
            </w:r>
          </w:p>
        </w:tc>
        <w:tc>
          <w:tcPr>
            <w:tcW w:type="dxa" w:w="2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Current governed execution/read model; visible source/as-of time.</w:t>
            </w:r>
          </w:p>
        </w:tc>
        <w:tc>
          <w:tcPr>
            <w:tcW w:type="dxa" w:w="3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Role/scope, state/exception indicator, stale-data marker and drill-back.</w:t>
            </w:r>
          </w:p>
        </w:tc>
        <w:tc>
          <w:tcPr>
            <w:tcW w:type="dxa" w:w="136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041</w:t>
            </w:r>
          </w:p>
        </w:tc>
      </w:tr>
      <w:tr>
        <w:trPr>
          <w:cantSplit/>
          <w:trHeight w:hRule="auto"/>
          <w:cantSplit/>
        </w:trPr>
        <w:tc>
          <w:tcPr>
            <w:tcW w:type="dxa" w:w="1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Quality / review-by-exception</w:t>
            </w:r>
          </w:p>
        </w:tc>
        <w:tc>
          <w:tcPr>
            <w:tcW w:type="dxa" w:w="2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Frozen/effective batch record, exceptions, signatures and audit evidence.</w:t>
            </w:r>
          </w:p>
        </w:tc>
        <w:tc>
          <w:tcPr>
            <w:tcW w:type="dxa" w:w="3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Reproducible population, reviewer decision/version and underlying evidence link.</w:t>
            </w:r>
          </w:p>
        </w:tc>
        <w:tc>
          <w:tcPr>
            <w:tcW w:type="dxa" w:w="136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042</w:t>
            </w:r>
          </w:p>
        </w:tc>
      </w:tr>
      <w:tr>
        <w:trPr>
          <w:cantSplit/>
          <w:trHeight w:hRule="auto"/>
          <w:cantSplit/>
        </w:trPr>
        <w:tc>
          <w:tcPr>
            <w:tcW w:type="dxa" w:w="1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Interface reconciliation</w:t>
            </w:r>
          </w:p>
        </w:tc>
        <w:tc>
          <w:tcPr>
            <w:tcW w:type="dxa" w:w="2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Integration transaction ledger and source/target reconciliation evidence.</w:t>
            </w:r>
          </w:p>
        </w:tc>
        <w:tc>
          <w:tcPr>
            <w:tcW w:type="dxa" w:w="3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Family/window/state/age/owner, unresolved queue and complete totals/detail.</w:t>
            </w:r>
          </w:p>
        </w:tc>
        <w:tc>
          <w:tcPr>
            <w:tcW w:type="dxa" w:w="136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043</w:t>
            </w:r>
          </w:p>
        </w:tc>
      </w:tr>
      <w:tr>
        <w:trPr>
          <w:cantSplit/>
          <w:trHeight w:hRule="auto"/>
          <w:cantSplit/>
        </w:trPr>
        <w:tc>
          <w:tcPr>
            <w:tcW w:type="dxa" w:w="1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Controlled report / extract</w:t>
            </w:r>
          </w:p>
        </w:tc>
        <w:tc>
          <w:tcPr>
            <w:tcW w:type="dxa" w:w="2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Versioned report definition and approved governed sources.</w:t>
            </w:r>
          </w:p>
        </w:tc>
        <w:tc>
          <w:tcPr>
            <w:tcW w:type="dxa" w:w="3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Parameters, cut-off, generator, generated-at, record counts and output integrity/protection.</w:t>
            </w:r>
          </w:p>
        </w:tc>
        <w:tc>
          <w:tcPr>
            <w:tcW w:type="dxa" w:w="136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044</w:t>
            </w:r>
          </w:p>
        </w:tc>
      </w:tr>
    </w:tbl>
    <w:p>
      <w:pPr>
        <w:spacing w:after="40" w:before="0"/>
      </w:pPr>
    </w:p>
    <w:p>
      <w:pPr>
        <w:pStyle w:val="Heading2"/>
        <w:keepNext/>
        <w:spacing w:before="100" w:after="80" w:line="252" w:lineRule="auto"/>
      </w:pPr>
      <w:r>
        <w:rPr>
          <w:rFonts w:ascii="Calibri" w:hAnsi="Calibri"/>
          <w:b/>
          <w:color w:val="2E74B5"/>
          <w:sz w:val="26"/>
        </w:rPr>
        <w:t>9.2 Monitoring, logging and alerting</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800"/>
        <w:gridCol w:w="4300"/>
        <w:gridCol w:w="3260"/>
      </w:tblGrid>
      <w:tr>
        <w:trPr>
          <w:trHeight w:hRule="auto"/>
          <w:cantSplit/>
          <w:tblHeader w:val="true"/>
          <w:cantSplit/>
        </w:trPr>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Signal class</w:t>
            </w:r>
          </w:p>
        </w:tc>
        <w:tc>
          <w:tcPr>
            <w:tcW w:type="dxa" w:w="43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Minimum telemetry</w:t>
            </w:r>
          </w:p>
        </w:tc>
        <w:tc>
          <w:tcPr>
            <w:tcW w:type="dxa" w:w="32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Alert / evidence behavior</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Availability / dependency</w:t>
            </w:r>
          </w:p>
        </w:tc>
        <w:tc>
          <w:tcPr>
            <w:tcW w:type="dxa" w:w="4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Component/service identity, health state, dependency, start/end and recovery.</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Route by severity/owner; distinguish maintenance; link unresolved recovery/reconciliation.</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Performance / capacity</w:t>
            </w:r>
          </w:p>
        </w:tc>
        <w:tc>
          <w:tcPr>
            <w:tcW w:type="dxa" w:w="4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Latency, queue/backlog, storage/resource utilisation and sampling/aggregation context.</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Threshold/version and breach duration retained; exact values Verify.</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Security / access</w:t>
            </w:r>
          </w:p>
        </w:tc>
        <w:tc>
          <w:tcPr>
            <w:tcW w:type="dxa" w:w="4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Authentication failures, privileged/service use, trust/credential lifecycle and anomalous access.</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Security routing/escalation and investigation linkage; no incident ID invented.</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Data/interface quality</w:t>
            </w:r>
          </w:p>
        </w:tc>
        <w:tc>
          <w:tcPr>
            <w:tcW w:type="dxa" w:w="43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Validation rejects, duplicates, late/out-of-sequence items, quarantine and reconciliation difference.</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Business and technical owner visibility until controlled disposition.</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Backup/time</w:t>
            </w:r>
          </w:p>
        </w:tc>
        <w:tc>
          <w:tcPr>
            <w:tcW w:type="dxa" w:w="43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Job age/result/capacity, restore-test due state, time source/drift/synchronisation state.</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Failing or overdue condition is explicit and included in maintained-state review.</w:t>
            </w:r>
          </w:p>
        </w:tc>
      </w:tr>
    </w:tbl>
    <w:p>
      <w:pPr>
        <w:spacing w:after="40" w:before="0"/>
      </w:pPr>
    </w:p>
    <w:p>
      <w:pPr>
        <w:pStyle w:val="Heading1"/>
        <w:keepNext/>
        <w:spacing w:before="160" w:after="80" w:line="252" w:lineRule="auto"/>
      </w:pPr>
      <w:r>
        <w:rPr>
          <w:rFonts w:ascii="Calibri" w:hAnsi="Calibri"/>
          <w:b/>
          <w:color w:val="2E74B5"/>
          <w:sz w:val="32"/>
        </w:rPr>
        <w:t>10 Continuity, build, deployment and non-functional design</w:t>
      </w:r>
    </w:p>
    <w:p>
      <w:pPr>
        <w:pStyle w:val="Heading2"/>
        <w:keepNext/>
        <w:spacing w:before="100" w:after="80" w:line="252" w:lineRule="auto"/>
      </w:pPr>
      <w:r>
        <w:rPr>
          <w:rFonts w:ascii="Calibri" w:hAnsi="Calibri"/>
          <w:b/>
          <w:color w:val="2E74B5"/>
          <w:sz w:val="26"/>
        </w:rPr>
        <w:t>10.1 Backup, restore and recovery</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500"/>
        <w:gridCol w:w="4850"/>
        <w:gridCol w:w="3010"/>
      </w:tblGrid>
      <w:tr>
        <w:trPr>
          <w:trHeight w:hRule="auto"/>
          <w:cantSplit/>
          <w:tblHeader w:val="true"/>
          <w:cantSplit/>
        </w:trPr>
        <w:tc>
          <w:tcPr>
            <w:tcW w:type="dxa" w:w="15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Design stage</w:t>
            </w:r>
          </w:p>
        </w:tc>
        <w:tc>
          <w:tcPr>
            <w:tcW w:type="dxa" w:w="4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Technical control</w:t>
            </w:r>
          </w:p>
        </w:tc>
        <w:tc>
          <w:tcPr>
            <w:tcW w:type="dxa" w:w="30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Open values / evidence</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Backup scope</w:t>
            </w:r>
          </w:p>
        </w:tc>
        <w:tc>
          <w:tcPr>
            <w:tcW w:type="dxa" w:w="48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Map every component/data class to method, schedule, retention, access, encryption and owner; include configuration and integration/audit state.</w:t>
            </w:r>
          </w:p>
        </w:tc>
        <w:tc>
          <w:tcPr>
            <w:tcW w:type="dxa" w:w="30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Products, schedule, retention, RPO, protected-object list and job configuration Verify.</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Restore</w:t>
            </w:r>
          </w:p>
        </w:tc>
        <w:tc>
          <w:tcPr>
            <w:tcW w:type="dxa" w:w="48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Integrity-check media/package, restore to isolated/approved target, reconstruct dependencies and perform record/signature/audit/interface reconciliation before exposure.</w:t>
            </w:r>
          </w:p>
        </w:tc>
        <w:tc>
          <w:tcPr>
            <w:tcW w:type="dxa" w:w="30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Restore procedure, target topology and executed representative evidence open.</w:t>
            </w:r>
          </w:p>
        </w:tc>
      </w:tr>
      <w:tr>
        <w:trPr>
          <w:cantSplit/>
          <w:trHeight w:hRule="auto"/>
          <w:cantSplit/>
        </w:trPr>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Recovery / DR</w:t>
            </w:r>
          </w:p>
        </w:tc>
        <w:tc>
          <w:tcPr>
            <w:tcW w:type="dxa" w:w="48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Order time, IAM, database, integration, application, reporting and monitoring dependencies; hold/queue uncertain work and reconcile active batches/interfaces.</w:t>
            </w:r>
          </w:p>
        </w:tc>
        <w:tc>
          <w:tcPr>
            <w:tcW w:type="dxa" w:w="30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RTO/RPO, invocation, failover/failback, decision roles and executed DR test open.</w:t>
            </w:r>
          </w:p>
        </w:tc>
      </w:tr>
      <w:tr>
        <w:trPr>
          <w:cantSplit/>
          <w:trHeight w:hRule="auto"/>
          <w:cantSplit/>
        </w:trPr>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Monitoring / review</w:t>
            </w:r>
          </w:p>
        </w:tc>
        <w:tc>
          <w:tcPr>
            <w:tcW w:type="dxa" w:w="48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Alert on job failure/age/capacity and overdue restore verification; retain independent results and unresolved actions.</w:t>
            </w:r>
          </w:p>
        </w:tc>
        <w:tc>
          <w:tcPr>
            <w:tcW w:type="dxa" w:w="30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Thresholds, recipients, escalation and periodic evidence Verify.</w:t>
            </w:r>
          </w:p>
        </w:tc>
      </w:tr>
    </w:tbl>
    <w:p>
      <w:pPr>
        <w:spacing w:after="40" w:before="0"/>
      </w:pPr>
    </w:p>
    <w:p>
      <w:pPr>
        <w:pStyle w:val="Heading2"/>
        <w:keepNext/>
        <w:spacing w:before="100" w:after="80" w:line="252" w:lineRule="auto"/>
      </w:pPr>
      <w:r>
        <w:rPr>
          <w:rFonts w:ascii="Calibri" w:hAnsi="Calibri"/>
          <w:b/>
          <w:color w:val="2E74B5"/>
          <w:sz w:val="26"/>
        </w:rPr>
        <w:t>10.2 Configuration, custom code and promotion</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800"/>
        <w:gridCol w:w="4500"/>
        <w:gridCol w:w="3060"/>
      </w:tblGrid>
      <w:tr>
        <w:trPr>
          <w:trHeight w:hRule="auto"/>
          <w:cantSplit/>
          <w:tblHeader w:val="true"/>
          <w:cantSplit/>
        </w:trPr>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Artifact class</w:t>
            </w:r>
          </w:p>
        </w:tc>
        <w:tc>
          <w:tcPr>
            <w:tcW w:type="dxa" w:w="45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Control design</w:t>
            </w:r>
          </w:p>
        </w:tc>
        <w:tc>
          <w:tcPr>
            <w:tcW w:type="dxa" w:w="30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Downstream evidence</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Supplier product / standard capability</w:t>
            </w:r>
          </w:p>
        </w:tc>
        <w:tc>
          <w:tcPr>
            <w:tcW w:type="dxa" w:w="4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Identify component/release/module and supplier evidence; confirm supported use and no uncontrolled modification.</w:t>
            </w:r>
          </w:p>
        </w:tc>
        <w:tc>
          <w:tcPr>
            <w:tcW w:type="dxa" w:w="30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Product baseline, supplier assessment/evidence and verification.</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Configured software</w:t>
            </w:r>
          </w:p>
        </w:tc>
        <w:tc>
          <w:tcPr>
            <w:tcW w:type="dxa" w:w="4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Unique CI-MES-* objects in NL-MES-CS-001 with value, rationale, dependency, owner, version and verification trace.</w:t>
            </w:r>
          </w:p>
        </w:tc>
        <w:tc>
          <w:tcPr>
            <w:tcW w:type="dxa" w:w="30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Approved CS, export/baseline, promotion manifest and test evidence.</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Custom code if applicable</w:t>
            </w:r>
          </w:p>
        </w:tc>
        <w:tc>
          <w:tcPr>
            <w:tcW w:type="dxa" w:w="4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Repository-controlled source/build artifacts linked to DS/unit specifications and programming standards; risk-based independent code review.</w:t>
            </w:r>
          </w:p>
        </w:tc>
        <w:tc>
          <w:tcPr>
            <w:tcW w:type="dxa" w:w="30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SW category decision, repository/toolchain, unit specs/tests, build manifest and code-review report.</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Deployment bundle</w:t>
            </w:r>
          </w:p>
        </w:tc>
        <w:tc>
          <w:tcPr>
            <w:tcW w:type="dxa" w:w="4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Immutable or uniquely versioned release manifest combining product/configuration/code/database/interface/report artifacts and dependency order.</w:t>
            </w:r>
          </w:p>
        </w:tc>
        <w:tc>
          <w:tcPr>
            <w:tcW w:type="dxa" w:w="30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Environment baseline, approvals, deployment/rollback steps and post-deploy checks.</w:t>
            </w:r>
          </w:p>
        </w:tc>
      </w:tr>
    </w:tbl>
    <w:p>
      <w:pPr>
        <w:spacing w:after="40" w:before="0"/>
      </w:pPr>
    </w:p>
    <w:p>
      <w:pPr>
        <w:pStyle w:val="Heading2"/>
        <w:keepNext/>
        <w:spacing w:before="100" w:after="80" w:line="252" w:lineRule="auto"/>
      </w:pPr>
      <w:r>
        <w:rPr>
          <w:rFonts w:ascii="Calibri" w:hAnsi="Calibri"/>
          <w:b/>
          <w:color w:val="2E74B5"/>
          <w:sz w:val="26"/>
        </w:rPr>
        <w:t>10.3 Non-functional design</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600"/>
        <w:gridCol w:w="4700"/>
        <w:gridCol w:w="3060"/>
      </w:tblGrid>
      <w:tr>
        <w:trPr>
          <w:trHeight w:hRule="auto"/>
          <w:cantSplit/>
          <w:tblHeader w:val="true"/>
          <w:cantSplit/>
        </w:trPr>
        <w:tc>
          <w:tcPr>
            <w:tcW w:type="dxa" w:w="1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Attribute</w:t>
            </w:r>
          </w:p>
        </w:tc>
        <w:tc>
          <w:tcPr>
            <w:tcW w:type="dxa" w:w="47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Technical design intent</w:t>
            </w:r>
          </w:p>
        </w:tc>
        <w:tc>
          <w:tcPr>
            <w:tcW w:type="dxa" w:w="30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Quantitative target / owner</w:t>
            </w:r>
          </w:p>
        </w:tc>
      </w:tr>
      <w:tr>
        <w:trPr>
          <w:cantSplit/>
          <w:trHeight w:hRule="auto"/>
          <w:cantSplit/>
        </w:trPr>
        <w:tc>
          <w:tcPr>
            <w:tcW w:type="dxa" w:w="1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Availability</w:t>
            </w:r>
          </w:p>
        </w:tc>
        <w:tc>
          <w:tcPr>
            <w:tcW w:type="dxa" w:w="47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Fail visibly, preserve consistent state, support controlled restart and dependency-aware recovery without false successful transactions.</w:t>
            </w:r>
          </w:p>
        </w:tc>
        <w:tc>
          <w:tcPr>
            <w:tcW w:type="dxa" w:w="30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Availability/maintenance/HA/failover target Verify / Solution Architect.</w:t>
            </w:r>
          </w:p>
        </w:tc>
      </w:tr>
      <w:tr>
        <w:trPr>
          <w:cantSplit/>
          <w:trHeight w:hRule="auto"/>
          <w:cantSplit/>
        </w:trPr>
        <w:tc>
          <w:tcPr>
            <w:tcW w:type="dxa" w:w="1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Performance</w:t>
            </w:r>
          </w:p>
        </w:tc>
        <w:tc>
          <w:tcPr>
            <w:tcW w:type="dxa" w:w="47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Protect execution from reporting/integration contention; monitor response, processing, queue and batch volumes.</w:t>
            </w:r>
          </w:p>
        </w:tc>
        <w:tc>
          <w:tcPr>
            <w:tcW w:type="dxa" w:w="30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Workload, response/throughput/backlog targets Verify / Business and Technical Owners.</w:t>
            </w:r>
          </w:p>
        </w:tc>
      </w:tr>
      <w:tr>
        <w:trPr>
          <w:cantSplit/>
          <w:trHeight w:hRule="auto"/>
          <w:cantSplit/>
        </w:trPr>
        <w:tc>
          <w:tcPr>
            <w:tcW w:type="dxa" w:w="1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Capacity / scalability</w:t>
            </w:r>
          </w:p>
        </w:tc>
        <w:tc>
          <w:tcPr>
            <w:tcW w:type="dxa" w:w="47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Size storage, compute, queues, audit/retention and backup windows with trend/threshold evidence and supported scaling path.</w:t>
            </w:r>
          </w:p>
        </w:tc>
        <w:tc>
          <w:tcPr>
            <w:tcW w:type="dxa" w:w="30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Sizing model, growth, headroom and threshold values Verify / Infrastructure Owner.</w:t>
            </w:r>
          </w:p>
        </w:tc>
      </w:tr>
      <w:tr>
        <w:trPr>
          <w:cantSplit/>
          <w:trHeight w:hRule="auto"/>
          <w:cantSplit/>
        </w:trPr>
        <w:tc>
          <w:tcPr>
            <w:tcW w:type="dxa" w:w="1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Maintainability</w:t>
            </w:r>
          </w:p>
        </w:tc>
        <w:tc>
          <w:tcPr>
            <w:tcW w:type="dxa" w:w="47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Component boundaries, versioned configuration/build, diagnostic evidence, documented dependencies and controlled deployment/rollback.</w:t>
            </w:r>
          </w:p>
        </w:tc>
        <w:tc>
          <w:tcPr>
            <w:tcW w:type="dxa" w:w="30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Support model, maintenance window, diagnostic retention and recovery procedure Verify.</w:t>
            </w:r>
          </w:p>
        </w:tc>
      </w:tr>
      <w:tr>
        <w:trPr>
          <w:cantSplit/>
          <w:trHeight w:hRule="auto"/>
          <w:cantSplit/>
        </w:trPr>
        <w:tc>
          <w:tcPr>
            <w:tcW w:type="dxa" w:w="1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Security</w:t>
            </w:r>
          </w:p>
        </w:tc>
        <w:tc>
          <w:tcPr>
            <w:tcW w:type="dxa" w:w="47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Least privilege, trust boundaries, protected data/channels, component baseline, vulnerability/patch monitoring and auditability.</w:t>
            </w:r>
          </w:p>
        </w:tc>
        <w:tc>
          <w:tcPr>
            <w:tcW w:type="dxa" w:w="30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Assessment/control configuration and acceptance roles Verify / Security and System Owners.</w:t>
            </w:r>
          </w:p>
        </w:tc>
      </w:tr>
      <w:tr>
        <w:trPr>
          <w:cantSplit/>
          <w:trHeight w:hRule="auto"/>
          <w:cantSplit/>
        </w:trPr>
        <w:tc>
          <w:tcPr>
            <w:tcW w:type="dxa" w:w="1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Recoverability</w:t>
            </w:r>
          </w:p>
        </w:tc>
        <w:tc>
          <w:tcPr>
            <w:tcW w:type="dxa" w:w="47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Backup/restore coverage, dependency sequence, consistent recovered state and reconciliation of regulated records/interfaces.</w:t>
            </w:r>
          </w:p>
        </w:tc>
        <w:tc>
          <w:tcPr>
            <w:tcW w:type="dxa" w:w="30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RPO/RTO, recovery/failback and representative test criteria Verify / Continuity Owner.</w:t>
            </w:r>
          </w:p>
        </w:tc>
      </w:tr>
    </w:tbl>
    <w:p>
      <w:pPr>
        <w:spacing w:after="40" w:before="0"/>
      </w:pPr>
    </w:p>
    <w:p>
      <w:pPr>
        <w:pageBreakBefore/>
      </w:pPr>
      <w:r>
        <w:br/>
      </w:r>
    </w:p>
    <w:p>
      <w:pPr>
        <w:pStyle w:val="Heading1"/>
        <w:keepNext/>
        <w:spacing w:before="160" w:after="80" w:line="252" w:lineRule="auto"/>
      </w:pPr>
      <w:r>
        <w:rPr>
          <w:rFonts w:ascii="Calibri" w:hAnsi="Calibri"/>
          <w:b/>
          <w:color w:val="2E74B5"/>
          <w:sz w:val="32"/>
        </w:rPr>
        <w:t>11 Detailed Design Specification requirements</w:t>
      </w:r>
    </w:p>
    <w:p>
      <w:pPr>
        <w:keepNext w:val="0"/>
        <w:spacing w:before="0" w:after="80" w:line="252" w:lineRule="auto"/>
      </w:pPr>
      <w:r>
        <w:rPr>
          <w:rFonts w:ascii="Calibri" w:hAnsi="Calibri"/>
          <w:b w:val="0"/>
          <w:i w:val="0"/>
          <w:color w:val="203040"/>
          <w:sz w:val="18"/>
        </w:rPr>
        <w:t>Each DS record is a unique, verifiable technical expansion of the same-numbered FS/URS record. Component and environment allocations are logical design assignments, not as-built evidence. Working risk level is Working Medium only for URS/FS/DS-MES-025 and Working High for all other current requirements, consistent with NL-MES-ITRRA-001.</w:t>
      </w:r>
    </w:p>
    <w:p>
      <w:pPr>
        <w:pStyle w:val="Heading2"/>
        <w:keepNext/>
        <w:spacing w:before="100" w:after="80" w:line="252" w:lineRule="auto"/>
      </w:pPr>
      <w:r>
        <w:rPr>
          <w:rFonts w:ascii="Calibri" w:hAnsi="Calibri"/>
          <w:b/>
          <w:color w:val="2E74B5"/>
          <w:sz w:val="26"/>
        </w:rPr>
        <w:t>11.1 Batch execution (DS-MES-001 to 006)</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850"/>
        <w:gridCol w:w="4250"/>
        <w:gridCol w:w="1050"/>
        <w:gridCol w:w="1800"/>
        <w:gridCol w:w="1410"/>
      </w:tblGrid>
      <w:tr>
        <w:trPr>
          <w:trHeight w:hRule="auto"/>
          <w:cantSplit/>
          <w:tblHeader w:val="true"/>
          <w:cantSplit/>
        </w:trPr>
        <w:tc>
          <w:tcPr>
            <w:tcW w:type="dxa" w:w="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ID</w:t>
            </w:r>
          </w:p>
        </w:tc>
        <w:tc>
          <w:tcPr>
            <w:tcW w:type="dxa" w:w="42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design and design-verification focus</w:t>
            </w:r>
          </w:p>
        </w:tc>
        <w:tc>
          <w:tcPr>
            <w:tcW w:type="dxa" w:w="10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URS / FS</w:t>
            </w:r>
          </w:p>
        </w:tc>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Component / environment</w:t>
            </w:r>
          </w:p>
        </w:tc>
        <w:tc>
          <w:tcPr>
            <w:tcW w:type="dxa" w:w="14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Risks / level</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DS-MES-001</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Approved order and instruction selection</w:t>
            </w:r>
            <w:r>
              <w:br/>
            </w:r>
            <w:r>
              <w:rPr>
                <w:rFonts w:ascii="Calibri" w:hAnsi="Calibri"/>
                <w:b w:val="0"/>
                <w:color w:val="203040"/>
                <w:sz w:val="13"/>
              </w:rPr>
              <w:t>Technical design: An order-release service shall stage received order data separately from executable state and evaluate source authority, order status, product context and the effective approved instruction version in one controlled release transaction. Only a successful gate creates an executable instance; failure leaves the source object visible but unavailable for execution.</w:t>
            </w:r>
            <w:r>
              <w:br/>
            </w:r>
            <w:r>
              <w:rPr>
                <w:rFonts w:ascii="Calibri" w:hAnsi="Calibri"/>
                <w:b w:val="0"/>
                <w:color w:val="203040"/>
                <w:sz w:val="13"/>
              </w:rPr>
              <w:t>Design-verification focus: Challenge unauthorised, obsolete, incomplete and concurrently updated orders/instructions and confirm that no failed candidate becomes executable.</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URS-MES-001</w:t>
            </w:r>
            <w:r>
              <w:br/>
            </w:r>
            <w:r>
              <w:rPr>
                <w:rFonts w:ascii="Calibri" w:hAnsi="Calibri"/>
                <w:b w:val="0"/>
                <w:color w:val="203040"/>
                <w:sz w:val="13"/>
              </w:rPr>
              <w:t>FS-MES-001</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CMP-MES-INT-001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RSK-MES-001, RSK-MES-021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DS-MES-002</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Controlled execution sequence</w:t>
            </w:r>
            <w:r>
              <w:br/>
            </w:r>
            <w:r>
              <w:rPr>
                <w:rFonts w:ascii="Calibri" w:hAnsi="Calibri"/>
                <w:b w:val="0"/>
                <w:color w:val="203040"/>
                <w:sz w:val="13"/>
              </w:rPr>
              <w:t>Technical design: Execution shall use an explicit state machine with configured allowed transitions and guard conditions for prerequisite, role, material, equipment and interface status. Each accepted transition shall commit the new state, actor/source, time and causal event atomically with the batch record.</w:t>
            </w:r>
            <w:r>
              <w:br/>
            </w:r>
            <w:r>
              <w:rPr>
                <w:rFonts w:ascii="Calibri" w:hAnsi="Calibri"/>
                <w:b w:val="0"/>
                <w:color w:val="203040"/>
                <w:sz w:val="13"/>
              </w:rPr>
              <w:t>Design-verification focus: Exercise every permitted and prohibited transition, including duplicate and concurrent requests, and reconcile state and event history.</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URS-MES-002</w:t>
            </w:r>
            <w:r>
              <w:br/>
            </w:r>
            <w:r>
              <w:rPr>
                <w:rFonts w:ascii="Calibri" w:hAnsi="Calibri"/>
                <w:b w:val="0"/>
                <w:color w:val="203040"/>
                <w:sz w:val="13"/>
              </w:rPr>
              <w:t>FS-MES-002</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RSK-MES-001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DS-MES-003</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Execution data and calculation capture</w:t>
            </w:r>
            <w:r>
              <w:br/>
            </w:r>
            <w:r>
              <w:rPr>
                <w:rFonts w:ascii="Calibri" w:hAnsi="Calibri"/>
                <w:b w:val="0"/>
                <w:color w:val="203040"/>
                <w:sz w:val="13"/>
              </w:rPr>
              <w:t>Technical design: A typed data-capture service shall bind entries and calculated values to batch, step, field definition, unit, precision, rule version, actor/source and time. Server-side validation shall enforce mandatory status, ranges and calculation inputs before the value transaction is committed.</w:t>
            </w:r>
            <w:r>
              <w:br/>
            </w:r>
            <w:r>
              <w:rPr>
                <w:rFonts w:ascii="Calibri" w:hAnsi="Calibri"/>
                <w:b w:val="0"/>
                <w:color w:val="203040"/>
                <w:sz w:val="13"/>
              </w:rPr>
              <w:t>Design-verification focus: Challenge missing, malformed, out-of-range, wrong-unit, precision-boundary and concurrent update cases; independently recalculate representative results.</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URS-MES-003</w:t>
            </w:r>
            <w:r>
              <w:br/>
            </w:r>
            <w:r>
              <w:rPr>
                <w:rFonts w:ascii="Calibri" w:hAnsi="Calibri"/>
                <w:b w:val="0"/>
                <w:color w:val="203040"/>
                <w:sz w:val="13"/>
              </w:rPr>
              <w:t>FS-MES-003</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RSK-MES-002, RSK-MES-013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DS-MES-004</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Material and equipment status verification</w:t>
            </w:r>
            <w:r>
              <w:br/>
            </w:r>
            <w:r>
              <w:rPr>
                <w:rFonts w:ascii="Calibri" w:hAnsi="Calibri"/>
                <w:b w:val="0"/>
                <w:color w:val="203040"/>
                <w:sz w:val="13"/>
              </w:rPr>
              <w:t>Technical design: Material and equipment checks shall resolve stable identities against designated status sources and persist the evaluated status, source version/time and batch-step context. Expired, unavailable, mismatched or ambiguous items shall fail the prerequisite and create a visible exception without advancing execution.</w:t>
            </w:r>
            <w:r>
              <w:br/>
            </w:r>
            <w:r>
              <w:rPr>
                <w:rFonts w:ascii="Calibri" w:hAnsi="Calibri"/>
                <w:b w:val="0"/>
                <w:color w:val="203040"/>
                <w:sz w:val="13"/>
              </w:rPr>
              <w:t>Design-verification focus: Test valid and invalid identity/status/expiry/context combinations and verify the recorded evidence matches the authoritative response.</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URS-MES-004</w:t>
            </w:r>
            <w:r>
              <w:br/>
            </w:r>
            <w:r>
              <w:rPr>
                <w:rFonts w:ascii="Calibri" w:hAnsi="Calibri"/>
                <w:b w:val="0"/>
                <w:color w:val="203040"/>
                <w:sz w:val="13"/>
              </w:rPr>
              <w:t>FS-MES-004</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CMP-MES-INT-001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RSK-MES-001, RSK-MES-013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DS-MES-005</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Controlled hold, resume, and termination</w:t>
            </w:r>
            <w:r>
              <w:br/>
            </w:r>
            <w:r>
              <w:rPr>
                <w:rFonts w:ascii="Calibri" w:hAnsi="Calibri"/>
                <w:b w:val="0"/>
                <w:color w:val="203040"/>
                <w:sz w:val="13"/>
              </w:rPr>
              <w:t>Technical design: Hold, resume and termination shall be separate controlled commands with role, reason, current-state and dependency guards. The design shall checkpoint the execution position and incomplete transactions, prevent work while held, and require configured re-entry evidence before resume.</w:t>
            </w:r>
            <w:r>
              <w:br/>
            </w:r>
            <w:r>
              <w:rPr>
                <w:rFonts w:ascii="Calibri" w:hAnsi="Calibri"/>
                <w:b w:val="0"/>
                <w:color w:val="203040"/>
                <w:sz w:val="13"/>
              </w:rPr>
              <w:t>Design-verification focus: Challenge role, reason, stale-state and interrupted-transition cases and confirm safe state, complete history and deterministic re-entry.</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URS-MES-005</w:t>
            </w:r>
            <w:r>
              <w:br/>
            </w:r>
            <w:r>
              <w:rPr>
                <w:rFonts w:ascii="Calibri" w:hAnsi="Calibri"/>
                <w:b w:val="0"/>
                <w:color w:val="203040"/>
                <w:sz w:val="13"/>
              </w:rPr>
              <w:t>FS-MES-005</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RSK-MES-001, RSK-MES-013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DS-MES-006</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Exception and review-by-exception handling</w:t>
            </w:r>
            <w:r>
              <w:br/>
            </w:r>
            <w:r>
              <w:rPr>
                <w:rFonts w:ascii="Calibri" w:hAnsi="Calibri"/>
                <w:b w:val="0"/>
                <w:color w:val="203040"/>
                <w:sz w:val="13"/>
              </w:rPr>
              <w:t>Technical design: Exceptions shall be first-class records linked to the originating batch, step, field/event, severity, owner, status and evidence. A configurable disposition workflow shall separate creation, investigation and approval roles and block completion while a required disposition is open.</w:t>
            </w:r>
            <w:r>
              <w:br/>
            </w:r>
            <w:r>
              <w:rPr>
                <w:rFonts w:ascii="Calibri" w:hAnsi="Calibri"/>
                <w:b w:val="0"/>
                <w:color w:val="203040"/>
                <w:sz w:val="13"/>
              </w:rPr>
              <w:t>Design-verification focus: Seed each exception class, overdue/escalated state and conflicted disposition; verify review-by-exception population and completion blocking.</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URS-MES-006</w:t>
            </w:r>
            <w:r>
              <w:br/>
            </w:r>
            <w:r>
              <w:rPr>
                <w:rFonts w:ascii="Calibri" w:hAnsi="Calibri"/>
                <w:b w:val="0"/>
                <w:color w:val="203040"/>
                <w:sz w:val="13"/>
              </w:rPr>
              <w:t>FS-MES-006</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RSK-MES-003, RSK-MES-015 / Working High</w:t>
            </w:r>
          </w:p>
        </w:tc>
      </w:tr>
    </w:tbl>
    <w:p>
      <w:pPr>
        <w:spacing w:after="40" w:before="0"/>
      </w:pPr>
    </w:p>
    <w:p>
      <w:pPr>
        <w:pStyle w:val="Heading2"/>
        <w:keepNext/>
        <w:spacing w:before="100" w:after="80" w:line="252" w:lineRule="auto"/>
      </w:pPr>
      <w:r>
        <w:rPr>
          <w:rFonts w:ascii="Calibri" w:hAnsi="Calibri"/>
          <w:b/>
          <w:color w:val="2E74B5"/>
          <w:sz w:val="26"/>
        </w:rPr>
        <w:t>11.2 Electronic batch record (DS-MES-007 to 011)</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850"/>
        <w:gridCol w:w="4250"/>
        <w:gridCol w:w="1050"/>
        <w:gridCol w:w="1800"/>
        <w:gridCol w:w="1410"/>
      </w:tblGrid>
      <w:tr>
        <w:trPr>
          <w:trHeight w:hRule="auto"/>
          <w:cantSplit/>
          <w:tblHeader w:val="true"/>
          <w:cantSplit/>
        </w:trPr>
        <w:tc>
          <w:tcPr>
            <w:tcW w:type="dxa" w:w="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ID</w:t>
            </w:r>
          </w:p>
        </w:tc>
        <w:tc>
          <w:tcPr>
            <w:tcW w:type="dxa" w:w="42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design and design-verification focus</w:t>
            </w:r>
          </w:p>
        </w:tc>
        <w:tc>
          <w:tcPr>
            <w:tcW w:type="dxa" w:w="10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URS / FS</w:t>
            </w:r>
          </w:p>
        </w:tc>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Component / environment</w:t>
            </w:r>
          </w:p>
        </w:tc>
        <w:tc>
          <w:tcPr>
            <w:tcW w:type="dxa" w:w="14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Risks / level</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DS-MES-007</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Complete electronic batch record</w:t>
            </w:r>
            <w:r>
              <w:br/>
            </w:r>
            <w:r>
              <w:rPr>
                <w:rFonts w:ascii="Calibri" w:hAnsi="Calibri"/>
                <w:b w:val="0"/>
                <w:color w:val="203040"/>
                <w:sz w:val="13"/>
              </w:rPr>
              <w:t>Technical design: The electronic batch record shall be assembled by stable batch identity from execution events, values, material/equipment checks, signatures, audit references, exceptions and interface evidence. A completeness manifest shall identify required record classes and their current versions without duplicating or silently omitting evidence.</w:t>
            </w:r>
            <w:r>
              <w:br/>
            </w:r>
            <w:r>
              <w:rPr>
                <w:rFonts w:ascii="Calibri" w:hAnsi="Calibri"/>
                <w:b w:val="0"/>
                <w:color w:val="203040"/>
                <w:sz w:val="13"/>
              </w:rPr>
              <w:t>Design-verification focus: Reconcile the manifest to source transactions for complete, incomplete, corrected and interface-affected batches.</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URS-MES-007</w:t>
            </w:r>
            <w:r>
              <w:br/>
            </w:r>
            <w:r>
              <w:rPr>
                <w:rFonts w:ascii="Calibri" w:hAnsi="Calibri"/>
                <w:b w:val="0"/>
                <w:color w:val="203040"/>
                <w:sz w:val="13"/>
              </w:rPr>
              <w:t>FS-MES-007</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CMP-MES-REP-001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RSK-MES-002, RSK-MES-003, RSK-MES-007, RSK-MES-008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DS-MES-008</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Batch-record completion control</w:t>
            </w:r>
            <w:r>
              <w:br/>
            </w:r>
            <w:r>
              <w:rPr>
                <w:rFonts w:ascii="Calibri" w:hAnsi="Calibri"/>
                <w:b w:val="0"/>
                <w:color w:val="203040"/>
                <w:sz w:val="13"/>
              </w:rPr>
              <w:t>Technical design: A completion rule engine shall evaluate mandatory step states, data fields, calculations, signatures, exceptions, material/equipment evidence and required interface outcomes against the effective instruction version. Completion shall be a single controlled transition and shall not rely on client-side checks alone.</w:t>
            </w:r>
            <w:r>
              <w:br/>
            </w:r>
            <w:r>
              <w:rPr>
                <w:rFonts w:ascii="Calibri" w:hAnsi="Calibri"/>
                <w:b w:val="0"/>
                <w:color w:val="203040"/>
                <w:sz w:val="13"/>
              </w:rPr>
              <w:t>Design-verification focus: Challenge each missing prerequisite individually and in combination, including late interface events, and verify only a complete record can transition.</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URS-MES-008</w:t>
            </w:r>
            <w:r>
              <w:br/>
            </w:r>
            <w:r>
              <w:rPr>
                <w:rFonts w:ascii="Calibri" w:hAnsi="Calibri"/>
                <w:b w:val="0"/>
                <w:color w:val="203040"/>
                <w:sz w:val="13"/>
              </w:rPr>
              <w:t>FS-MES-008</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CMP-MES-REP-001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RSK-MES-003, RSK-MES-007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DS-MES-009</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Authorised batch-record review</w:t>
            </w:r>
            <w:r>
              <w:br/>
            </w:r>
            <w:r>
              <w:rPr>
                <w:rFonts w:ascii="Calibri" w:hAnsi="Calibri"/>
                <w:b w:val="0"/>
                <w:color w:val="203040"/>
                <w:sz w:val="13"/>
              </w:rPr>
              <w:t>Technical design: The review workspace shall present the effective record version, exception population, signatures, audit history and reconciliation indicators from governed sources. Reviewer decisions shall be role-separated, attributable, time-stamped and bound to the reviewed record version; later changes shall invalidate or reopen review as configured.</w:t>
            </w:r>
            <w:r>
              <w:br/>
            </w:r>
            <w:r>
              <w:rPr>
                <w:rFonts w:ascii="Calibri" w:hAnsi="Calibri"/>
                <w:b w:val="0"/>
                <w:color w:val="203040"/>
                <w:sz w:val="13"/>
              </w:rPr>
              <w:t>Design-verification focus: Verify positive/negative reviewer access, stale-version detection, exception drill-through and immutable decision linkage.</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URS-MES-009</w:t>
            </w:r>
            <w:r>
              <w:br/>
            </w:r>
            <w:r>
              <w:rPr>
                <w:rFonts w:ascii="Calibri" w:hAnsi="Calibri"/>
                <w:b w:val="0"/>
                <w:color w:val="203040"/>
                <w:sz w:val="13"/>
              </w:rPr>
              <w:t>FS-MES-009</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CMP-MES-REP-001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RSK-MES-003, RSK-MES-007, RSK-MES-008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DS-MES-010</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Record retention and retrieval</w:t>
            </w:r>
            <w:r>
              <w:br/>
            </w:r>
            <w:r>
              <w:rPr>
                <w:rFonts w:ascii="Calibri" w:hAnsi="Calibri"/>
                <w:b w:val="0"/>
                <w:color w:val="203040"/>
                <w:sz w:val="13"/>
              </w:rPr>
              <w:t>Technical design: Record storage and retrieval shall index regulated records by stable business identifiers and lifecycle metadata while applying authorised retention and access rules. Retrieval shall verify package completeness and expose archived/read-only status without modifying the original record.</w:t>
            </w:r>
            <w:r>
              <w:br/>
            </w:r>
            <w:r>
              <w:rPr>
                <w:rFonts w:ascii="Calibri" w:hAnsi="Calibri"/>
                <w:b w:val="0"/>
                <w:color w:val="203040"/>
                <w:sz w:val="13"/>
              </w:rPr>
              <w:t>Design-verification focus: Retrieve representative old/current records through each key, challenge unauthorised access and verify integrity and readability after archive/restore.</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URS-MES-010</w:t>
            </w:r>
            <w:r>
              <w:br/>
            </w:r>
            <w:r>
              <w:rPr>
                <w:rFonts w:ascii="Calibri" w:hAnsi="Calibri"/>
                <w:b w:val="0"/>
                <w:color w:val="203040"/>
                <w:sz w:val="13"/>
              </w:rPr>
              <w:t>FS-MES-010</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CMP-MES-REP-001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RSK-MES-004, RSK-MES-010, RSK-MES-017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DS-MES-011</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Complete and accurate record copies</w:t>
            </w:r>
            <w:r>
              <w:br/>
            </w:r>
            <w:r>
              <w:rPr>
                <w:rFonts w:ascii="Calibri" w:hAnsi="Calibri"/>
                <w:b w:val="0"/>
                <w:color w:val="203040"/>
                <w:sz w:val="13"/>
              </w:rPr>
              <w:t>Technical design: A controlled-copy service shall render a defined record package with batch identity, record/version provenance, generated-at context, signature meaning/linkage and applicable audit/exception evidence. Exports shall be marked and protected according to the approved format and access rule.</w:t>
            </w:r>
            <w:r>
              <w:br/>
            </w:r>
            <w:r>
              <w:rPr>
                <w:rFonts w:ascii="Calibri" w:hAnsi="Calibri"/>
                <w:b w:val="0"/>
                <w:color w:val="203040"/>
                <w:sz w:val="13"/>
              </w:rPr>
              <w:t>Design-verification focus: Compare the copy to the governed source for completeness, legibility and provenance; challenge filters, truncation and unauthorised export.</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URS-MES-011</w:t>
            </w:r>
            <w:r>
              <w:br/>
            </w:r>
            <w:r>
              <w:rPr>
                <w:rFonts w:ascii="Calibri" w:hAnsi="Calibri"/>
                <w:b w:val="0"/>
                <w:color w:val="203040"/>
                <w:sz w:val="13"/>
              </w:rPr>
              <w:t>FS-MES-011</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CMP-MES-REP-001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RSK-MES-004, RSK-MES-023 / Working High</w:t>
            </w:r>
          </w:p>
        </w:tc>
      </w:tr>
    </w:tbl>
    <w:p>
      <w:pPr>
        <w:spacing w:after="40" w:before="0"/>
      </w:pPr>
    </w:p>
    <w:p>
      <w:pPr>
        <w:pStyle w:val="Heading2"/>
        <w:keepNext/>
        <w:spacing w:before="100" w:after="80" w:line="252" w:lineRule="auto"/>
      </w:pPr>
      <w:r>
        <w:rPr>
          <w:rFonts w:ascii="Calibri" w:hAnsi="Calibri"/>
          <w:b/>
          <w:color w:val="2E74B5"/>
          <w:sz w:val="26"/>
        </w:rPr>
        <w:t>11.3 Access and security (DS-MES-012 to 016)</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850"/>
        <w:gridCol w:w="4250"/>
        <w:gridCol w:w="1050"/>
        <w:gridCol w:w="1800"/>
        <w:gridCol w:w="1410"/>
      </w:tblGrid>
      <w:tr>
        <w:trPr>
          <w:trHeight w:hRule="auto"/>
          <w:cantSplit/>
          <w:tblHeader w:val="true"/>
          <w:cantSplit/>
        </w:trPr>
        <w:tc>
          <w:tcPr>
            <w:tcW w:type="dxa" w:w="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ID</w:t>
            </w:r>
          </w:p>
        </w:tc>
        <w:tc>
          <w:tcPr>
            <w:tcW w:type="dxa" w:w="42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design and design-verification focus</w:t>
            </w:r>
          </w:p>
        </w:tc>
        <w:tc>
          <w:tcPr>
            <w:tcW w:type="dxa" w:w="10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URS / FS</w:t>
            </w:r>
          </w:p>
        </w:tc>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Component / environment</w:t>
            </w:r>
          </w:p>
        </w:tc>
        <w:tc>
          <w:tcPr>
            <w:tcW w:type="dxa" w:w="14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Risks / level</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DS-MES-012</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Unique identity and authentication</w:t>
            </w:r>
            <w:r>
              <w:br/>
            </w:r>
            <w:r>
              <w:rPr>
                <w:rFonts w:ascii="Calibri" w:hAnsi="Calibri"/>
                <w:b w:val="0"/>
                <w:color w:val="203040"/>
                <w:sz w:val="13"/>
              </w:rPr>
              <w:t>Technical design: Interactive authentication shall be mediated by the approved enterprise identity boundary and mapped to one immutable MES subject. Sessions shall be issued only after successful authentication, use configured inactivity/maximum-life controls and fail closed when identity validation is unavailable or ambiguous.</w:t>
            </w:r>
            <w:r>
              <w:br/>
            </w:r>
            <w:r>
              <w:rPr>
                <w:rFonts w:ascii="Calibri" w:hAnsi="Calibri"/>
                <w:b w:val="0"/>
                <w:color w:val="203040"/>
                <w:sz w:val="13"/>
              </w:rPr>
              <w:t>Design-verification focus: Challenge invalid, disabled, reused and ambiguous identities plus session timeout/revocation conditions; mechanism values remain Verify.</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URS-MES-012</w:t>
            </w:r>
            <w:r>
              <w:br/>
            </w:r>
            <w:r>
              <w:rPr>
                <w:rFonts w:ascii="Calibri" w:hAnsi="Calibri"/>
                <w:b w:val="0"/>
                <w:color w:val="203040"/>
                <w:sz w:val="13"/>
              </w:rPr>
              <w:t>FS-MES-012</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CMP-ENT-IAM-001; CMP-MES-APP-001; CMP-MES-DB-001; CMP-ENT-MON-001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RSK-MES-005, RSK-MES-006, RSK-MES-019, RSK-MES-024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DS-MES-013</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Role-based least-privilege access</w:t>
            </w:r>
            <w:r>
              <w:br/>
            </w:r>
            <w:r>
              <w:rPr>
                <w:rFonts w:ascii="Calibri" w:hAnsi="Calibri"/>
                <w:b w:val="0"/>
                <w:color w:val="203040"/>
                <w:sz w:val="13"/>
              </w:rPr>
              <w:t>Technical design: Server-side authorisation shall evaluate role, operation, object scope, environment and current workflow state using a deny-by-default policy. The role-permission catalogue shall be version-controlled and client visibility shall not substitute for enforcement.</w:t>
            </w:r>
            <w:r>
              <w:br/>
            </w:r>
            <w:r>
              <w:rPr>
                <w:rFonts w:ascii="Calibri" w:hAnsi="Calibri"/>
                <w:b w:val="0"/>
                <w:color w:val="203040"/>
                <w:sz w:val="13"/>
              </w:rPr>
              <w:t>Design-verification focus: Execute positive and negative role/scope tests for every critical function and confirm direct-service calls cannot bypass controls.</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URS-MES-013</w:t>
            </w:r>
            <w:r>
              <w:br/>
            </w:r>
            <w:r>
              <w:rPr>
                <w:rFonts w:ascii="Calibri" w:hAnsi="Calibri"/>
                <w:b w:val="0"/>
                <w:color w:val="203040"/>
                <w:sz w:val="13"/>
              </w:rPr>
              <w:t>FS-MES-013</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CMP-ENT-IAM-001; CMP-MES-APP-001; CMP-MES-DB-001; CMP-ENT-MON-001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RSK-MES-005, RSK-MES-019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DS-MES-014</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Controlled access lifecycle</w:t>
            </w:r>
            <w:r>
              <w:br/>
            </w:r>
            <w:r>
              <w:rPr>
                <w:rFonts w:ascii="Calibri" w:hAnsi="Calibri"/>
                <w:b w:val="0"/>
                <w:color w:val="203040"/>
                <w:sz w:val="13"/>
              </w:rPr>
              <w:t>Technical design: Provisioning, modification and revocation shall use an approval-backed entitlement record with requested role/scope, effective dates, approver, source and implementation status. Revocation shall invalidate active access within the approved service objective and retain the entitlement history.</w:t>
            </w:r>
            <w:r>
              <w:br/>
            </w:r>
            <w:r>
              <w:rPr>
                <w:rFonts w:ascii="Calibri" w:hAnsi="Calibri"/>
                <w:b w:val="0"/>
                <w:color w:val="203040"/>
                <w:sz w:val="13"/>
              </w:rPr>
              <w:t>Design-verification focus: Test joiner/mover/leaver, emergency removal, failed provisioning and delayed reconciliation scenarios against the access register.</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URS-MES-014</w:t>
            </w:r>
            <w:r>
              <w:br/>
            </w:r>
            <w:r>
              <w:rPr>
                <w:rFonts w:ascii="Calibri" w:hAnsi="Calibri"/>
                <w:b w:val="0"/>
                <w:color w:val="203040"/>
                <w:sz w:val="13"/>
              </w:rPr>
              <w:t>FS-MES-014</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CMP-ENT-IAM-001; CMP-MES-APP-001; CMP-MES-DB-001; CMP-ENT-MON-001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RSK-MES-005, RSK-MES-024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DS-MES-015</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Privileged and service-account control</w:t>
            </w:r>
            <w:r>
              <w:br/>
            </w:r>
            <w:r>
              <w:rPr>
                <w:rFonts w:ascii="Calibri" w:hAnsi="Calibri"/>
                <w:b w:val="0"/>
                <w:color w:val="203040"/>
                <w:sz w:val="13"/>
              </w:rPr>
              <w:t>Technical design: Privileged administration and non-interactive service access shall use dedicated identities separated from routine business use, scoped to named functions and monitored. Credential storage/rotation technology, break-glass design and certificate/key values remain Verify and shall be documented in the configuration baseline.</w:t>
            </w:r>
            <w:r>
              <w:br/>
            </w:r>
            <w:r>
              <w:rPr>
                <w:rFonts w:ascii="Calibri" w:hAnsi="Calibri"/>
                <w:b w:val="0"/>
                <w:color w:val="203040"/>
                <w:sz w:val="13"/>
              </w:rPr>
              <w:t>Design-verification focus: Challenge interactive use of service identities, excessive privilege, expired trust and emergency access; verify logging and post-use review evidence.</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URS-MES-015</w:t>
            </w:r>
            <w:r>
              <w:br/>
            </w:r>
            <w:r>
              <w:rPr>
                <w:rFonts w:ascii="Calibri" w:hAnsi="Calibri"/>
                <w:b w:val="0"/>
                <w:color w:val="203040"/>
                <w:sz w:val="13"/>
              </w:rPr>
              <w:t>FS-MES-015</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CMP-ENT-IAM-001; CMP-MES-APP-001; CMP-MES-DB-001; CMP-ENT-MON-001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RSK-MES-005, RSK-MES-006, RSK-MES-019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DS-MES-016</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Segregation and periodic access review</w:t>
            </w:r>
            <w:r>
              <w:br/>
            </w:r>
            <w:r>
              <w:rPr>
                <w:rFonts w:ascii="Calibri" w:hAnsi="Calibri"/>
                <w:b w:val="0"/>
                <w:color w:val="203040"/>
                <w:sz w:val="13"/>
              </w:rPr>
              <w:t>Technical design: A segregation-of-duties ruleset shall identify incompatible role/action combinations and evaluate new or changed access before activation. Periodic access review shall use a point-in-time entitlement/usage snapshot with reviewer decisions, conflicts, due dates and closure evidence.</w:t>
            </w:r>
            <w:r>
              <w:br/>
            </w:r>
            <w:r>
              <w:rPr>
                <w:rFonts w:ascii="Calibri" w:hAnsi="Calibri"/>
                <w:b w:val="0"/>
                <w:color w:val="203040"/>
                <w:sz w:val="13"/>
              </w:rPr>
              <w:t>Design-verification focus: Create conflicting assignments, delegated approvals and overdue reviews; verify conflict prevention or approved exception handling and complete closure.</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URS-MES-016</w:t>
            </w:r>
            <w:r>
              <w:br/>
            </w:r>
            <w:r>
              <w:rPr>
                <w:rFonts w:ascii="Calibri" w:hAnsi="Calibri"/>
                <w:b w:val="0"/>
                <w:color w:val="203040"/>
                <w:sz w:val="13"/>
              </w:rPr>
              <w:t>FS-MES-016</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CMP-ENT-IAM-001; CMP-MES-APP-001; CMP-MES-DB-001; CMP-ENT-MON-001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RSK-MES-005, RSK-MES-024 / Working High</w:t>
            </w:r>
          </w:p>
        </w:tc>
      </w:tr>
    </w:tbl>
    <w:p>
      <w:pPr>
        <w:spacing w:after="40" w:before="0"/>
      </w:pPr>
    </w:p>
    <w:p>
      <w:pPr>
        <w:pStyle w:val="Heading2"/>
        <w:keepNext/>
        <w:spacing w:before="100" w:after="80" w:line="252" w:lineRule="auto"/>
      </w:pPr>
      <w:r>
        <w:rPr>
          <w:rFonts w:ascii="Calibri" w:hAnsi="Calibri"/>
          <w:b/>
          <w:color w:val="2E74B5"/>
          <w:sz w:val="26"/>
        </w:rPr>
        <w:t>11.4 Electronic signatures (DS-MES-017 to 019)</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850"/>
        <w:gridCol w:w="4250"/>
        <w:gridCol w:w="1050"/>
        <w:gridCol w:w="1800"/>
        <w:gridCol w:w="1410"/>
      </w:tblGrid>
      <w:tr>
        <w:trPr>
          <w:trHeight w:hRule="auto"/>
          <w:cantSplit/>
          <w:tblHeader w:val="true"/>
          <w:cantSplit/>
        </w:trPr>
        <w:tc>
          <w:tcPr>
            <w:tcW w:type="dxa" w:w="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ID</w:t>
            </w:r>
          </w:p>
        </w:tc>
        <w:tc>
          <w:tcPr>
            <w:tcW w:type="dxa" w:w="42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design and design-verification focus</w:t>
            </w:r>
          </w:p>
        </w:tc>
        <w:tc>
          <w:tcPr>
            <w:tcW w:type="dxa" w:w="10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URS / FS</w:t>
            </w:r>
          </w:p>
        </w:tc>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Component / environment</w:t>
            </w:r>
          </w:p>
        </w:tc>
        <w:tc>
          <w:tcPr>
            <w:tcW w:type="dxa" w:w="14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Risks / level</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DS-MES-017</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Authorised electronic-signature application</w:t>
            </w:r>
            <w:r>
              <w:br/>
            </w:r>
            <w:r>
              <w:rPr>
                <w:rFonts w:ascii="Calibri" w:hAnsi="Calibri"/>
                <w:b w:val="0"/>
                <w:color w:val="203040"/>
                <w:sz w:val="13"/>
              </w:rPr>
              <w:t>Technical design: The signature service shall re-authenticate or otherwise invoke the approved signing control at the configured event, re-evaluate signer authority and record state, and create a signature envelope bound to the exact record/object version. The cryptographic or platform binding mechanism remains Verify.</w:t>
            </w:r>
            <w:r>
              <w:br/>
            </w:r>
            <w:r>
              <w:rPr>
                <w:rFonts w:ascii="Calibri" w:hAnsi="Calibri"/>
                <w:b w:val="0"/>
                <w:color w:val="203040"/>
                <w:sz w:val="13"/>
              </w:rPr>
              <w:t>Design-verification focus: Challenge wrong role, stale record, failed re-authentication, duplicate signing and post-signature change; verify no invalid signature is applied.</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URS-MES-017</w:t>
            </w:r>
            <w:r>
              <w:br/>
            </w:r>
            <w:r>
              <w:rPr>
                <w:rFonts w:ascii="Calibri" w:hAnsi="Calibri"/>
                <w:b w:val="0"/>
                <w:color w:val="203040"/>
                <w:sz w:val="13"/>
              </w:rPr>
              <w:t>FS-MES-017</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CMP-ENT-IAM-001; CMP-ENT-TIME-001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RSK-MES-007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DS-MES-018</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Signature meaning and content</w:t>
            </w:r>
            <w:r>
              <w:br/>
            </w:r>
            <w:r>
              <w:rPr>
                <w:rFonts w:ascii="Calibri" w:hAnsi="Calibri"/>
                <w:b w:val="0"/>
                <w:color w:val="203040"/>
                <w:sz w:val="13"/>
              </w:rPr>
              <w:t>Technical design: Each signing event shall reference a controlled meaning code whose human-readable meaning is displayed before confirmation and persisted with signer identity, signed-at time and contextual statement. Meaning shall not be inferred solely from screen position or workflow state.</w:t>
            </w:r>
            <w:r>
              <w:br/>
            </w:r>
            <w:r>
              <w:rPr>
                <w:rFonts w:ascii="Calibri" w:hAnsi="Calibri"/>
                <w:b w:val="0"/>
                <w:color w:val="203040"/>
                <w:sz w:val="13"/>
              </w:rPr>
              <w:t>Design-verification focus: Verify every configured meaning, localisation/display consistency and persistence in record views and copies.</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URS-MES-018</w:t>
            </w:r>
            <w:r>
              <w:br/>
            </w:r>
            <w:r>
              <w:rPr>
                <w:rFonts w:ascii="Calibri" w:hAnsi="Calibri"/>
                <w:b w:val="0"/>
                <w:color w:val="203040"/>
                <w:sz w:val="13"/>
              </w:rPr>
              <w:t>FS-MES-018</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CMP-ENT-IAM-001; CMP-ENT-TIME-001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RSK-MES-007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DS-MES-019</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Permanent signature-to-record linkage</w:t>
            </w:r>
            <w:r>
              <w:br/>
            </w:r>
            <w:r>
              <w:rPr>
                <w:rFonts w:ascii="Calibri" w:hAnsi="Calibri"/>
                <w:b w:val="0"/>
                <w:color w:val="203040"/>
                <w:sz w:val="13"/>
              </w:rPr>
              <w:t>Technical design: Signature metadata and the signed record version shall share an immutable linkage identifier and lifecycle relationship. Copy, archive, restore and permitted migration functions shall preserve the linkage and expose any invalid or incomplete relationship.</w:t>
            </w:r>
            <w:r>
              <w:br/>
            </w:r>
            <w:r>
              <w:rPr>
                <w:rFonts w:ascii="Calibri" w:hAnsi="Calibri"/>
                <w:b w:val="0"/>
                <w:color w:val="203040"/>
                <w:sz w:val="13"/>
              </w:rPr>
              <w:t>Design-verification focus: Attempt record/signature separation, version substitution and export/restore scenarios and verify permanent linkage and visible failure.</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URS-MES-019</w:t>
            </w:r>
            <w:r>
              <w:br/>
            </w:r>
            <w:r>
              <w:rPr>
                <w:rFonts w:ascii="Calibri" w:hAnsi="Calibri"/>
                <w:b w:val="0"/>
                <w:color w:val="203040"/>
                <w:sz w:val="13"/>
              </w:rPr>
              <w:t>FS-MES-019</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CMP-ENT-IAM-001; CMP-ENT-TIME-001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RSK-MES-007, RSK-MES-010 / Working High</w:t>
            </w:r>
          </w:p>
        </w:tc>
      </w:tr>
    </w:tbl>
    <w:p>
      <w:pPr>
        <w:spacing w:after="40" w:before="0"/>
      </w:pPr>
    </w:p>
    <w:p>
      <w:pPr>
        <w:pStyle w:val="Heading2"/>
        <w:keepNext/>
        <w:spacing w:before="100" w:after="80" w:line="252" w:lineRule="auto"/>
        <w:pageBreakBefore/>
      </w:pPr>
      <w:r>
        <w:rPr>
          <w:rFonts w:ascii="Calibri" w:hAnsi="Calibri"/>
          <w:b/>
          <w:color w:val="2E74B5"/>
          <w:sz w:val="26"/>
        </w:rPr>
        <w:t>11.5 Audit trail (DS-MES-020 to 023)</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850"/>
        <w:gridCol w:w="4250"/>
        <w:gridCol w:w="1050"/>
        <w:gridCol w:w="1800"/>
        <w:gridCol w:w="1410"/>
      </w:tblGrid>
      <w:tr>
        <w:trPr>
          <w:trHeight w:hRule="auto"/>
          <w:cantSplit/>
          <w:tblHeader w:val="true"/>
          <w:cantSplit/>
        </w:trPr>
        <w:tc>
          <w:tcPr>
            <w:tcW w:type="dxa" w:w="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ID</w:t>
            </w:r>
          </w:p>
        </w:tc>
        <w:tc>
          <w:tcPr>
            <w:tcW w:type="dxa" w:w="42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design and design-verification focus</w:t>
            </w:r>
          </w:p>
        </w:tc>
        <w:tc>
          <w:tcPr>
            <w:tcW w:type="dxa" w:w="10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URS / FS</w:t>
            </w:r>
          </w:p>
        </w:tc>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Component / environment</w:t>
            </w:r>
          </w:p>
        </w:tc>
        <w:tc>
          <w:tcPr>
            <w:tcW w:type="dxa" w:w="14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Risks / level</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DS-MES-020</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Automatic audit-trail capture</w:t>
            </w:r>
            <w:r>
              <w:br/>
            </w:r>
            <w:r>
              <w:rPr>
                <w:rFonts w:ascii="Calibri" w:hAnsi="Calibri"/>
                <w:b w:val="0"/>
                <w:color w:val="203040"/>
                <w:sz w:val="13"/>
              </w:rPr>
              <w:t>Technical design: A central audit-event service shall receive regulated create, change, correction, deletion-attempt, security, signature, configuration and interface events with object, actor/source, authoritative time, action, reason, prior/new value where applicable and outcome. Event emission shall be part of, or reliably coupled to, the business transaction.</w:t>
            </w:r>
            <w:r>
              <w:br/>
            </w:r>
            <w:r>
              <w:rPr>
                <w:rFonts w:ascii="Calibri" w:hAnsi="Calibri"/>
                <w:b w:val="0"/>
                <w:color w:val="203040"/>
                <w:sz w:val="13"/>
              </w:rPr>
              <w:t>Design-verification focus: Trigger each required event and failed attempt and reconcile business records to audit events for completeness and correct context.</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URS-MES-020</w:t>
            </w:r>
            <w:r>
              <w:br/>
            </w:r>
            <w:r>
              <w:rPr>
                <w:rFonts w:ascii="Calibri" w:hAnsi="Calibri"/>
                <w:b w:val="0"/>
                <w:color w:val="203040"/>
                <w:sz w:val="13"/>
              </w:rPr>
              <w:t>FS-MES-020</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CMP-MES-REP-001; CMP-ENT-TIME-001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RSK-MES-008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DS-MES-021</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Audit-trail protection and retention</w:t>
            </w:r>
            <w:r>
              <w:br/>
            </w:r>
            <w:r>
              <w:rPr>
                <w:rFonts w:ascii="Calibri" w:hAnsi="Calibri"/>
                <w:b w:val="0"/>
                <w:color w:val="203040"/>
                <w:sz w:val="13"/>
              </w:rPr>
              <w:t>Technical design: The audit store shall expose append-only application interfaces, segregate administrative privileges and apply controlled retention, archive and integrity-check processes. No application or administrator function shall silently edit or purge a retained regulated event.</w:t>
            </w:r>
            <w:r>
              <w:br/>
            </w:r>
            <w:r>
              <w:rPr>
                <w:rFonts w:ascii="Calibri" w:hAnsi="Calibri"/>
                <w:b w:val="0"/>
                <w:color w:val="203040"/>
                <w:sz w:val="13"/>
              </w:rPr>
              <w:t>Design-verification focus: Challenge privileged modification/deletion paths, retention boundary and archive/restore while confirming detectable, complete history.</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URS-MES-021</w:t>
            </w:r>
            <w:r>
              <w:br/>
            </w:r>
            <w:r>
              <w:rPr>
                <w:rFonts w:ascii="Calibri" w:hAnsi="Calibri"/>
                <w:b w:val="0"/>
                <w:color w:val="203040"/>
                <w:sz w:val="13"/>
              </w:rPr>
              <w:t>FS-MES-021</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CMP-MES-REP-001; CMP-ENT-TIME-001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RSK-MES-008, RSK-MES-010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DS-MES-022</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Audit-trail search and review presentation</w:t>
            </w:r>
            <w:r>
              <w:br/>
            </w:r>
            <w:r>
              <w:rPr>
                <w:rFonts w:ascii="Calibri" w:hAnsi="Calibri"/>
                <w:b w:val="0"/>
                <w:color w:val="203040"/>
                <w:sz w:val="13"/>
              </w:rPr>
              <w:t>Technical design: Audit presentation shall support authorised filtering by object, batch, user/source, event class and time while preserving event chronology and before/after/reason context. Export shall carry provenance and match the displayed governed population.</w:t>
            </w:r>
            <w:r>
              <w:br/>
            </w:r>
            <w:r>
              <w:rPr>
                <w:rFonts w:ascii="Calibri" w:hAnsi="Calibri"/>
                <w:b w:val="0"/>
                <w:color w:val="203040"/>
                <w:sz w:val="13"/>
              </w:rPr>
              <w:t>Design-verification focus: Compare filters, pagination, time boundaries and exports to the underlying event set; challenge inaccessible and excessive-scope queries.</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URS-MES-022</w:t>
            </w:r>
            <w:r>
              <w:br/>
            </w:r>
            <w:r>
              <w:rPr>
                <w:rFonts w:ascii="Calibri" w:hAnsi="Calibri"/>
                <w:b w:val="0"/>
                <w:color w:val="203040"/>
                <w:sz w:val="13"/>
              </w:rPr>
              <w:t>FS-MES-022</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CMP-MES-REP-001; CMP-ENT-TIME-001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RSK-MES-008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DS-MES-023</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Risk-based audit-trail review evidence</w:t>
            </w:r>
            <w:r>
              <w:br/>
            </w:r>
            <w:r>
              <w:rPr>
                <w:rFonts w:ascii="Calibri" w:hAnsi="Calibri"/>
                <w:b w:val="0"/>
                <w:color w:val="203040"/>
                <w:sz w:val="13"/>
              </w:rPr>
              <w:t>Technical design: A review-control service shall derive the due population from approved risk-based rules, assign review ownership and retain scope, reviewer, findings, disposition and completion evidence. The reviewed event range shall be frozen or reproducibly queryable.</w:t>
            </w:r>
            <w:r>
              <w:br/>
            </w:r>
            <w:r>
              <w:rPr>
                <w:rFonts w:ascii="Calibri" w:hAnsi="Calibri"/>
                <w:b w:val="0"/>
                <w:color w:val="203040"/>
                <w:sz w:val="13"/>
              </w:rPr>
              <w:t>Design-verification focus: Reproduce review populations, test no-event periods, late events, findings and overdue/escalated reviews and verify closure evidence.</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URS-MES-023</w:t>
            </w:r>
            <w:r>
              <w:br/>
            </w:r>
            <w:r>
              <w:rPr>
                <w:rFonts w:ascii="Calibri" w:hAnsi="Calibri"/>
                <w:b w:val="0"/>
                <w:color w:val="203040"/>
                <w:sz w:val="13"/>
              </w:rPr>
              <w:t>FS-MES-023</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CMP-MES-REP-001; CMP-ENT-TIME-001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RSK-MES-008, RSK-MES-024 / Working High</w:t>
            </w:r>
          </w:p>
        </w:tc>
      </w:tr>
    </w:tbl>
    <w:p>
      <w:pPr>
        <w:spacing w:after="40" w:before="0"/>
      </w:pPr>
    </w:p>
    <w:p>
      <w:pPr>
        <w:pStyle w:val="Heading2"/>
        <w:keepNext/>
        <w:spacing w:before="100" w:after="80" w:line="252" w:lineRule="auto"/>
      </w:pPr>
      <w:r>
        <w:rPr>
          <w:rFonts w:ascii="Calibri" w:hAnsi="Calibri"/>
          <w:b/>
          <w:color w:val="2E74B5"/>
          <w:sz w:val="26"/>
        </w:rPr>
        <w:t>11.6 Data integrity and lifecycle (DS-MES-024 to 027)</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850"/>
        <w:gridCol w:w="4250"/>
        <w:gridCol w:w="1050"/>
        <w:gridCol w:w="1800"/>
        <w:gridCol w:w="1410"/>
      </w:tblGrid>
      <w:tr>
        <w:trPr>
          <w:trHeight w:hRule="auto"/>
          <w:cantSplit/>
          <w:tblHeader w:val="true"/>
          <w:cantSplit/>
        </w:trPr>
        <w:tc>
          <w:tcPr>
            <w:tcW w:type="dxa" w:w="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ID</w:t>
            </w:r>
          </w:p>
        </w:tc>
        <w:tc>
          <w:tcPr>
            <w:tcW w:type="dxa" w:w="42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design and design-verification focus</w:t>
            </w:r>
          </w:p>
        </w:tc>
        <w:tc>
          <w:tcPr>
            <w:tcW w:type="dxa" w:w="10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URS / FS</w:t>
            </w:r>
          </w:p>
        </w:tc>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Component / environment</w:t>
            </w:r>
          </w:p>
        </w:tc>
        <w:tc>
          <w:tcPr>
            <w:tcW w:type="dxa" w:w="14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Risks / level</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DS-MES-024</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ALCOA+ data lifecycle</w:t>
            </w:r>
            <w:r>
              <w:br/>
            </w:r>
            <w:r>
              <w:rPr>
                <w:rFonts w:ascii="Calibri" w:hAnsi="Calibri"/>
                <w:b w:val="0"/>
                <w:color w:val="203040"/>
                <w:sz w:val="13"/>
              </w:rPr>
              <w:t>Technical design: The data layer shall enforce stable identifiers, mandatory metadata, referential relationships, permitted lifecycle states and atomic persistence for GxP objects. Source authority and provenance shall be explicit; silent defaulting, untracked overwrite and orphan records shall be prevented.</w:t>
            </w:r>
            <w:r>
              <w:br/>
            </w:r>
            <w:r>
              <w:rPr>
                <w:rFonts w:ascii="Calibri" w:hAnsi="Calibri"/>
                <w:b w:val="0"/>
                <w:color w:val="203040"/>
                <w:sz w:val="13"/>
              </w:rPr>
              <w:t>Design-verification focus: Challenge mandatory fields, referential integrity, duplicate identity, invalid state and partial-transaction failure across representative objects.</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URS-MES-024</w:t>
            </w:r>
            <w:r>
              <w:br/>
            </w:r>
            <w:r>
              <w:rPr>
                <w:rFonts w:ascii="Calibri" w:hAnsi="Calibri"/>
                <w:b w:val="0"/>
                <w:color w:val="203040"/>
                <w:sz w:val="13"/>
              </w:rPr>
              <w:t>FS-MES-024</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CMP-MES-DB-001; CMP-MES-APP-001; CMP-ENT-TIME-001; CMP-ENT-BCK-001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RSK-MES-002, RSK-MES-010, RSK-MES-026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DS-MES-025</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Authoritative and consistent time</w:t>
            </w:r>
            <w:r>
              <w:br/>
            </w:r>
            <w:r>
              <w:rPr>
                <w:rFonts w:ascii="Calibri" w:hAnsi="Calibri"/>
                <w:b w:val="0"/>
                <w:color w:val="203040"/>
                <w:sz w:val="13"/>
              </w:rPr>
              <w:t>Technical design: Applications and interfaces shall consume an approved enterprise time service through a defined abstraction, store canonical time with timezone/offset context and render local time without changing chronology. Drift/unavailability shall create monitored degraded-state evidence; exact tolerance remains Verify.</w:t>
            </w:r>
            <w:r>
              <w:br/>
            </w:r>
            <w:r>
              <w:rPr>
                <w:rFonts w:ascii="Calibri" w:hAnsi="Calibri"/>
                <w:b w:val="0"/>
                <w:color w:val="203040"/>
                <w:sz w:val="13"/>
              </w:rPr>
              <w:t>Design-verification focus: Compare component and interface timestamps across timezone/daylight boundaries and challenge drift, service loss and recovery.</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URS-MES-025</w:t>
            </w:r>
            <w:r>
              <w:br/>
            </w:r>
            <w:r>
              <w:rPr>
                <w:rFonts w:ascii="Calibri" w:hAnsi="Calibri"/>
                <w:b w:val="0"/>
                <w:color w:val="203040"/>
                <w:sz w:val="13"/>
              </w:rPr>
              <w:t>FS-MES-025</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CMP-MES-DB-001; CMP-MES-APP-001; CMP-ENT-TIME-001; CMP-ENT-BCK-001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RSK-MES-009 / Working Medium</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DS-MES-026</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Controlled correction of GxP data</w:t>
            </w:r>
            <w:r>
              <w:br/>
            </w:r>
            <w:r>
              <w:rPr>
                <w:rFonts w:ascii="Calibri" w:hAnsi="Calibri"/>
                <w:b w:val="0"/>
                <w:color w:val="203040"/>
                <w:sz w:val="13"/>
              </w:rPr>
              <w:t>Technical design: A correction shall create a new attributable transaction linked to the prior value and shall retain reason, actor, time, affected record version and required approval/signature. The prior value shall remain retrievable and the correction shall propagate to dependent views through controlled recalculation or invalidation.</w:t>
            </w:r>
            <w:r>
              <w:br/>
            </w:r>
            <w:r>
              <w:rPr>
                <w:rFonts w:ascii="Calibri" w:hAnsi="Calibri"/>
                <w:b w:val="0"/>
                <w:color w:val="203040"/>
                <w:sz w:val="13"/>
              </w:rPr>
              <w:t>Design-verification focus: Correct each regulated data class and challenge missing reason/authority, concurrent edits and downstream report/review consistency.</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URS-MES-026</w:t>
            </w:r>
            <w:r>
              <w:br/>
            </w:r>
            <w:r>
              <w:rPr>
                <w:rFonts w:ascii="Calibri" w:hAnsi="Calibri"/>
                <w:b w:val="0"/>
                <w:color w:val="203040"/>
                <w:sz w:val="13"/>
              </w:rPr>
              <w:t>FS-MES-026</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CMP-MES-DB-001; CMP-MES-APP-001; CMP-ENT-TIME-001; CMP-ENT-BCK-001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RSK-MES-010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DS-MES-027</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Preservation through transfer, retention, and migration</w:t>
            </w:r>
            <w:r>
              <w:br/>
            </w:r>
            <w:r>
              <w:rPr>
                <w:rFonts w:ascii="Calibri" w:hAnsi="Calibri"/>
                <w:b w:val="0"/>
                <w:color w:val="203040"/>
                <w:sz w:val="13"/>
              </w:rPr>
              <w:t>Technical design: Transfer, archive, restore and any approved migration shall use versioned data packages with object counts, identifiers, schema/mapping version and integrity/reconciliation evidence. Missing, extra, transformed or rejected records shall remain visible and require controlled disposition.</w:t>
            </w:r>
            <w:r>
              <w:br/>
            </w:r>
            <w:r>
              <w:rPr>
                <w:rFonts w:ascii="Calibri" w:hAnsi="Calibri"/>
                <w:b w:val="0"/>
                <w:color w:val="203040"/>
                <w:sz w:val="13"/>
              </w:rPr>
              <w:t>Design-verification focus: Execute representative and boundary reconciliation, including metadata, signatures and audit trails; migration applicability and algorithms remain Verify.</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URS-MES-027</w:t>
            </w:r>
            <w:r>
              <w:br/>
            </w:r>
            <w:r>
              <w:rPr>
                <w:rFonts w:ascii="Calibri" w:hAnsi="Calibri"/>
                <w:b w:val="0"/>
                <w:color w:val="203040"/>
                <w:sz w:val="13"/>
              </w:rPr>
              <w:t>FS-MES-027</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CMP-MES-DB-001; CMP-MES-APP-001; CMP-ENT-TIME-001; CMP-ENT-BCK-001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RSK-MES-004, RSK-MES-010, RSK-MES-026 / Working High</w:t>
            </w:r>
          </w:p>
        </w:tc>
      </w:tr>
    </w:tbl>
    <w:p>
      <w:pPr>
        <w:spacing w:after="40" w:before="0"/>
      </w:pPr>
    </w:p>
    <w:p>
      <w:pPr>
        <w:pStyle w:val="Heading2"/>
        <w:keepNext/>
        <w:spacing w:before="100" w:after="80" w:line="252" w:lineRule="auto"/>
      </w:pPr>
      <w:r>
        <w:rPr>
          <w:rFonts w:ascii="Calibri" w:hAnsi="Calibri"/>
          <w:b/>
          <w:color w:val="2E74B5"/>
          <w:sz w:val="26"/>
        </w:rPr>
        <w:t>11.7 Interfaces (DS-MES-028 to 036)</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850"/>
        <w:gridCol w:w="4250"/>
        <w:gridCol w:w="1050"/>
        <w:gridCol w:w="1800"/>
        <w:gridCol w:w="1410"/>
      </w:tblGrid>
      <w:tr>
        <w:trPr>
          <w:trHeight w:hRule="auto"/>
          <w:cantSplit/>
          <w:tblHeader w:val="true"/>
          <w:cantSplit/>
        </w:trPr>
        <w:tc>
          <w:tcPr>
            <w:tcW w:type="dxa" w:w="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ID</w:t>
            </w:r>
          </w:p>
        </w:tc>
        <w:tc>
          <w:tcPr>
            <w:tcW w:type="dxa" w:w="42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design and design-verification focus</w:t>
            </w:r>
          </w:p>
        </w:tc>
        <w:tc>
          <w:tcPr>
            <w:tcW w:type="dxa" w:w="10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URS / FS</w:t>
            </w:r>
          </w:p>
        </w:tc>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Component / environment</w:t>
            </w:r>
          </w:p>
        </w:tc>
        <w:tc>
          <w:tcPr>
            <w:tcW w:type="dxa" w:w="14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Risks / level</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DS-MES-028</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ERP inbound orders and master data</w:t>
            </w:r>
            <w:r>
              <w:br/>
            </w:r>
            <w:r>
              <w:rPr>
                <w:rFonts w:ascii="Calibri" w:hAnsi="Calibri"/>
                <w:b w:val="0"/>
                <w:color w:val="203040"/>
                <w:sz w:val="13"/>
              </w:rPr>
              <w:t>Technical design: The ERP inbound adapter shall receive the authorised order/master-data contract through CMP-MES-INT-001, validate schema and mapping version, persist correlation/idempotency state and place the candidate in staging before the release gate. All 9 ERP IS requirements remain the detailed contract authority.</w:t>
            </w:r>
            <w:r>
              <w:br/>
            </w:r>
            <w:r>
              <w:rPr>
                <w:rFonts w:ascii="Calibri" w:hAnsi="Calibri"/>
                <w:b w:val="0"/>
                <w:color w:val="203040"/>
                <w:sz w:val="13"/>
              </w:rPr>
              <w:t>Design-verification focus: Trace INT-MES-ERP-001 to 009 through valid, invalid, duplicate, late, security, quarantine, monitoring and recovery scenarios.</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URS-MES-028</w:t>
            </w:r>
            <w:r>
              <w:br/>
            </w:r>
            <w:r>
              <w:rPr>
                <w:rFonts w:ascii="Calibri" w:hAnsi="Calibri"/>
                <w:b w:val="0"/>
                <w:color w:val="203040"/>
                <w:sz w:val="13"/>
              </w:rPr>
              <w:t>FS-MES-028</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r>
              <w:br/>
            </w:r>
            <w:r>
              <w:rPr>
                <w:rFonts w:ascii="Calibri" w:hAnsi="Calibri"/>
                <w:b w:val="0"/>
                <w:color w:val="203040"/>
                <w:sz w:val="13"/>
              </w:rPr>
              <w:t>DEV / TEST-VAL / PROD; DR recovery</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RSK-MES-011, RSK-MES-015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DS-MES-029</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ERP outbound manufacturing confirmation</w:t>
            </w:r>
            <w:r>
              <w:br/>
            </w:r>
            <w:r>
              <w:rPr>
                <w:rFonts w:ascii="Calibri" w:hAnsi="Calibri"/>
                <w:b w:val="0"/>
                <w:color w:val="203040"/>
                <w:sz w:val="13"/>
              </w:rPr>
              <w:t>Technical design: The ERP outbound publisher shall derive confirmation events only from authorised MES states, construct a versioned payload from governed records and retain technical/business acknowledgement, retry and reconciliation state. No uncertain delivery state shall be reported as business success.</w:t>
            </w:r>
            <w:r>
              <w:br/>
            </w:r>
            <w:r>
              <w:rPr>
                <w:rFonts w:ascii="Calibri" w:hAnsi="Calibri"/>
                <w:b w:val="0"/>
                <w:color w:val="203040"/>
                <w:sz w:val="13"/>
              </w:rPr>
              <w:t>Design-verification focus: Verify source-state gating, payload provenance, duplicate/retry behavior and end-to-end reconciliation against INT-MES-ERP-002 to 009.</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URS-MES-029</w:t>
            </w:r>
            <w:r>
              <w:br/>
            </w:r>
            <w:r>
              <w:rPr>
                <w:rFonts w:ascii="Calibri" w:hAnsi="Calibri"/>
                <w:b w:val="0"/>
                <w:color w:val="203040"/>
                <w:sz w:val="13"/>
              </w:rPr>
              <w:t>FS-MES-029</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r>
              <w:br/>
            </w:r>
            <w:r>
              <w:rPr>
                <w:rFonts w:ascii="Calibri" w:hAnsi="Calibri"/>
                <w:b w:val="0"/>
                <w:color w:val="203040"/>
                <w:sz w:val="13"/>
              </w:rPr>
              <w:t>DEV / TEST-VAL / PROD; DR recovery</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RSK-MES-011, RSK-MES-015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DS-MES-030</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LIMS sample request and status transfer</w:t>
            </w:r>
            <w:r>
              <w:br/>
            </w:r>
            <w:r>
              <w:rPr>
                <w:rFonts w:ascii="Calibri" w:hAnsi="Calibri"/>
                <w:b w:val="0"/>
                <w:color w:val="203040"/>
                <w:sz w:val="13"/>
              </w:rPr>
              <w:t>Technical design: The LIMS sample-request publisher shall allocate a stable request identity tied to batch/step and send a versioned request only from the configured execution state. Acknowledgement/status shall update the existing request state rather than create a second business request.</w:t>
            </w:r>
            <w:r>
              <w:br/>
            </w:r>
            <w:r>
              <w:rPr>
                <w:rFonts w:ascii="Calibri" w:hAnsi="Calibri"/>
                <w:b w:val="0"/>
                <w:color w:val="203040"/>
                <w:sz w:val="13"/>
              </w:rPr>
              <w:t>Design-verification focus: Challenge wrong state/context, duplicate creation, missing acknowledgement and out-of-order statuses against INT-MES-LIMS-001, 002 and 006 to 009.</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URS-MES-030</w:t>
            </w:r>
            <w:r>
              <w:br/>
            </w:r>
            <w:r>
              <w:rPr>
                <w:rFonts w:ascii="Calibri" w:hAnsi="Calibri"/>
                <w:b w:val="0"/>
                <w:color w:val="203040"/>
                <w:sz w:val="13"/>
              </w:rPr>
              <w:t>FS-MES-030</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r>
              <w:br/>
            </w:r>
            <w:r>
              <w:rPr>
                <w:rFonts w:ascii="Calibri" w:hAnsi="Calibri"/>
                <w:b w:val="0"/>
                <w:color w:val="203040"/>
                <w:sz w:val="13"/>
              </w:rPr>
              <w:t>DEV / TEST-VAL / PROD; DR recovery</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RSK-MES-012, RSK-MES-015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DS-MES-031</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LIMS result and disposition receipt</w:t>
            </w:r>
            <w:r>
              <w:br/>
            </w:r>
            <w:r>
              <w:rPr>
                <w:rFonts w:ascii="Calibri" w:hAnsi="Calibri"/>
                <w:b w:val="0"/>
                <w:color w:val="203040"/>
                <w:sz w:val="13"/>
              </w:rPr>
              <w:t>Technical design: The LIMS result consumer shall authenticate the source, correlate request/sample identity, validate result/disposition version and mapping and expose only the permitted current state to MES decision logic. Late, superseded, unmatched or conflicting content shall be quarantined.</w:t>
            </w:r>
            <w:r>
              <w:br/>
            </w:r>
            <w:r>
              <w:rPr>
                <w:rFonts w:ascii="Calibri" w:hAnsi="Calibri"/>
                <w:b w:val="0"/>
                <w:color w:val="203040"/>
                <w:sz w:val="13"/>
              </w:rPr>
              <w:t>Design-verification focus: Process valid and adverse result versions and reconcile request-to-result history against INT-MES-LIMS-003 to 009.</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URS-MES-031</w:t>
            </w:r>
            <w:r>
              <w:br/>
            </w:r>
            <w:r>
              <w:rPr>
                <w:rFonts w:ascii="Calibri" w:hAnsi="Calibri"/>
                <w:b w:val="0"/>
                <w:color w:val="203040"/>
                <w:sz w:val="13"/>
              </w:rPr>
              <w:t>FS-MES-031</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r>
              <w:br/>
            </w:r>
            <w:r>
              <w:rPr>
                <w:rFonts w:ascii="Calibri" w:hAnsi="Calibri"/>
                <w:b w:val="0"/>
                <w:color w:val="203040"/>
                <w:sz w:val="13"/>
              </w:rPr>
              <w:t>DEV / TEST-VAL / PROD; DR recovery</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RSK-MES-012, RSK-MES-015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DS-MES-032</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Controlled commands to automation</w:t>
            </w:r>
            <w:r>
              <w:br/>
            </w:r>
            <w:r>
              <w:rPr>
                <w:rFonts w:ascii="Calibri" w:hAnsi="Calibri"/>
                <w:b w:val="0"/>
                <w:color w:val="203040"/>
                <w:sz w:val="13"/>
              </w:rPr>
              <w:t>Technical design: The automation command gateway shall require valid batch/step/equipment context, authorised service scope, allowed command type/value and an explicit acknowledgement/final-state model. Ambiguous or timed-out outcomes shall invoke the approved safe-failure behavior and prohibit blind replay.</w:t>
            </w:r>
            <w:r>
              <w:br/>
            </w:r>
            <w:r>
              <w:rPr>
                <w:rFonts w:ascii="Calibri" w:hAnsi="Calibri"/>
                <w:b w:val="0"/>
                <w:color w:val="203040"/>
                <w:sz w:val="13"/>
              </w:rPr>
              <w:t>Design-verification focus: Exercise limit, context, trust, duplicate, timeout and uncertain-outcome cases against INT-MES-AUT-001 and 004 to 010.</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URS-MES-032</w:t>
            </w:r>
            <w:r>
              <w:br/>
            </w:r>
            <w:r>
              <w:rPr>
                <w:rFonts w:ascii="Calibri" w:hAnsi="Calibri"/>
                <w:b w:val="0"/>
                <w:color w:val="203040"/>
                <w:sz w:val="13"/>
              </w:rPr>
              <w:t>FS-MES-032</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r>
              <w:br/>
            </w:r>
            <w:r>
              <w:rPr>
                <w:rFonts w:ascii="Calibri" w:hAnsi="Calibri"/>
                <w:b w:val="0"/>
                <w:color w:val="203040"/>
                <w:sz w:val="13"/>
              </w:rPr>
              <w:t>DEV / TEST-VAL / PROD; DR recovery</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RSK-MES-013, RSK-MES-015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DS-MES-033</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Automation data receipt</w:t>
            </w:r>
            <w:r>
              <w:br/>
            </w:r>
            <w:r>
              <w:rPr>
                <w:rFonts w:ascii="Calibri" w:hAnsi="Calibri"/>
                <w:b w:val="0"/>
                <w:color w:val="203040"/>
                <w:sz w:val="13"/>
              </w:rPr>
              <w:t>Technical design: The automation ingest path shall associate measurements, statuses, alarms and events with equipment, batch/step, sequence, quality, source time and receipt time before acceptance. Invalid or late values shall follow the configured exception rule and never overwrite retained history.</w:t>
            </w:r>
            <w:r>
              <w:br/>
            </w:r>
            <w:r>
              <w:rPr>
                <w:rFonts w:ascii="Calibri" w:hAnsi="Calibri"/>
                <w:b w:val="0"/>
                <w:color w:val="203040"/>
                <w:sz w:val="13"/>
              </w:rPr>
              <w:t>Design-verification focus: Challenge quality/range/time/context/sequence cases and reconcile raw-to-accepted evidence against INT-MES-AUT-002 to 010.</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URS-MES-033</w:t>
            </w:r>
            <w:r>
              <w:br/>
            </w:r>
            <w:r>
              <w:rPr>
                <w:rFonts w:ascii="Calibri" w:hAnsi="Calibri"/>
                <w:b w:val="0"/>
                <w:color w:val="203040"/>
                <w:sz w:val="13"/>
              </w:rPr>
              <w:t>FS-MES-033</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r>
              <w:br/>
            </w:r>
            <w:r>
              <w:rPr>
                <w:rFonts w:ascii="Calibri" w:hAnsi="Calibri"/>
                <w:b w:val="0"/>
                <w:color w:val="203040"/>
                <w:sz w:val="13"/>
              </w:rPr>
              <w:t>DEV / TEST-VAL / PROD; DR recovery</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RSK-MES-013, RSK-MES-015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DS-MES-034</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Historian and reporting publication</w:t>
            </w:r>
            <w:r>
              <w:br/>
            </w:r>
            <w:r>
              <w:rPr>
                <w:rFonts w:ascii="Calibri" w:hAnsi="Calibri"/>
                <w:b w:val="0"/>
                <w:color w:val="203040"/>
                <w:sz w:val="13"/>
              </w:rPr>
              <w:t>Technical design: The historian/reporting publisher shall emit authorised, versioned record events with stable source identity, event time, quality/provenance and publication state. Late correction, duplicate and replay handling shall preserve chronology and enable source-to-target reconciliation.</w:t>
            </w:r>
            <w:r>
              <w:br/>
            </w:r>
            <w:r>
              <w:rPr>
                <w:rFonts w:ascii="Calibri" w:hAnsi="Calibri"/>
                <w:b w:val="0"/>
                <w:color w:val="203040"/>
                <w:sz w:val="13"/>
              </w:rPr>
              <w:t>Design-verification focus: Verify normal and correction publication, rejected/late/duplicate events, access scope, monitoring and recovery against INT-MES-HIS-001 to 008.</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URS-MES-034</w:t>
            </w:r>
            <w:r>
              <w:br/>
            </w:r>
            <w:r>
              <w:rPr>
                <w:rFonts w:ascii="Calibri" w:hAnsi="Calibri"/>
                <w:b w:val="0"/>
                <w:color w:val="203040"/>
                <w:sz w:val="13"/>
              </w:rPr>
              <w:t>FS-MES-034</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r>
              <w:br/>
            </w:r>
            <w:r>
              <w:rPr>
                <w:rFonts w:ascii="Calibri" w:hAnsi="Calibri"/>
                <w:b w:val="0"/>
                <w:color w:val="203040"/>
                <w:sz w:val="13"/>
              </w:rPr>
              <w:t>DEV / TEST-VAL / PROD; DR recovery</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RSK-MES-014, RSK-MES-015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DS-MES-035</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Enterprise identity integration</w:t>
            </w:r>
            <w:r>
              <w:br/>
            </w:r>
            <w:r>
              <w:rPr>
                <w:rFonts w:ascii="Calibri" w:hAnsi="Calibri"/>
                <w:b w:val="0"/>
                <w:color w:val="203040"/>
                <w:sz w:val="13"/>
              </w:rPr>
              <w:t>Technical design: The identity adapter shall map approved enterprise subjects, attributes and group/entitlement changes to MES identities without creating access from unmatched or excess attributes. Provisioning, revocation, reconciliation and service-unavailability states shall be explicit and monitored.</w:t>
            </w:r>
            <w:r>
              <w:br/>
            </w:r>
            <w:r>
              <w:rPr>
                <w:rFonts w:ascii="Calibri" w:hAnsi="Calibri"/>
                <w:b w:val="0"/>
                <w:color w:val="203040"/>
                <w:sz w:val="13"/>
              </w:rPr>
              <w:t>Design-verification focus: Challenge joiner/mover/leaver, ambiguous mapping, stale entitlement and interface failure against INT-MES-IAM-001 to 008.</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URS-MES-035</w:t>
            </w:r>
            <w:r>
              <w:br/>
            </w:r>
            <w:r>
              <w:rPr>
                <w:rFonts w:ascii="Calibri" w:hAnsi="Calibri"/>
                <w:b w:val="0"/>
                <w:color w:val="203040"/>
                <w:sz w:val="13"/>
              </w:rPr>
              <w:t>FS-MES-035</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 CMP-ENT-IAM-001</w:t>
            </w:r>
            <w:r>
              <w:br/>
            </w:r>
            <w:r>
              <w:rPr>
                <w:rFonts w:ascii="Calibri" w:hAnsi="Calibri"/>
                <w:b w:val="0"/>
                <w:color w:val="203040"/>
                <w:sz w:val="13"/>
              </w:rPr>
              <w:t>DEV / TEST-VAL / PROD; DR recovery</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RSK-MES-005, RSK-MES-006, RSK-MES-015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DS-MES-036</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Common interface integrity and failure control</w:t>
            </w:r>
            <w:r>
              <w:br/>
            </w:r>
            <w:r>
              <w:rPr>
                <w:rFonts w:ascii="Calibri" w:hAnsi="Calibri"/>
                <w:b w:val="0"/>
                <w:color w:val="203040"/>
                <w:sz w:val="13"/>
              </w:rPr>
              <w:t>Technical design: CMP-MES-INT-001 shall provide shared contract validation, mapping/version control, correlation and idempotency, technical/business acknowledgement, retry/replay authorisation, quarantine, reconciliation, audit and monitoring services. Family-specific processing shall reuse these controls without obscuring business ownership.</w:t>
            </w:r>
            <w:r>
              <w:br/>
            </w:r>
            <w:r>
              <w:rPr>
                <w:rFonts w:ascii="Calibri" w:hAnsi="Calibri"/>
                <w:b w:val="0"/>
                <w:color w:val="203040"/>
                <w:sz w:val="13"/>
              </w:rPr>
              <w:t>Design-verification focus: Demonstrate the common state model and control evidence across all 60 IS requirements and every interface family, including recovery and deprecation.</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URS-MES-036</w:t>
            </w:r>
            <w:r>
              <w:br/>
            </w:r>
            <w:r>
              <w:rPr>
                <w:rFonts w:ascii="Calibri" w:hAnsi="Calibri"/>
                <w:b w:val="0"/>
                <w:color w:val="203040"/>
                <w:sz w:val="13"/>
              </w:rPr>
              <w:t>FS-MES-036</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r>
              <w:br/>
            </w:r>
            <w:r>
              <w:rPr>
                <w:rFonts w:ascii="Calibri" w:hAnsi="Calibri"/>
                <w:b w:val="0"/>
                <w:color w:val="203040"/>
                <w:sz w:val="13"/>
              </w:rPr>
              <w:t>DEV / TEST-VAL / PROD; DR recovery</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RSK-MES-011, RSK-MES-012, RSK-MES-013, RSK-MES-014, RSK-MES-015, RSK-MES-019 / Working High</w:t>
            </w:r>
          </w:p>
        </w:tc>
      </w:tr>
    </w:tbl>
    <w:p>
      <w:pPr>
        <w:spacing w:after="40" w:before="0"/>
      </w:pPr>
    </w:p>
    <w:p>
      <w:pPr>
        <w:pStyle w:val="Heading2"/>
        <w:keepNext/>
        <w:spacing w:before="100" w:after="80" w:line="252" w:lineRule="auto"/>
      </w:pPr>
      <w:r>
        <w:rPr>
          <w:rFonts w:ascii="Calibri" w:hAnsi="Calibri"/>
          <w:b/>
          <w:color w:val="2E74B5"/>
          <w:sz w:val="26"/>
        </w:rPr>
        <w:t>11.8 Backup and recovery (DS-MES-037 to 040)</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850"/>
        <w:gridCol w:w="4250"/>
        <w:gridCol w:w="1050"/>
        <w:gridCol w:w="1800"/>
        <w:gridCol w:w="1410"/>
      </w:tblGrid>
      <w:tr>
        <w:trPr>
          <w:trHeight w:hRule="auto"/>
          <w:cantSplit/>
          <w:tblHeader w:val="true"/>
          <w:cantSplit/>
        </w:trPr>
        <w:tc>
          <w:tcPr>
            <w:tcW w:type="dxa" w:w="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ID</w:t>
            </w:r>
          </w:p>
        </w:tc>
        <w:tc>
          <w:tcPr>
            <w:tcW w:type="dxa" w:w="42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design and design-verification focus</w:t>
            </w:r>
          </w:p>
        </w:tc>
        <w:tc>
          <w:tcPr>
            <w:tcW w:type="dxa" w:w="10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URS / FS</w:t>
            </w:r>
          </w:p>
        </w:tc>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Component / environment</w:t>
            </w:r>
          </w:p>
        </w:tc>
        <w:tc>
          <w:tcPr>
            <w:tcW w:type="dxa" w:w="14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Risks / level</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DS-MES-037</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Risk-based backup coverage</w:t>
            </w:r>
            <w:r>
              <w:br/>
            </w:r>
            <w:r>
              <w:rPr>
                <w:rFonts w:ascii="Calibri" w:hAnsi="Calibri"/>
                <w:b w:val="0"/>
                <w:color w:val="203040"/>
                <w:sz w:val="13"/>
              </w:rPr>
              <w:t>Technical design: A component/data-class backup matrix shall define protected configuration, application data, audit/signature evidence, integration state and report definitions with owner, method, schedule, retention and encryption/access expectations. Exact products, schedules and retention remain Verify.</w:t>
            </w:r>
            <w:r>
              <w:br/>
            </w:r>
            <w:r>
              <w:rPr>
                <w:rFonts w:ascii="Calibri" w:hAnsi="Calibri"/>
                <w:b w:val="0"/>
                <w:color w:val="203040"/>
                <w:sz w:val="13"/>
              </w:rPr>
              <w:t>Design-verification focus: Review backup scope against the 8-component register and simulate missing/failing jobs and unauthorised backup access.</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URS-MES-037</w:t>
            </w:r>
            <w:r>
              <w:br/>
            </w:r>
            <w:r>
              <w:rPr>
                <w:rFonts w:ascii="Calibri" w:hAnsi="Calibri"/>
                <w:b w:val="0"/>
                <w:color w:val="203040"/>
                <w:sz w:val="13"/>
              </w:rPr>
              <w:t>FS-MES-037</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CMP-ENT-BCK-001; CMP-MES-DB-001; CMP-MES-APP-001; CMP-MES-INT-001; CMP-ENT-MON-001</w:t>
            </w:r>
            <w:r>
              <w:br/>
            </w:r>
            <w:r>
              <w:rPr>
                <w:rFonts w:ascii="Calibri" w:hAnsi="Calibri"/>
                <w:b w:val="0"/>
                <w:color w:val="203040"/>
                <w:sz w:val="13"/>
              </w:rPr>
              <w:t>DEV / TEST-VAL / PROD / DR</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RSK-MES-017, RSK-MES-020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DS-MES-038</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Complete and accurate restoration</w:t>
            </w:r>
            <w:r>
              <w:br/>
            </w:r>
            <w:r>
              <w:rPr>
                <w:rFonts w:ascii="Calibri" w:hAnsi="Calibri"/>
                <w:b w:val="0"/>
                <w:color w:val="203040"/>
                <w:sz w:val="13"/>
              </w:rPr>
              <w:t>Technical design: Restore shall use a controlled orchestration sequence into an isolated or approved target, validate package integrity and reconstruct application/data/interface state before service exposure. Post-restore record, signature, audit and reconciliation checks shall determine acceptability.</w:t>
            </w:r>
            <w:r>
              <w:br/>
            </w:r>
            <w:r>
              <w:rPr>
                <w:rFonts w:ascii="Calibri" w:hAnsi="Calibri"/>
                <w:b w:val="0"/>
                <w:color w:val="203040"/>
                <w:sz w:val="13"/>
              </w:rPr>
              <w:t>Design-verification focus: Restore representative datasets/configuration and challenge corrupt, incomplete and wrong-version media without claiming executed DR evidence.</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URS-MES-038</w:t>
            </w:r>
            <w:r>
              <w:br/>
            </w:r>
            <w:r>
              <w:rPr>
                <w:rFonts w:ascii="Calibri" w:hAnsi="Calibri"/>
                <w:b w:val="0"/>
                <w:color w:val="203040"/>
                <w:sz w:val="13"/>
              </w:rPr>
              <w:t>FS-MES-038</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CMP-ENT-BCK-001; CMP-MES-DB-001; CMP-MES-APP-001; CMP-MES-INT-001; CMP-ENT-MON-001</w:t>
            </w:r>
            <w:r>
              <w:br/>
            </w:r>
            <w:r>
              <w:rPr>
                <w:rFonts w:ascii="Calibri" w:hAnsi="Calibri"/>
                <w:b w:val="0"/>
                <w:color w:val="203040"/>
                <w:sz w:val="13"/>
              </w:rPr>
              <w:t>DEV / TEST-VAL / PROD / DR</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RSK-MES-017, RSK-MES-018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DS-MES-039</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Coordinated service recovery</w:t>
            </w:r>
            <w:r>
              <w:br/>
            </w:r>
            <w:r>
              <w:rPr>
                <w:rFonts w:ascii="Calibri" w:hAnsi="Calibri"/>
                <w:b w:val="0"/>
                <w:color w:val="203040"/>
                <w:sz w:val="13"/>
              </w:rPr>
              <w:t>Technical design: Recovery design shall order enterprise dependencies, database, integration, application and reporting services; preserve a safe MES execution state while dependencies are unavailable; and control restart/reconciliation of active batches and queues. Exact RTO/RPO and topology remain Verify.</w:t>
            </w:r>
            <w:r>
              <w:br/>
            </w:r>
            <w:r>
              <w:rPr>
                <w:rFonts w:ascii="Calibri" w:hAnsi="Calibri"/>
                <w:b w:val="0"/>
                <w:color w:val="203040"/>
                <w:sz w:val="13"/>
              </w:rPr>
              <w:t>Design-verification focus: Walk through component loss and dependency-recovery sequences, including partial recovery and rollback, and verify defined decision points.</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URS-MES-039</w:t>
            </w:r>
            <w:r>
              <w:br/>
            </w:r>
            <w:r>
              <w:rPr>
                <w:rFonts w:ascii="Calibri" w:hAnsi="Calibri"/>
                <w:b w:val="0"/>
                <w:color w:val="203040"/>
                <w:sz w:val="13"/>
              </w:rPr>
              <w:t>FS-MES-039</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CMP-ENT-BCK-001; CMP-MES-DB-001; CMP-MES-APP-001; CMP-MES-INT-001; CMP-ENT-MON-001</w:t>
            </w:r>
            <w:r>
              <w:br/>
            </w:r>
            <w:r>
              <w:rPr>
                <w:rFonts w:ascii="Calibri" w:hAnsi="Calibri"/>
                <w:b w:val="0"/>
                <w:color w:val="203040"/>
                <w:sz w:val="13"/>
              </w:rPr>
              <w:t>DEV / TEST-VAL / PROD / DR</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RSK-MES-016, RSK-MES-018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DS-MES-040</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Backup and recovery verification and monitoring</w:t>
            </w:r>
            <w:r>
              <w:br/>
            </w:r>
            <w:r>
              <w:rPr>
                <w:rFonts w:ascii="Calibri" w:hAnsi="Calibri"/>
                <w:b w:val="0"/>
                <w:color w:val="203040"/>
                <w:sz w:val="13"/>
              </w:rPr>
              <w:t>Technical design: Backup/recovery monitoring shall capture job outcome, protected object, age, capacity, restore-test due state and unresolved exception with routing and escalation. Verification evidence shall be linked to the relevant baseline and retained independently from transient tool dashboards.</w:t>
            </w:r>
            <w:r>
              <w:br/>
            </w:r>
            <w:r>
              <w:rPr>
                <w:rFonts w:ascii="Calibri" w:hAnsi="Calibri"/>
                <w:b w:val="0"/>
                <w:color w:val="203040"/>
                <w:sz w:val="13"/>
              </w:rPr>
              <w:t>Design-verification focus: Create job, capacity, age and restore-test exceptions and verify alert routing, escalation, disposition and periodic evidence.</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URS-MES-040</w:t>
            </w:r>
            <w:r>
              <w:br/>
            </w:r>
            <w:r>
              <w:rPr>
                <w:rFonts w:ascii="Calibri" w:hAnsi="Calibri"/>
                <w:b w:val="0"/>
                <w:color w:val="203040"/>
                <w:sz w:val="13"/>
              </w:rPr>
              <w:t>FS-MES-040</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CMP-ENT-BCK-001; CMP-MES-DB-001; CMP-MES-APP-001; CMP-MES-INT-001; CMP-ENT-MON-001</w:t>
            </w:r>
            <w:r>
              <w:br/>
            </w:r>
            <w:r>
              <w:rPr>
                <w:rFonts w:ascii="Calibri" w:hAnsi="Calibri"/>
                <w:b w:val="0"/>
                <w:color w:val="203040"/>
                <w:sz w:val="13"/>
              </w:rPr>
              <w:t>DEV / TEST-VAL / PROD / DR</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RSK-MES-017, RSK-MES-018, RSK-MES-024 / Working High</w:t>
            </w:r>
          </w:p>
        </w:tc>
      </w:tr>
    </w:tbl>
    <w:p>
      <w:pPr>
        <w:spacing w:after="40" w:before="0"/>
      </w:pPr>
    </w:p>
    <w:p>
      <w:pPr>
        <w:pStyle w:val="Heading2"/>
        <w:keepNext/>
        <w:spacing w:before="100" w:after="80" w:line="252" w:lineRule="auto"/>
      </w:pPr>
      <w:r>
        <w:rPr>
          <w:rFonts w:ascii="Calibri" w:hAnsi="Calibri"/>
          <w:b/>
          <w:color w:val="2E74B5"/>
          <w:sz w:val="26"/>
        </w:rPr>
        <w:t>11.9 Reporting (DS-MES-041 to 044)</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850"/>
        <w:gridCol w:w="4250"/>
        <w:gridCol w:w="1050"/>
        <w:gridCol w:w="1800"/>
        <w:gridCol w:w="1410"/>
      </w:tblGrid>
      <w:tr>
        <w:trPr>
          <w:trHeight w:hRule="auto"/>
          <w:cantSplit/>
          <w:tblHeader w:val="true"/>
          <w:cantSplit/>
        </w:trPr>
        <w:tc>
          <w:tcPr>
            <w:tcW w:type="dxa" w:w="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ID</w:t>
            </w:r>
          </w:p>
        </w:tc>
        <w:tc>
          <w:tcPr>
            <w:tcW w:type="dxa" w:w="42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design and design-verification focus</w:t>
            </w:r>
          </w:p>
        </w:tc>
        <w:tc>
          <w:tcPr>
            <w:tcW w:type="dxa" w:w="10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URS / FS</w:t>
            </w:r>
          </w:p>
        </w:tc>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Component / environment</w:t>
            </w:r>
          </w:p>
        </w:tc>
        <w:tc>
          <w:tcPr>
            <w:tcW w:type="dxa" w:w="14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Risks / level</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DS-MES-041</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Operational execution reporting</w:t>
            </w:r>
            <w:r>
              <w:br/>
            </w:r>
            <w:r>
              <w:rPr>
                <w:rFonts w:ascii="Calibri" w:hAnsi="Calibri"/>
                <w:b w:val="0"/>
                <w:color w:val="203040"/>
                <w:sz w:val="13"/>
              </w:rPr>
              <w:t>Technical design: Operational views shall use governed read models keyed to current order/batch state and display source time, refresh/as-of time, status and exception indicators. Cached or delayed data shall be visibly distinguished from authoritative execution state.</w:t>
            </w:r>
            <w:r>
              <w:br/>
            </w:r>
            <w:r>
              <w:rPr>
                <w:rFonts w:ascii="Calibri" w:hAnsi="Calibri"/>
                <w:b w:val="0"/>
                <w:color w:val="203040"/>
                <w:sz w:val="13"/>
              </w:rPr>
              <w:t>Design-verification focus: Compare views to source transactions across filters, concurrent updates, stale cache and access scopes.</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URS-MES-041</w:t>
            </w:r>
            <w:r>
              <w:br/>
            </w:r>
            <w:r>
              <w:rPr>
                <w:rFonts w:ascii="Calibri" w:hAnsi="Calibri"/>
                <w:b w:val="0"/>
                <w:color w:val="203040"/>
                <w:sz w:val="13"/>
              </w:rPr>
              <w:t>FS-MES-041</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CMP-MES-REP-001; CMP-MES-DB-001; CMP-MES-APP-001; CMP-MES-INT-001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RSK-MES-003, RSK-MES-014, RSK-MES-023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DS-MES-042</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Quality and review-by-exception reporting</w:t>
            </w:r>
            <w:r>
              <w:br/>
            </w:r>
            <w:r>
              <w:rPr>
                <w:rFonts w:ascii="Calibri" w:hAnsi="Calibri"/>
                <w:b w:val="0"/>
                <w:color w:val="203040"/>
                <w:sz w:val="13"/>
              </w:rPr>
              <w:t>Technical design: Quality and review-by-exception views shall derive a reproducible batch population and join exceptions, signatures, audit events and completion evidence by stable identifiers. Reviewer decisions and drill-back shall operate on the same frozen/effective record version.</w:t>
            </w:r>
            <w:r>
              <w:br/>
            </w:r>
            <w:r>
              <w:rPr>
                <w:rFonts w:ascii="Calibri" w:hAnsi="Calibri"/>
                <w:b w:val="0"/>
                <w:color w:val="203040"/>
                <w:sz w:val="13"/>
              </w:rPr>
              <w:t>Design-verification focus: Reconcile complete and seeded-exception batches, filter boundaries, late corrections and reviewer decisions to underlying evidence.</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URS-MES-042</w:t>
            </w:r>
            <w:r>
              <w:br/>
            </w:r>
            <w:r>
              <w:rPr>
                <w:rFonts w:ascii="Calibri" w:hAnsi="Calibri"/>
                <w:b w:val="0"/>
                <w:color w:val="203040"/>
                <w:sz w:val="13"/>
              </w:rPr>
              <w:t>FS-MES-042</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CMP-MES-REP-001; CMP-MES-DB-001; CMP-MES-APP-001; CMP-MES-INT-001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RSK-MES-003, RSK-MES-008, RSK-MES-023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DS-MES-043</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Interface and exception reconciliation reporting</w:t>
            </w:r>
            <w:r>
              <w:br/>
            </w:r>
            <w:r>
              <w:rPr>
                <w:rFonts w:ascii="Calibri" w:hAnsi="Calibri"/>
                <w:b w:val="0"/>
                <w:color w:val="203040"/>
                <w:sz w:val="13"/>
              </w:rPr>
              <w:t>Technical design: The reconciliation dashboard shall read the integration transaction ledger and present family, direction, state, age, source/target identities, retry/quarantine status and accountable owner. Counts and unresolved items shall be reproducible for a defined time window.</w:t>
            </w:r>
            <w:r>
              <w:br/>
            </w:r>
            <w:r>
              <w:rPr>
                <w:rFonts w:ascii="Calibri" w:hAnsi="Calibri"/>
                <w:b w:val="0"/>
                <w:color w:val="203040"/>
                <w:sz w:val="13"/>
              </w:rPr>
              <w:t>Design-verification focus: Seed every transaction state and compare dashboard totals/details to the 60-requirement interface evidence set.</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URS-MES-043</w:t>
            </w:r>
            <w:r>
              <w:br/>
            </w:r>
            <w:r>
              <w:rPr>
                <w:rFonts w:ascii="Calibri" w:hAnsi="Calibri"/>
                <w:b w:val="0"/>
                <w:color w:val="203040"/>
                <w:sz w:val="13"/>
              </w:rPr>
              <w:t>FS-MES-043</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CMP-MES-REP-001; CMP-MES-DB-001; CMP-MES-APP-001; CMP-MES-INT-001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RSK-MES-015, RSK-MES-022, RSK-MES-023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DS-MES-044</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Controlled report and extract provenance</w:t>
            </w:r>
            <w:r>
              <w:br/>
            </w:r>
            <w:r>
              <w:rPr>
                <w:rFonts w:ascii="Calibri" w:hAnsi="Calibri"/>
                <w:b w:val="0"/>
                <w:color w:val="203040"/>
                <w:sz w:val="13"/>
              </w:rPr>
              <w:t>Technical design: Report and extract generation shall persist report definition/version, parameters, source cut-off, generated-at time, generator identity, record counts and output integrity/protection context. A user shall be able to trace output values to governed source data.</w:t>
            </w:r>
            <w:r>
              <w:br/>
            </w:r>
            <w:r>
              <w:rPr>
                <w:rFonts w:ascii="Calibri" w:hAnsi="Calibri"/>
                <w:b w:val="0"/>
                <w:color w:val="203040"/>
                <w:sz w:val="13"/>
              </w:rPr>
              <w:t>Design-verification focus: Challenge parameter/time boundaries, stale data, export alteration and source drill-back; confirm provenance accompanies every controlled output.</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URS-MES-044</w:t>
            </w:r>
            <w:r>
              <w:br/>
            </w:r>
            <w:r>
              <w:rPr>
                <w:rFonts w:ascii="Calibri" w:hAnsi="Calibri"/>
                <w:b w:val="0"/>
                <w:color w:val="203040"/>
                <w:sz w:val="13"/>
              </w:rPr>
              <w:t>FS-MES-044</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CMP-MES-REP-001; CMP-MES-DB-001; CMP-MES-APP-001; CMP-MES-INT-001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RSK-MES-004, RSK-MES-010, RSK-MES-014, RSK-MES-023 / Working High</w:t>
            </w:r>
          </w:p>
        </w:tc>
      </w:tr>
    </w:tbl>
    <w:p>
      <w:pPr>
        <w:spacing w:after="40" w:before="0"/>
      </w:pPr>
    </w:p>
    <w:p>
      <w:pPr>
        <w:pStyle w:val="Heading2"/>
        <w:keepNext/>
        <w:spacing w:before="100" w:after="80" w:line="252" w:lineRule="auto"/>
      </w:pPr>
      <w:r>
        <w:rPr>
          <w:rFonts w:ascii="Calibri" w:hAnsi="Calibri"/>
          <w:b/>
          <w:color w:val="2E74B5"/>
          <w:sz w:val="26"/>
        </w:rPr>
        <w:t>11.10 Operations and maintained state (DS-MES-045 to 050)</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850"/>
        <w:gridCol w:w="4250"/>
        <w:gridCol w:w="1050"/>
        <w:gridCol w:w="1800"/>
        <w:gridCol w:w="1410"/>
      </w:tblGrid>
      <w:tr>
        <w:trPr>
          <w:trHeight w:hRule="auto"/>
          <w:cantSplit/>
          <w:tblHeader w:val="true"/>
          <w:cantSplit/>
        </w:trPr>
        <w:tc>
          <w:tcPr>
            <w:tcW w:type="dxa" w:w="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ID</w:t>
            </w:r>
          </w:p>
        </w:tc>
        <w:tc>
          <w:tcPr>
            <w:tcW w:type="dxa" w:w="42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design and design-verification focus</w:t>
            </w:r>
          </w:p>
        </w:tc>
        <w:tc>
          <w:tcPr>
            <w:tcW w:type="dxa" w:w="10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URS / FS</w:t>
            </w:r>
          </w:p>
        </w:tc>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Component / environment</w:t>
            </w:r>
          </w:p>
        </w:tc>
        <w:tc>
          <w:tcPr>
            <w:tcW w:type="dxa" w:w="14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Risks / level</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DS-MES-045</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Operational monitoring and alerting</w:t>
            </w:r>
            <w:r>
              <w:br/>
            </w:r>
            <w:r>
              <w:rPr>
                <w:rFonts w:ascii="Calibri" w:hAnsi="Calibri"/>
                <w:b w:val="0"/>
                <w:color w:val="203040"/>
                <w:sz w:val="13"/>
              </w:rPr>
              <w:t>Technical design: Components shall emit a common health-event schema covering availability, latency/capacity, security, backup, time, interface and data-quality conditions to CMP-ENT-MON-001. Alert rules shall retain source, severity, threshold/version, routing, acknowledgement and resolution state; numeric limits remain Verify.</w:t>
            </w:r>
            <w:r>
              <w:br/>
            </w:r>
            <w:r>
              <w:rPr>
                <w:rFonts w:ascii="Calibri" w:hAnsi="Calibri"/>
                <w:b w:val="0"/>
                <w:color w:val="203040"/>
                <w:sz w:val="13"/>
              </w:rPr>
              <w:t>Design-verification focus: Trigger and suppress approved test alerts, verify routing/escalation/deduplication and correlate alert evidence to the originating component.</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URS-MES-045</w:t>
            </w:r>
            <w:r>
              <w:br/>
            </w:r>
            <w:r>
              <w:rPr>
                <w:rFonts w:ascii="Calibri" w:hAnsi="Calibri"/>
                <w:b w:val="0"/>
                <w:color w:val="203040"/>
                <w:sz w:val="13"/>
              </w:rPr>
              <w:t>FS-MES-045</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CMP-ENT-MON-001; all registered components</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RSK-MES-006, RSK-MES-015, RSK-MES-016, RSK-MES-017, RSK-MES-019, RSK-MES-022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DS-MES-046</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Incident and problem control</w:t>
            </w:r>
            <w:r>
              <w:br/>
            </w:r>
            <w:r>
              <w:rPr>
                <w:rFonts w:ascii="Calibri" w:hAnsi="Calibri"/>
                <w:b w:val="0"/>
                <w:color w:val="203040"/>
                <w:sz w:val="13"/>
              </w:rPr>
              <w:t>Technical design: Incident-safe behavior shall expose controlled maintenance/degraded states, preserve regulated transactions, prevent unsafe progression and provide evidence needed for triage and recovery. Incident/problem identifiers are not created here; the design defines only the data and control hooks.</w:t>
            </w:r>
            <w:r>
              <w:br/>
            </w:r>
            <w:r>
              <w:rPr>
                <w:rFonts w:ascii="Calibri" w:hAnsi="Calibri"/>
                <w:b w:val="0"/>
                <w:color w:val="203040"/>
                <w:sz w:val="13"/>
              </w:rPr>
              <w:t>Design-verification focus: Simulate representative component/interface failures and workarounds, then verify safe state, evidence capture, recovery and reconciliation.</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URS-MES-046</w:t>
            </w:r>
            <w:r>
              <w:br/>
            </w:r>
            <w:r>
              <w:rPr>
                <w:rFonts w:ascii="Calibri" w:hAnsi="Calibri"/>
                <w:b w:val="0"/>
                <w:color w:val="203040"/>
                <w:sz w:val="13"/>
              </w:rPr>
              <w:t>FS-MES-046</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CMP-MES-INT-001; CMP-ENT-MON-001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RSK-MES-016, RSK-MES-018, RSK-MES-022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DS-MES-047</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Controlled change and configuration baseline</w:t>
            </w:r>
            <w:r>
              <w:br/>
            </w:r>
            <w:r>
              <w:rPr>
                <w:rFonts w:ascii="Calibri" w:hAnsi="Calibri"/>
                <w:b w:val="0"/>
                <w:color w:val="203040"/>
                <w:sz w:val="13"/>
              </w:rPr>
              <w:t>Technical design: Configuration and custom-code artifacts shall be versioned in approved repositories and promoted through DEV, TEST/VAL and PROD using an authorised build/release manifest, segregation and verification gates. Direct production change shall be prohibited except through a separately governed emergency process.</w:t>
            </w:r>
            <w:r>
              <w:br/>
            </w:r>
            <w:r>
              <w:rPr>
                <w:rFonts w:ascii="Calibri" w:hAnsi="Calibri"/>
                <w:b w:val="0"/>
                <w:color w:val="203040"/>
                <w:sz w:val="13"/>
              </w:rPr>
              <w:t>Design-verification focus: Compare repository/configuration baselines to deployed manifests, challenge unauthorised/direct promotion and verify rollback references; toolchain remains Verify.</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URS-MES-047</w:t>
            </w:r>
            <w:r>
              <w:br/>
            </w:r>
            <w:r>
              <w:rPr>
                <w:rFonts w:ascii="Calibri" w:hAnsi="Calibri"/>
                <w:b w:val="0"/>
                <w:color w:val="203040"/>
                <w:sz w:val="13"/>
              </w:rPr>
              <w:t>FS-MES-047</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CMP-MES-INT-001; CMP-ENT-MON-001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RSK-MES-001, RSK-MES-010, RSK-MES-019, RSK-MES-021, RSK-MES-022, RSK-MES-026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DS-MES-048</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Supplier and service-provider assurance</w:t>
            </w:r>
            <w:r>
              <w:br/>
            </w:r>
            <w:r>
              <w:rPr>
                <w:rFonts w:ascii="Calibri" w:hAnsi="Calibri"/>
                <w:b w:val="0"/>
                <w:color w:val="203040"/>
                <w:sz w:val="13"/>
              </w:rPr>
              <w:t>Technical design: Supplier/product evidence shall be indexed by component, release, support status and applicable control claim, with acceptance criteria and impact links to design, risk and verification. Received packages shall be verified for identity/integrity before controlled use.</w:t>
            </w:r>
            <w:r>
              <w:br/>
            </w:r>
            <w:r>
              <w:rPr>
                <w:rFonts w:ascii="Calibri" w:hAnsi="Calibri"/>
                <w:b w:val="0"/>
                <w:color w:val="203040"/>
                <w:sz w:val="13"/>
              </w:rPr>
              <w:t>Design-verification focus: Evaluate missing, superseded and conflicting supplier evidence and verify the component/design/test impact remains visible.</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URS-MES-048</w:t>
            </w:r>
            <w:r>
              <w:br/>
            </w:r>
            <w:r>
              <w:rPr>
                <w:rFonts w:ascii="Calibri" w:hAnsi="Calibri"/>
                <w:b w:val="0"/>
                <w:color w:val="203040"/>
                <w:sz w:val="13"/>
              </w:rPr>
              <w:t>FS-MES-048</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CMP-MES-INT-001; CMP-ENT-MON-001</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RSK-MES-019, RSK-MES-020, RSK-MES-024, RSK-MES-025 / Working High</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DS-MES-049</w:t>
            </w:r>
          </w:p>
        </w:tc>
        <w:tc>
          <w:tcPr>
            <w:tcW w:type="dxa" w:w="4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Periodic evaluation of continued fitness</w:t>
            </w:r>
            <w:r>
              <w:br/>
            </w:r>
            <w:r>
              <w:rPr>
                <w:rFonts w:ascii="Calibri" w:hAnsi="Calibri"/>
                <w:b w:val="0"/>
                <w:color w:val="203040"/>
                <w:sz w:val="13"/>
              </w:rPr>
              <w:t>Technical design: A maintained-state evidence view shall aggregate approved baseline, changes, incidents/problems, access/audit reviews, backup/recovery, security/vulnerability, capacity, supplier notices and training status for periodic evaluation. The review shall retain scope, sources, findings, actions and conclusion.</w:t>
            </w:r>
            <w:r>
              <w:br/>
            </w:r>
            <w:r>
              <w:rPr>
                <w:rFonts w:ascii="Calibri" w:hAnsi="Calibri"/>
                <w:b w:val="0"/>
                <w:color w:val="203040"/>
                <w:sz w:val="13"/>
              </w:rPr>
              <w:t>Design-verification focus: Reproduce a review population, challenge missing/late inputs and verify actions remain open until evidence-based closure.</w:t>
            </w:r>
          </w:p>
        </w:tc>
        <w:tc>
          <w:tcPr>
            <w:tcW w:type="dxa" w:w="10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URS-MES-049</w:t>
            </w:r>
            <w:r>
              <w:br/>
            </w:r>
            <w:r>
              <w:rPr>
                <w:rFonts w:ascii="Calibri" w:hAnsi="Calibri"/>
                <w:b w:val="0"/>
                <w:color w:val="203040"/>
                <w:sz w:val="13"/>
              </w:rPr>
              <w:t>FS-MES-049</w:t>
            </w:r>
          </w:p>
        </w:tc>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CMP-MES-APP-001; CMP-MES-DB-001; CMP-MES-INT-001; CMP-ENT-MON-001</w:t>
            </w:r>
            <w:r>
              <w:br/>
            </w:r>
            <w:r>
              <w:rPr>
                <w:rFonts w:ascii="Calibri" w:hAnsi="Calibri"/>
                <w:b w:val="0"/>
                <w:color w:val="203040"/>
                <w:sz w:val="13"/>
              </w:rPr>
              <w:t>DEV / TEST-VAL / PROD</w:t>
            </w:r>
          </w:p>
        </w:tc>
        <w:tc>
          <w:tcPr>
            <w:tcW w:type="dxa" w:w="14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RSK-MES-019, RSK-MES-020, RSK-MES-021, RSK-MES-022, RSK-MES-024, RSK-MES-025 / Working High</w:t>
            </w:r>
          </w:p>
        </w:tc>
      </w:tr>
      <w:tr>
        <w:trPr>
          <w:cantSplit/>
          <w:trHeight w:hRule="auto"/>
          <w:cantSplit/>
        </w:trPr>
        <w:tc>
          <w:tcPr>
            <w:tcW w:type="dxa" w:w="8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DS-MES-050</w:t>
            </w:r>
          </w:p>
        </w:tc>
        <w:tc>
          <w:tcPr>
            <w:tcW w:type="dxa" w:w="4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Role-based training and controlled guidance</w:t>
            </w:r>
            <w:r>
              <w:br/>
            </w:r>
            <w:r>
              <w:rPr>
                <w:rFonts w:ascii="Calibri" w:hAnsi="Calibri"/>
                <w:b w:val="0"/>
                <w:color w:val="203040"/>
                <w:sz w:val="13"/>
              </w:rPr>
              <w:t>Technical design: Role activation and controlled guidance shall reference approved role/curriculum and training-status evidence or an approved procedural control before independent regulated work. Changed functionality/role mappings shall trigger impact to training materials and authorisation state.</w:t>
            </w:r>
            <w:r>
              <w:br/>
            </w:r>
            <w:r>
              <w:rPr>
                <w:rFonts w:ascii="Calibri" w:hAnsi="Calibri"/>
                <w:b w:val="0"/>
                <w:color w:val="203040"/>
                <w:sz w:val="13"/>
              </w:rPr>
              <w:t>Design-verification focus: Challenge untrained, expired, transferred and changed-role users and verify access/work restrictions plus retained qualification evidence.</w:t>
            </w:r>
          </w:p>
        </w:tc>
        <w:tc>
          <w:tcPr>
            <w:tcW w:type="dxa" w:w="10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URS-MES-050</w:t>
            </w:r>
            <w:r>
              <w:br/>
            </w:r>
            <w:r>
              <w:rPr>
                <w:rFonts w:ascii="Calibri" w:hAnsi="Calibri"/>
                <w:b w:val="0"/>
                <w:color w:val="203040"/>
                <w:sz w:val="13"/>
              </w:rPr>
              <w:t>FS-MES-050</w:t>
            </w:r>
          </w:p>
        </w:tc>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CMP-ENT-IAM-001; CMP-MES-APP-001; procedural training service</w:t>
            </w:r>
            <w:r>
              <w:br/>
            </w:r>
            <w:r>
              <w:rPr>
                <w:rFonts w:ascii="Calibri" w:hAnsi="Calibri"/>
                <w:b w:val="0"/>
                <w:color w:val="203040"/>
                <w:sz w:val="13"/>
              </w:rPr>
              <w:t>DEV / TEST-VAL / PROD</w:t>
            </w:r>
          </w:p>
        </w:tc>
        <w:tc>
          <w:tcPr>
            <w:tcW w:type="dxa" w:w="14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RSK-MES-005, RSK-MES-024 / Working High</w:t>
            </w:r>
          </w:p>
        </w:tc>
      </w:tr>
    </w:tbl>
    <w:p>
      <w:pPr>
        <w:spacing w:after="40" w:before="0"/>
      </w:pPr>
    </w:p>
    <w:p>
      <w:pPr>
        <w:pStyle w:val="Heading1"/>
        <w:keepNext/>
        <w:spacing w:before="160" w:after="80" w:line="252" w:lineRule="auto"/>
      </w:pPr>
      <w:r>
        <w:rPr>
          <w:rFonts w:ascii="Calibri" w:hAnsi="Calibri"/>
          <w:b/>
          <w:color w:val="2E74B5"/>
          <w:sz w:val="32"/>
        </w:rPr>
        <w:t>12 Integration Specification to design allocation</w:t>
      </w:r>
    </w:p>
    <w:p>
      <w:pPr>
        <w:keepNext w:val="0"/>
        <w:spacing w:before="0" w:after="80" w:line="252" w:lineRule="auto"/>
      </w:pPr>
      <w:r>
        <w:rPr>
          <w:rFonts w:ascii="Calibri" w:hAnsi="Calibri"/>
          <w:b w:val="0"/>
          <w:i w:val="0"/>
          <w:color w:val="203040"/>
          <w:sz w:val="18"/>
        </w:rPr>
        <w:t>The following tables allocate every detailed integration requirement from NL-MES-IS-001 to the same-numbered DS records derived from its referenced FS records and to the relevant technical components. The IS wording remains authoritative; this section neither replaces the IS nor creates new interface requirements.</w:t>
      </w:r>
    </w:p>
    <w:p>
      <w:pPr>
        <w:pStyle w:val="Heading2"/>
        <w:keepNext/>
        <w:spacing w:before="100" w:after="80" w:line="252" w:lineRule="auto"/>
      </w:pPr>
      <w:r>
        <w:rPr>
          <w:rFonts w:ascii="Calibri" w:hAnsi="Calibri"/>
          <w:b/>
          <w:color w:val="2E74B5"/>
          <w:sz w:val="26"/>
        </w:rPr>
        <w:t>12.1 ERP integration design allocation (9 requirements)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700"/>
        <w:gridCol w:w="2200"/>
        <w:gridCol w:w="2600"/>
        <w:gridCol w:w="2860"/>
      </w:tblGrid>
      <w:tr>
        <w:trPr>
          <w:trHeight w:hRule="auto"/>
          <w:cantSplit/>
          <w:tblHeader w:val="true"/>
          <w:cantSplit/>
        </w:trPr>
        <w:tc>
          <w:tcPr>
            <w:tcW w:type="dxa" w:w="17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Integration requirement</w:t>
            </w:r>
          </w:p>
        </w:tc>
        <w:tc>
          <w:tcPr>
            <w:tcW w:type="dxa" w:w="22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allocation</w:t>
            </w:r>
          </w:p>
        </w:tc>
        <w:tc>
          <w:tcPr>
            <w:tcW w:type="dxa" w:w="2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component allocation</w:t>
            </w:r>
          </w:p>
        </w:tc>
        <w:tc>
          <w:tcPr>
            <w:tcW w:type="dxa" w:w="28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Controlled state</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INT-MES-ERP-001</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DS-MES-001, DS-MES-028,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INT-MES-ERP-002</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DS-MES-029, DS-MES-036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INT-MES-ERP-003</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DS-MES-024, DS-MES-027, DS-MES-028, DS-MES-029,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INT-MES-ERP-004</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DS-MES-024, DS-MES-027, DS-MES-028, DS-MES-029, DS-MES-036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INT-MES-ERP-005</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DS-MES-012, DS-MES-013, DS-MES-015, DS-MES-028, DS-MES-029,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INT-MES-ERP-006</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DS-MES-028, DS-MES-029, DS-MES-036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INT-MES-ERP-007</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DS-MES-028, DS-MES-029,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INT-MES-ERP-008</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DS-MES-028, DS-MES-029, DS-MES-036, DS-MES-043</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INT-MES-ERP-009</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DS-MES-020, DS-MES-021, DS-MES-027, DS-MES-036, DS-MES-045, DS-MES-047, DS-MES-049</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bl>
    <w:p>
      <w:pPr>
        <w:spacing w:after="40" w:before="0"/>
      </w:pPr>
    </w:p>
    <w:p>
      <w:pPr>
        <w:pStyle w:val="Heading2"/>
        <w:keepNext/>
        <w:spacing w:before="100" w:after="80" w:line="252" w:lineRule="auto"/>
      </w:pPr>
      <w:r>
        <w:rPr>
          <w:rFonts w:ascii="Calibri" w:hAnsi="Calibri"/>
          <w:b/>
          <w:color w:val="2E74B5"/>
          <w:sz w:val="26"/>
        </w:rPr>
        <w:t>12.2 LIMS integration design allocation (9 requirements)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700"/>
        <w:gridCol w:w="2200"/>
        <w:gridCol w:w="2600"/>
        <w:gridCol w:w="2860"/>
      </w:tblGrid>
      <w:tr>
        <w:trPr>
          <w:trHeight w:hRule="auto"/>
          <w:cantSplit/>
          <w:tblHeader w:val="true"/>
          <w:cantSplit/>
        </w:trPr>
        <w:tc>
          <w:tcPr>
            <w:tcW w:type="dxa" w:w="17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Integration requirement</w:t>
            </w:r>
          </w:p>
        </w:tc>
        <w:tc>
          <w:tcPr>
            <w:tcW w:type="dxa" w:w="22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allocation</w:t>
            </w:r>
          </w:p>
        </w:tc>
        <w:tc>
          <w:tcPr>
            <w:tcW w:type="dxa" w:w="2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component allocation</w:t>
            </w:r>
          </w:p>
        </w:tc>
        <w:tc>
          <w:tcPr>
            <w:tcW w:type="dxa" w:w="28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Controlled state</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INT-MES-LIMS-001</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DS-MES-030,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INT-MES-LIMS-002</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DS-MES-030, DS-MES-031, DS-MES-036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INT-MES-LIMS-003</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DS-MES-031,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INT-MES-LIMS-004</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DS-MES-024, DS-MES-027, DS-MES-030, DS-MES-031, DS-MES-036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INT-MES-LIMS-005</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DS-MES-012, DS-MES-013, DS-MES-015, DS-MES-025, DS-MES-030, DS-MES-031,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INT-MES-LIMS-006</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DS-MES-030, DS-MES-031, DS-MES-036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INT-MES-LIMS-007</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DS-MES-030, DS-MES-031,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INT-MES-LIMS-008</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DS-MES-030, DS-MES-031, DS-MES-036, DS-MES-043</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INT-MES-LIMS-009</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DS-MES-020, DS-MES-021, DS-MES-027, DS-MES-036, DS-MES-045, DS-MES-047, DS-MES-049</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bl>
    <w:p>
      <w:pPr>
        <w:spacing w:after="40" w:before="0"/>
      </w:pPr>
    </w:p>
    <w:p>
      <w:pPr>
        <w:pStyle w:val="Heading2"/>
        <w:keepNext/>
        <w:spacing w:before="100" w:after="80" w:line="252" w:lineRule="auto"/>
      </w:pPr>
      <w:r>
        <w:rPr>
          <w:rFonts w:ascii="Calibri" w:hAnsi="Calibri"/>
          <w:b/>
          <w:color w:val="2E74B5"/>
          <w:sz w:val="26"/>
        </w:rPr>
        <w:t>12.3 AUT integration design allocation (10 requirements)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700"/>
        <w:gridCol w:w="2200"/>
        <w:gridCol w:w="2600"/>
        <w:gridCol w:w="2860"/>
      </w:tblGrid>
      <w:tr>
        <w:trPr>
          <w:trHeight w:hRule="auto"/>
          <w:cantSplit/>
          <w:tblHeader w:val="true"/>
          <w:cantSplit/>
        </w:trPr>
        <w:tc>
          <w:tcPr>
            <w:tcW w:type="dxa" w:w="17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Integration requirement</w:t>
            </w:r>
          </w:p>
        </w:tc>
        <w:tc>
          <w:tcPr>
            <w:tcW w:type="dxa" w:w="22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allocation</w:t>
            </w:r>
          </w:p>
        </w:tc>
        <w:tc>
          <w:tcPr>
            <w:tcW w:type="dxa" w:w="2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component allocation</w:t>
            </w:r>
          </w:p>
        </w:tc>
        <w:tc>
          <w:tcPr>
            <w:tcW w:type="dxa" w:w="28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Controlled state</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INT-MES-AUT-001</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DS-MES-004, DS-MES-005, DS-MES-032,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INT-MES-AUT-002</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DS-MES-003, DS-MES-004, DS-MES-033, DS-MES-036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INT-MES-AUT-003</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DS-MES-005, DS-MES-006, DS-MES-033,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INT-MES-AUT-004</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DS-MES-004, DS-MES-005, DS-MES-032, DS-MES-033, DS-MES-036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INT-MES-AUT-005</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DS-MES-003, DS-MES-024, DS-MES-027, DS-MES-032, DS-MES-033,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INT-MES-AUT-006</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DS-MES-012, DS-MES-013, DS-MES-015, DS-MES-032, DS-MES-033, DS-MES-036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INT-MES-AUT-007</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DS-MES-025, DS-MES-032, DS-MES-033,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INT-MES-AUT-008</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DS-MES-005, DS-MES-006, DS-MES-032, DS-MES-036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INT-MES-AUT-009</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DS-MES-006, DS-MES-032, DS-MES-033, DS-MES-036, DS-MES-043</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INT-MES-AUT-010</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DS-MES-020, DS-MES-021, DS-MES-027, DS-MES-036, DS-MES-039, DS-MES-045, DS-MES-047, DS-MES-049</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CMP-MES-APP-001;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bl>
    <w:p>
      <w:pPr>
        <w:spacing w:after="40" w:before="0"/>
      </w:pPr>
    </w:p>
    <w:p>
      <w:pPr>
        <w:pStyle w:val="Heading2"/>
        <w:keepNext/>
        <w:spacing w:before="100" w:after="80" w:line="252" w:lineRule="auto"/>
      </w:pPr>
      <w:r>
        <w:rPr>
          <w:rFonts w:ascii="Calibri" w:hAnsi="Calibri"/>
          <w:b/>
          <w:color w:val="2E74B5"/>
          <w:sz w:val="26"/>
        </w:rPr>
        <w:t>12.4 HIS integration design allocation (8 requirements)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700"/>
        <w:gridCol w:w="2200"/>
        <w:gridCol w:w="2600"/>
        <w:gridCol w:w="2860"/>
      </w:tblGrid>
      <w:tr>
        <w:trPr>
          <w:trHeight w:hRule="auto"/>
          <w:cantSplit/>
          <w:tblHeader w:val="true"/>
          <w:cantSplit/>
        </w:trPr>
        <w:tc>
          <w:tcPr>
            <w:tcW w:type="dxa" w:w="17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Integration requirement</w:t>
            </w:r>
          </w:p>
        </w:tc>
        <w:tc>
          <w:tcPr>
            <w:tcW w:type="dxa" w:w="22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allocation</w:t>
            </w:r>
          </w:p>
        </w:tc>
        <w:tc>
          <w:tcPr>
            <w:tcW w:type="dxa" w:w="2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component allocation</w:t>
            </w:r>
          </w:p>
        </w:tc>
        <w:tc>
          <w:tcPr>
            <w:tcW w:type="dxa" w:w="28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Controlled state</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INT-MES-HIS-001</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DS-MES-034, DS-MES-036, DS-MES-041, DS-MES-042</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CMP-MES-REP-001;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INT-MES-HIS-002</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DS-MES-024, DS-MES-025, DS-MES-034, DS-MES-036, DS-MES-044</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CMP-MES-REP-001;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INT-MES-HIS-003</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DS-MES-024, DS-MES-025, DS-MES-027, DS-MES-034, DS-MES-036, DS-MES-044</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CMP-MES-REP-001;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INT-MES-HIS-004</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DS-MES-013, DS-MES-015, DS-MES-026, DS-MES-034, DS-MES-036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CMP-MES-REP-001;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INT-MES-HIS-005</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DS-MES-027, DS-MES-034, DS-MES-036, DS-MES-047</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CMP-MES-REP-001;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INT-MES-HIS-006</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DS-MES-034, DS-MES-036, DS-MES-043</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CMP-MES-REP-001;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INT-MES-HIS-007</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DS-MES-034, DS-MES-036, DS-MES-043, DS-MES-045</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CMP-MES-REP-001; CMP-MES-DB-001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INT-MES-HIS-008</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DS-MES-010, DS-MES-011, DS-MES-027, DS-MES-034, DS-MES-044, DS-MES-047, DS-MES-049</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CMP-MES-REP-001; CMP-MES-DB-001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bl>
    <w:p>
      <w:pPr>
        <w:spacing w:after="40" w:before="0"/>
      </w:pPr>
    </w:p>
    <w:p>
      <w:pPr>
        <w:pStyle w:val="Heading2"/>
        <w:keepNext/>
        <w:spacing w:before="100" w:after="80" w:line="252" w:lineRule="auto"/>
      </w:pPr>
      <w:r>
        <w:rPr>
          <w:rFonts w:ascii="Calibri" w:hAnsi="Calibri"/>
          <w:b/>
          <w:color w:val="2E74B5"/>
          <w:sz w:val="26"/>
        </w:rPr>
        <w:t>12.5 IAM integration design allocation (8 requirements)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700"/>
        <w:gridCol w:w="2200"/>
        <w:gridCol w:w="2600"/>
        <w:gridCol w:w="2860"/>
      </w:tblGrid>
      <w:tr>
        <w:trPr>
          <w:trHeight w:hRule="auto"/>
          <w:cantSplit/>
          <w:tblHeader w:val="true"/>
          <w:cantSplit/>
        </w:trPr>
        <w:tc>
          <w:tcPr>
            <w:tcW w:type="dxa" w:w="17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Integration requirement</w:t>
            </w:r>
          </w:p>
        </w:tc>
        <w:tc>
          <w:tcPr>
            <w:tcW w:type="dxa" w:w="22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allocation</w:t>
            </w:r>
          </w:p>
        </w:tc>
        <w:tc>
          <w:tcPr>
            <w:tcW w:type="dxa" w:w="2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component allocation</w:t>
            </w:r>
          </w:p>
        </w:tc>
        <w:tc>
          <w:tcPr>
            <w:tcW w:type="dxa" w:w="28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Controlled state</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INT-MES-IAM-001</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DS-MES-012, DS-MES-035,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CMP-ENT-IAM-001; CMP-MES-APP-001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INT-MES-IAM-002</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DS-MES-012, DS-MES-014, DS-MES-015, DS-MES-024, DS-MES-035, DS-MES-036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CMP-ENT-IAM-001; CMP-MES-APP-001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INT-MES-IAM-003</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DS-MES-013, DS-MES-014, DS-MES-016, DS-MES-035,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CMP-ENT-IAM-001; CMP-MES-APP-001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INT-MES-IAM-004</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DS-MES-012, DS-MES-017, DS-MES-018, DS-MES-035, DS-MES-036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CMP-ENT-IAM-001; CMP-MES-APP-001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INT-MES-IAM-005</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DS-MES-012, DS-MES-013, DS-MES-015, DS-MES-025, DS-MES-035,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CMP-ENT-IAM-001; CMP-MES-APP-001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INT-MES-IAM-006</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DS-MES-012, DS-MES-013, DS-MES-035, DS-MES-036, DS-MES-045</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CMP-ENT-IAM-001; CMP-MES-APP-001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INT-MES-IAM-007</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DS-MES-014, DS-MES-015, DS-MES-016, DS-MES-020, DS-MES-021, DS-MES-035, DS-MES-036, DS-MES-045, DS-MES-047, DS-MES-049</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CMP-ENT-IAM-001; CMP-MES-APP-001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INT-MES-IAM-008</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DS-MES-015, DS-MES-035, DS-MES-036, DS-MES-038, DS-MES-039, DS-MES-040</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CMP-ENT-IAM-001; CMP-MES-APP-001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bl>
    <w:p>
      <w:pPr>
        <w:spacing w:after="40" w:before="0"/>
      </w:pPr>
    </w:p>
    <w:p>
      <w:pPr>
        <w:pStyle w:val="Heading2"/>
        <w:keepNext/>
        <w:spacing w:before="100" w:after="80" w:line="252" w:lineRule="auto"/>
      </w:pPr>
      <w:r>
        <w:rPr>
          <w:rFonts w:ascii="Calibri" w:hAnsi="Calibri"/>
          <w:b/>
          <w:color w:val="2E74B5"/>
          <w:sz w:val="26"/>
        </w:rPr>
        <w:t>12.6 TIM integration design allocation (6 requirements)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700"/>
        <w:gridCol w:w="2200"/>
        <w:gridCol w:w="2600"/>
        <w:gridCol w:w="2860"/>
      </w:tblGrid>
      <w:tr>
        <w:trPr>
          <w:trHeight w:hRule="auto"/>
          <w:cantSplit/>
          <w:tblHeader w:val="true"/>
          <w:cantSplit/>
        </w:trPr>
        <w:tc>
          <w:tcPr>
            <w:tcW w:type="dxa" w:w="17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Integration requirement</w:t>
            </w:r>
          </w:p>
        </w:tc>
        <w:tc>
          <w:tcPr>
            <w:tcW w:type="dxa" w:w="22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allocation</w:t>
            </w:r>
          </w:p>
        </w:tc>
        <w:tc>
          <w:tcPr>
            <w:tcW w:type="dxa" w:w="2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component allocation</w:t>
            </w:r>
          </w:p>
        </w:tc>
        <w:tc>
          <w:tcPr>
            <w:tcW w:type="dxa" w:w="28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Controlled state</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INT-MES-TIM-001</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DS-MES-018, DS-MES-020, DS-MES-021, DS-MES-025, DS-MES-036, DS-MES-044</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CMP-ENT-TIME-001; all timestamping components</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INT-MES-TIM-002</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DS-MES-021, DS-MES-025, DS-MES-036, DS-MES-044</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CMP-ENT-TIME-001; all timestamping components</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INT-MES-TIM-003</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DS-MES-021, DS-MES-025, DS-MES-036, DS-MES-040, DS-MES-045</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CMP-ENT-TIME-001; all timestamping components</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INT-MES-TIM-004</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DS-MES-020, DS-MES-021, DS-MES-024, DS-MES-025, DS-MES-027, DS-MES-036, DS-MES-044</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CMP-ENT-TIME-001; all timestamping components</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INT-MES-TIM-005</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DS-MES-013, DS-MES-015, DS-MES-020, DS-MES-025, DS-MES-036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CMP-ENT-TIME-001; all timestamping components</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INT-MES-TIM-006</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DS-MES-021, DS-MES-025, DS-MES-036, DS-MES-039, DS-MES-040, DS-MES-045, DS-MES-047, DS-MES-049</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CMP-ENT-TIME-001; all timestamping components</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bl>
    <w:p>
      <w:pPr>
        <w:spacing w:after="40" w:before="0"/>
      </w:pPr>
    </w:p>
    <w:p>
      <w:pPr>
        <w:pStyle w:val="Heading2"/>
        <w:keepNext/>
        <w:spacing w:before="100" w:after="80" w:line="252" w:lineRule="auto"/>
      </w:pPr>
      <w:r>
        <w:rPr>
          <w:rFonts w:ascii="Calibri" w:hAnsi="Calibri"/>
          <w:b/>
          <w:color w:val="2E74B5"/>
          <w:sz w:val="26"/>
        </w:rPr>
        <w:t>12.7 OPS integration design allocation (10 requirements)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700"/>
        <w:gridCol w:w="2200"/>
        <w:gridCol w:w="2600"/>
        <w:gridCol w:w="2860"/>
      </w:tblGrid>
      <w:tr>
        <w:trPr>
          <w:trHeight w:hRule="auto"/>
          <w:cantSplit/>
          <w:tblHeader w:val="true"/>
          <w:cantSplit/>
        </w:trPr>
        <w:tc>
          <w:tcPr>
            <w:tcW w:type="dxa" w:w="17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Integration requirement</w:t>
            </w:r>
          </w:p>
        </w:tc>
        <w:tc>
          <w:tcPr>
            <w:tcW w:type="dxa" w:w="22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DS allocation</w:t>
            </w:r>
          </w:p>
        </w:tc>
        <w:tc>
          <w:tcPr>
            <w:tcW w:type="dxa" w:w="2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Technical component allocation</w:t>
            </w:r>
          </w:p>
        </w:tc>
        <w:tc>
          <w:tcPr>
            <w:tcW w:type="dxa" w:w="28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4"/>
              </w:rPr>
              <w:t>Controlled state</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INT-MES-OPS-001</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DS-MES-036, DS-MES-045</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CMP-ENT-MON-001; CMP-ENT-BCK-001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INT-MES-OPS-002</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DS-MES-043, DS-MES-045, DS-MES-046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CMP-ENT-MON-001; CMP-ENT-BCK-001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INT-MES-OPS-003</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DS-MES-036, DS-MES-037, DS-MES-040, DS-MES-043, DS-MES-045</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CMP-ENT-MON-001; CMP-ENT-BCK-001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INT-MES-OPS-004</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DS-MES-037, DS-MES-040, DS-MES-045</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CMP-ENT-MON-001; CMP-ENT-BCK-001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INT-MES-OPS-005</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DS-MES-038, DS-MES-039, DS-MES-040</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CMP-ENT-MON-001; CMP-ENT-BCK-001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INT-MES-OPS-006</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DS-MES-043, DS-MES-045, DS-MES-046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CMP-ENT-MON-001; CMP-ENT-BCK-001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INT-MES-OPS-007</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DS-MES-013, DS-MES-015, DS-MES-021, DS-MES-037, DS-MES-038, DS-MES-045</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CMP-ENT-MON-001; CMP-ENT-BCK-001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INT-MES-OPS-008</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DS-MES-020, DS-MES-021, DS-MES-025, DS-MES-040, DS-MES-044, DS-MES-045, DS-MES-046</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CMP-ENT-MON-001; CMP-ENT-BCK-001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INT-MES-OPS-009</w:t>
            </w:r>
          </w:p>
        </w:tc>
        <w:tc>
          <w:tcPr>
            <w:tcW w:type="dxa" w:w="22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DS-MES-040, DS-MES-043, DS-MES-045, DS-MES-046</w:t>
            </w:r>
          </w:p>
        </w:tc>
        <w:tc>
          <w:tcPr>
            <w:tcW w:type="dxa" w:w="26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CMP-ENT-MON-001; CMP-ENT-BCK-001</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r>
        <w:trPr>
          <w:cantSplit/>
          <w:trHeight w:hRule="auto"/>
          <w:cantSplit/>
        </w:trPr>
        <w:tc>
          <w:tcPr>
            <w:tcW w:type="dxa" w:w="17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INT-MES-OPS-010</w:t>
            </w:r>
          </w:p>
        </w:tc>
        <w:tc>
          <w:tcPr>
            <w:tcW w:type="dxa" w:w="22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DS-MES-027, DS-MES-037, DS-MES-038, DS-MES-039, DS-MES-040, DS-MES-045, DS-MES-047, DS-MES-048, DS-MES-049</w:t>
            </w:r>
          </w:p>
        </w:tc>
        <w:tc>
          <w:tcPr>
            <w:tcW w:type="dxa" w:w="26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CMP-MES-INT-001; CMP-ENT-MON-001; CMP-ENT-BCK-001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Allocated to DS; IS remains contract authority. Protocol / endpoint / port / firewall / trust values Verify; implementation and test evidence open.</w:t>
            </w:r>
          </w:p>
        </w:tc>
      </w:tr>
    </w:tbl>
    <w:p>
      <w:pPr>
        <w:spacing w:after="40" w:before="0"/>
      </w:pPr>
    </w:p>
    <w:p>
      <w:pPr>
        <w:pStyle w:val="Heading1"/>
        <w:keepNext/>
        <w:spacing w:before="160" w:after="80" w:line="252" w:lineRule="auto"/>
      </w:pPr>
      <w:r>
        <w:rPr>
          <w:rFonts w:ascii="Calibri" w:hAnsi="Calibri"/>
          <w:b/>
          <w:color w:val="2E74B5"/>
          <w:sz w:val="32"/>
        </w:rPr>
        <w:t>13 Risk-control design realization</w:t>
      </w:r>
    </w:p>
    <w:p>
      <w:pPr>
        <w:pStyle w:val="Heading2"/>
        <w:keepNext/>
        <w:spacing w:before="100" w:after="80" w:line="252" w:lineRule="auto"/>
      </w:pPr>
      <w:r>
        <w:rPr>
          <w:rFonts w:ascii="Calibri" w:hAnsi="Calibri"/>
          <w:b/>
          <w:color w:val="2E74B5"/>
          <w:sz w:val="26"/>
        </w:rPr>
        <w:t>13.1 Shared risk register realization</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900"/>
        <w:gridCol w:w="2100"/>
        <w:gridCol w:w="1250"/>
        <w:gridCol w:w="3250"/>
        <w:gridCol w:w="1860"/>
      </w:tblGrid>
      <w:tr>
        <w:trPr>
          <w:trHeight w:hRule="auto"/>
          <w:cantSplit/>
          <w:tblHeader w:val="true"/>
          <w:cantSplit/>
        </w:trPr>
        <w:tc>
          <w:tcPr>
            <w:tcW w:type="dxa" w:w="9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3"/>
              </w:rPr>
              <w:t>Risk ID</w:t>
            </w:r>
          </w:p>
        </w:tc>
        <w:tc>
          <w:tcPr>
            <w:tcW w:type="dxa" w:w="21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3"/>
              </w:rPr>
              <w:t>Domain / scenario</w:t>
            </w:r>
          </w:p>
        </w:tc>
        <w:tc>
          <w:tcPr>
            <w:tcW w:type="dxa" w:w="12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3"/>
              </w:rPr>
              <w:t>Working level / rigor</w:t>
            </w:r>
          </w:p>
        </w:tc>
        <w:tc>
          <w:tcPr>
            <w:tcW w:type="dxa" w:w="32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3"/>
              </w:rPr>
              <w:t>Design realization</w:t>
            </w:r>
          </w:p>
        </w:tc>
        <w:tc>
          <w:tcPr>
            <w:tcW w:type="dxa" w:w="18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3"/>
              </w:rPr>
              <w:t>State after DS</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RSK-MES-001</w:t>
            </w:r>
          </w:p>
        </w:tc>
        <w:tc>
          <w:tcPr>
            <w:tcW w:type="dxa" w:w="2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Manufacturing / product</w:t>
            </w:r>
            <w:r>
              <w:br/>
            </w:r>
            <w:r>
              <w:rPr>
                <w:rFonts w:ascii="Calibri" w:hAnsi="Calibri"/>
                <w:b w:val="0"/>
                <w:color w:val="203040"/>
                <w:sz w:val="12"/>
              </w:rPr>
              <w:t>Unapproved order, recipe, or execution state</w:t>
            </w:r>
          </w:p>
        </w:tc>
        <w:tc>
          <w:tcPr>
            <w:tcW w:type="dxa" w:w="12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Release gates, explicit state machines, prerequisite checks and controlled promotion prevent unapproved execution states.</w:t>
            </w:r>
            <w:r>
              <w:br/>
            </w:r>
            <w:r>
              <w:rPr>
                <w:rFonts w:ascii="Calibri" w:hAnsi="Calibri"/>
                <w:b w:val="0"/>
                <w:color w:val="203040"/>
                <w:sz w:val="12"/>
              </w:rPr>
              <w:t>Allocated DS: DS-MES-001, DS-MES-002, DS-MES-004, DS-MES-005, DS-MES-047</w:t>
            </w:r>
          </w:p>
        </w:tc>
        <w:tc>
          <w:tcPr>
            <w:tcW w:type="dxa" w:w="1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RSK-MES-002</w:t>
            </w:r>
          </w:p>
        </w:tc>
        <w:tc>
          <w:tcPr>
            <w:tcW w:type="dxa" w:w="2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Manufacturing / data</w:t>
            </w:r>
            <w:r>
              <w:br/>
            </w:r>
            <w:r>
              <w:rPr>
                <w:rFonts w:ascii="Calibri" w:hAnsi="Calibri"/>
                <w:b w:val="0"/>
                <w:color w:val="203040"/>
                <w:sz w:val="12"/>
              </w:rPr>
              <w:t>Incorrect or incomplete execution data and calculations</w:t>
            </w:r>
          </w:p>
        </w:tc>
        <w:tc>
          <w:tcPr>
            <w:tcW w:type="dxa" w:w="12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Typed data capture, calculation versioning, validation, atomic persistence and source-to-record reconciliation protect execution data.</w:t>
            </w:r>
            <w:r>
              <w:br/>
            </w:r>
            <w:r>
              <w:rPr>
                <w:rFonts w:ascii="Calibri" w:hAnsi="Calibri"/>
                <w:b w:val="0"/>
                <w:color w:val="203040"/>
                <w:sz w:val="12"/>
              </w:rPr>
              <w:t>Allocated DS: DS-MES-003, DS-MES-007, DS-MES-024</w:t>
            </w:r>
          </w:p>
        </w:tc>
        <w:tc>
          <w:tcPr>
            <w:tcW w:type="dxa" w:w="1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RSK-MES-003</w:t>
            </w:r>
          </w:p>
        </w:tc>
        <w:tc>
          <w:tcPr>
            <w:tcW w:type="dxa" w:w="2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Manufacturing / quality</w:t>
            </w:r>
            <w:r>
              <w:br/>
            </w:r>
            <w:r>
              <w:rPr>
                <w:rFonts w:ascii="Calibri" w:hAnsi="Calibri"/>
                <w:b w:val="0"/>
                <w:color w:val="203040"/>
                <w:sz w:val="12"/>
              </w:rPr>
              <w:t>Incomplete batch completion, exception disposition, or review</w:t>
            </w:r>
          </w:p>
        </w:tc>
        <w:tc>
          <w:tcPr>
            <w:tcW w:type="dxa" w:w="12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Completion rules, exception objects, review workspace and governed reporting make incomplete review or disposition visible and blocking.</w:t>
            </w:r>
            <w:r>
              <w:br/>
            </w:r>
            <w:r>
              <w:rPr>
                <w:rFonts w:ascii="Calibri" w:hAnsi="Calibri"/>
                <w:b w:val="0"/>
                <w:color w:val="203040"/>
                <w:sz w:val="12"/>
              </w:rPr>
              <w:t>Allocated DS: DS-MES-006, DS-MES-007, DS-MES-008, DS-MES-009, DS-MES-041, DS-MES-042</w:t>
            </w:r>
          </w:p>
        </w:tc>
        <w:tc>
          <w:tcPr>
            <w:tcW w:type="dxa" w:w="1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RSK-MES-004</w:t>
            </w:r>
          </w:p>
        </w:tc>
        <w:tc>
          <w:tcPr>
            <w:tcW w:type="dxa" w:w="2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Records / retention</w:t>
            </w:r>
            <w:r>
              <w:br/>
            </w:r>
            <w:r>
              <w:rPr>
                <w:rFonts w:ascii="Calibri" w:hAnsi="Calibri"/>
                <w:b w:val="0"/>
                <w:color w:val="203040"/>
                <w:sz w:val="12"/>
              </w:rPr>
              <w:t>Loss, unreadability, or incomplete copy of regulated records</w:t>
            </w:r>
          </w:p>
        </w:tc>
        <w:tc>
          <w:tcPr>
            <w:tcW w:type="dxa" w:w="12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Retention-aware record storage, integrity-checked retrieval and controlled-copy provenance protect regulated record readability and completeness.</w:t>
            </w:r>
            <w:r>
              <w:br/>
            </w:r>
            <w:r>
              <w:rPr>
                <w:rFonts w:ascii="Calibri" w:hAnsi="Calibri"/>
                <w:b w:val="0"/>
                <w:color w:val="203040"/>
                <w:sz w:val="12"/>
              </w:rPr>
              <w:t>Allocated DS: DS-MES-010, DS-MES-011, DS-MES-027, DS-MES-044</w:t>
            </w:r>
          </w:p>
        </w:tc>
        <w:tc>
          <w:tcPr>
            <w:tcW w:type="dxa" w:w="1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RSK-MES-005</w:t>
            </w:r>
          </w:p>
        </w:tc>
        <w:tc>
          <w:tcPr>
            <w:tcW w:type="dxa" w:w="2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Security / access</w:t>
            </w:r>
            <w:r>
              <w:br/>
            </w:r>
            <w:r>
              <w:rPr>
                <w:rFonts w:ascii="Calibri" w:hAnsi="Calibri"/>
                <w:b w:val="0"/>
                <w:color w:val="203040"/>
                <w:sz w:val="12"/>
              </w:rPr>
              <w:t>Unauthorised or excessive access</w:t>
            </w:r>
          </w:p>
        </w:tc>
        <w:tc>
          <w:tcPr>
            <w:tcW w:type="dxa" w:w="12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Enterprise identity mapping, deny-by-default RBAC, lifecycle provisioning and segregation checks limit unauthorised or excessive access.</w:t>
            </w:r>
            <w:r>
              <w:br/>
            </w:r>
            <w:r>
              <w:rPr>
                <w:rFonts w:ascii="Calibri" w:hAnsi="Calibri"/>
                <w:b w:val="0"/>
                <w:color w:val="203040"/>
                <w:sz w:val="12"/>
              </w:rPr>
              <w:t>Allocated DS: DS-MES-012, DS-MES-013, DS-MES-014, DS-MES-015, DS-MES-016, DS-MES-035, DS-MES-050</w:t>
            </w:r>
          </w:p>
        </w:tc>
        <w:tc>
          <w:tcPr>
            <w:tcW w:type="dxa" w:w="1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RSK-MES-006</w:t>
            </w:r>
          </w:p>
        </w:tc>
        <w:tc>
          <w:tcPr>
            <w:tcW w:type="dxa" w:w="2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Security / identity</w:t>
            </w:r>
            <w:r>
              <w:br/>
            </w:r>
            <w:r>
              <w:rPr>
                <w:rFonts w:ascii="Calibri" w:hAnsi="Calibri"/>
                <w:b w:val="0"/>
                <w:color w:val="203040"/>
                <w:sz w:val="12"/>
              </w:rPr>
              <w:t>Credential, session, or service-account compromise</w:t>
            </w:r>
          </w:p>
        </w:tc>
        <w:tc>
          <w:tcPr>
            <w:tcW w:type="dxa" w:w="12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Session controls, dedicated service identities, least privilege, trust lifecycle and security monitoring address credential and service-account compromise.</w:t>
            </w:r>
            <w:r>
              <w:br/>
            </w:r>
            <w:r>
              <w:rPr>
                <w:rFonts w:ascii="Calibri" w:hAnsi="Calibri"/>
                <w:b w:val="0"/>
                <w:color w:val="203040"/>
                <w:sz w:val="12"/>
              </w:rPr>
              <w:t>Allocated DS: DS-MES-012, DS-MES-015, DS-MES-035, DS-MES-045</w:t>
            </w:r>
          </w:p>
        </w:tc>
        <w:tc>
          <w:tcPr>
            <w:tcW w:type="dxa" w:w="1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RSK-MES-007</w:t>
            </w:r>
          </w:p>
        </w:tc>
        <w:tc>
          <w:tcPr>
            <w:tcW w:type="dxa" w:w="2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GxP evidence / signature</w:t>
            </w:r>
            <w:r>
              <w:br/>
            </w:r>
            <w:r>
              <w:rPr>
                <w:rFonts w:ascii="Calibri" w:hAnsi="Calibri"/>
                <w:b w:val="0"/>
                <w:color w:val="203040"/>
                <w:sz w:val="12"/>
              </w:rPr>
              <w:t>Invalid or non-attributable electronic signature</w:t>
            </w:r>
          </w:p>
        </w:tc>
        <w:tc>
          <w:tcPr>
            <w:tcW w:type="dxa" w:w="12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Event-specific re-authentication, signer/state revalidation, controlled meanings and immutable signature-to-record linkage protect attribution.</w:t>
            </w:r>
            <w:r>
              <w:br/>
            </w:r>
            <w:r>
              <w:rPr>
                <w:rFonts w:ascii="Calibri" w:hAnsi="Calibri"/>
                <w:b w:val="0"/>
                <w:color w:val="203040"/>
                <w:sz w:val="12"/>
              </w:rPr>
              <w:t>Allocated DS: DS-MES-007, DS-MES-008, DS-MES-009, DS-MES-017, DS-MES-018, DS-MES-019</w:t>
            </w:r>
          </w:p>
        </w:tc>
        <w:tc>
          <w:tcPr>
            <w:tcW w:type="dxa" w:w="1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RSK-MES-008</w:t>
            </w:r>
          </w:p>
        </w:tc>
        <w:tc>
          <w:tcPr>
            <w:tcW w:type="dxa" w:w="2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GxP evidence / audit trail</w:t>
            </w:r>
            <w:r>
              <w:br/>
            </w:r>
            <w:r>
              <w:rPr>
                <w:rFonts w:ascii="Calibri" w:hAnsi="Calibri"/>
                <w:b w:val="0"/>
                <w:color w:val="203040"/>
                <w:sz w:val="12"/>
              </w:rPr>
              <w:t>Incomplete, alterable, or ineffective audit trail</w:t>
            </w:r>
          </w:p>
        </w:tc>
        <w:tc>
          <w:tcPr>
            <w:tcW w:type="dxa" w:w="12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Transaction-coupled event capture, append-only audit interfaces, protected retention, searchable presentation and review population controls protect audit evidence.</w:t>
            </w:r>
            <w:r>
              <w:br/>
            </w:r>
            <w:r>
              <w:rPr>
                <w:rFonts w:ascii="Calibri" w:hAnsi="Calibri"/>
                <w:b w:val="0"/>
                <w:color w:val="203040"/>
                <w:sz w:val="12"/>
              </w:rPr>
              <w:t>Allocated DS: DS-MES-007, DS-MES-009, DS-MES-020, DS-MES-021, DS-MES-022, DS-MES-023, DS-MES-042</w:t>
            </w:r>
          </w:p>
        </w:tc>
        <w:tc>
          <w:tcPr>
            <w:tcW w:type="dxa" w:w="1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RSK-MES-009</w:t>
            </w:r>
          </w:p>
        </w:tc>
        <w:tc>
          <w:tcPr>
            <w:tcW w:type="dxa" w:w="2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Data integrity / time</w:t>
            </w:r>
            <w:r>
              <w:br/>
            </w:r>
            <w:r>
              <w:rPr>
                <w:rFonts w:ascii="Calibri" w:hAnsi="Calibri"/>
                <w:b w:val="0"/>
                <w:color w:val="203040"/>
                <w:sz w:val="12"/>
              </w:rPr>
              <w:t>Inconsistent time and chronology</w:t>
            </w:r>
          </w:p>
        </w:tc>
        <w:tc>
          <w:tcPr>
            <w:tcW w:type="dxa" w:w="12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Medium</w:t>
            </w:r>
            <w:r>
              <w:br/>
            </w:r>
            <w:r>
              <w:rPr>
                <w:rFonts w:ascii="Calibri" w:hAnsi="Calibri"/>
                <w:b w:val="0"/>
                <w:color w:val="203040"/>
                <w:sz w:val="12"/>
              </w:rPr>
              <w:t>Medium rigor</w:t>
            </w:r>
          </w:p>
        </w:tc>
        <w:tc>
          <w:tcPr>
            <w:tcW w:type="dxa" w:w="3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Approved time abstraction, canonical timestamp storage, timezone context and drift monitoring preserve chronology.</w:t>
            </w:r>
            <w:r>
              <w:br/>
            </w:r>
            <w:r>
              <w:rPr>
                <w:rFonts w:ascii="Calibri" w:hAnsi="Calibri"/>
                <w:b w:val="0"/>
                <w:color w:val="203040"/>
                <w:sz w:val="12"/>
              </w:rPr>
              <w:t>Allocated DS: DS-MES-025</w:t>
            </w:r>
          </w:p>
        </w:tc>
        <w:tc>
          <w:tcPr>
            <w:tcW w:type="dxa" w:w="1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RSK-MES-010</w:t>
            </w:r>
          </w:p>
        </w:tc>
        <w:tc>
          <w:tcPr>
            <w:tcW w:type="dxa" w:w="2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Data integrity</w:t>
            </w:r>
            <w:r>
              <w:br/>
            </w:r>
            <w:r>
              <w:rPr>
                <w:rFonts w:ascii="Calibri" w:hAnsi="Calibri"/>
                <w:b w:val="0"/>
                <w:color w:val="203040"/>
                <w:sz w:val="12"/>
              </w:rPr>
              <w:t>Uncontrolled correction, deletion, or record lifecycle</w:t>
            </w:r>
          </w:p>
        </w:tc>
        <w:tc>
          <w:tcPr>
            <w:tcW w:type="dxa" w:w="12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Append-only correction history, lifecycle constraints, retention and preserved linkage through export/archive/restore prevent uncontrolled record change.</w:t>
            </w:r>
            <w:r>
              <w:br/>
            </w:r>
            <w:r>
              <w:rPr>
                <w:rFonts w:ascii="Calibri" w:hAnsi="Calibri"/>
                <w:b w:val="0"/>
                <w:color w:val="203040"/>
                <w:sz w:val="12"/>
              </w:rPr>
              <w:t>Allocated DS: DS-MES-010, DS-MES-019, DS-MES-021, DS-MES-024, DS-MES-026, DS-MES-027, DS-MES-044, DS-MES-047</w:t>
            </w:r>
          </w:p>
        </w:tc>
        <w:tc>
          <w:tcPr>
            <w:tcW w:type="dxa" w:w="1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RSK-MES-011</w:t>
            </w:r>
          </w:p>
        </w:tc>
        <w:tc>
          <w:tcPr>
            <w:tcW w:type="dxa" w:w="2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Integration / ERP</w:t>
            </w:r>
            <w:r>
              <w:br/>
            </w:r>
            <w:r>
              <w:rPr>
                <w:rFonts w:ascii="Calibri" w:hAnsi="Calibri"/>
                <w:b w:val="0"/>
                <w:color w:val="203040"/>
                <w:sz w:val="12"/>
              </w:rPr>
              <w:t>ERP order/master-data or confirmation interface failure</w:t>
            </w:r>
          </w:p>
        </w:tc>
        <w:tc>
          <w:tcPr>
            <w:tcW w:type="dxa" w:w="12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ERP staging, versioned mapping, idempotency, acknowledgement, quarantine and reconciliation protect order and confirmation exchanges.</w:t>
            </w:r>
            <w:r>
              <w:br/>
            </w:r>
            <w:r>
              <w:rPr>
                <w:rFonts w:ascii="Calibri" w:hAnsi="Calibri"/>
                <w:b w:val="0"/>
                <w:color w:val="203040"/>
                <w:sz w:val="12"/>
              </w:rPr>
              <w:t>Allocated DS: DS-MES-028, DS-MES-029, DS-MES-036</w:t>
            </w:r>
          </w:p>
        </w:tc>
        <w:tc>
          <w:tcPr>
            <w:tcW w:type="dxa" w:w="1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RSK-MES-012</w:t>
            </w:r>
          </w:p>
        </w:tc>
        <w:tc>
          <w:tcPr>
            <w:tcW w:type="dxa" w:w="2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Integration / LIMS</w:t>
            </w:r>
            <w:r>
              <w:br/>
            </w:r>
            <w:r>
              <w:rPr>
                <w:rFonts w:ascii="Calibri" w:hAnsi="Calibri"/>
                <w:b w:val="0"/>
                <w:color w:val="203040"/>
                <w:sz w:val="12"/>
              </w:rPr>
              <w:t>LIMS sample, result, or disposition interface failure</w:t>
            </w:r>
          </w:p>
        </w:tc>
        <w:tc>
          <w:tcPr>
            <w:tcW w:type="dxa" w:w="12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LIMS request/result correlation, authorised version selection, sequence control, quarantine and reconciliation protect sample and disposition flow.</w:t>
            </w:r>
            <w:r>
              <w:br/>
            </w:r>
            <w:r>
              <w:rPr>
                <w:rFonts w:ascii="Calibri" w:hAnsi="Calibri"/>
                <w:b w:val="0"/>
                <w:color w:val="203040"/>
                <w:sz w:val="12"/>
              </w:rPr>
              <w:t>Allocated DS: DS-MES-030, DS-MES-031, DS-MES-036</w:t>
            </w:r>
          </w:p>
        </w:tc>
        <w:tc>
          <w:tcPr>
            <w:tcW w:type="dxa" w:w="1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RSK-MES-013</w:t>
            </w:r>
          </w:p>
        </w:tc>
        <w:tc>
          <w:tcPr>
            <w:tcW w:type="dxa" w:w="2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Integration / automation</w:t>
            </w:r>
            <w:r>
              <w:br/>
            </w:r>
            <w:r>
              <w:rPr>
                <w:rFonts w:ascii="Calibri" w:hAnsi="Calibri"/>
                <w:b w:val="0"/>
                <w:color w:val="203040"/>
                <w:sz w:val="12"/>
              </w:rPr>
              <w:t>Automation command, state, or measurement mismatch</w:t>
            </w:r>
          </w:p>
        </w:tc>
        <w:tc>
          <w:tcPr>
            <w:tcW w:type="dxa" w:w="12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Automation context binding, value/quality validation, sequence control, acknowledgement and safe-failure design protect commands and measurements.</w:t>
            </w:r>
            <w:r>
              <w:br/>
            </w:r>
            <w:r>
              <w:rPr>
                <w:rFonts w:ascii="Calibri" w:hAnsi="Calibri"/>
                <w:b w:val="0"/>
                <w:color w:val="203040"/>
                <w:sz w:val="12"/>
              </w:rPr>
              <w:t>Allocated DS: DS-MES-003, DS-MES-004, DS-MES-005, DS-MES-032, DS-MES-033, DS-MES-036</w:t>
            </w:r>
          </w:p>
        </w:tc>
        <w:tc>
          <w:tcPr>
            <w:tcW w:type="dxa" w:w="1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RSK-MES-014</w:t>
            </w:r>
          </w:p>
        </w:tc>
        <w:tc>
          <w:tcPr>
            <w:tcW w:type="dxa" w:w="2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Integration / reporting</w:t>
            </w:r>
            <w:r>
              <w:br/>
            </w:r>
            <w:r>
              <w:rPr>
                <w:rFonts w:ascii="Calibri" w:hAnsi="Calibri"/>
                <w:b w:val="0"/>
                <w:color w:val="203040"/>
                <w:sz w:val="12"/>
              </w:rPr>
              <w:t>Historian/reporting publication is incomplete or misleading</w:t>
            </w:r>
          </w:p>
        </w:tc>
        <w:tc>
          <w:tcPr>
            <w:tcW w:type="dxa" w:w="12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Versioned governed publication, provenance, correction handling and source-to-target reconciliation protect historian/reporting outputs.</w:t>
            </w:r>
            <w:r>
              <w:br/>
            </w:r>
            <w:r>
              <w:rPr>
                <w:rFonts w:ascii="Calibri" w:hAnsi="Calibri"/>
                <w:b w:val="0"/>
                <w:color w:val="203040"/>
                <w:sz w:val="12"/>
              </w:rPr>
              <w:t>Allocated DS: DS-MES-034, DS-MES-036, DS-MES-041, DS-MES-044</w:t>
            </w:r>
          </w:p>
        </w:tc>
        <w:tc>
          <w:tcPr>
            <w:tcW w:type="dxa" w:w="1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RSK-MES-015</w:t>
            </w:r>
          </w:p>
        </w:tc>
        <w:tc>
          <w:tcPr>
            <w:tcW w:type="dxa" w:w="2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Integration / common control</w:t>
            </w:r>
            <w:r>
              <w:br/>
            </w:r>
            <w:r>
              <w:rPr>
                <w:rFonts w:ascii="Calibri" w:hAnsi="Calibri"/>
                <w:b w:val="0"/>
                <w:color w:val="203040"/>
                <w:sz w:val="12"/>
              </w:rPr>
              <w:t>Cross-interface integrity, monitoring, or reconciliation failure</w:t>
            </w:r>
          </w:p>
        </w:tc>
        <w:tc>
          <w:tcPr>
            <w:tcW w:type="dxa" w:w="12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 shared integration control plane provides schema, security, state, idempotency, queue, reconciliation, monitoring and recovery controls across all families.</w:t>
            </w:r>
            <w:r>
              <w:br/>
            </w:r>
            <w:r>
              <w:rPr>
                <w:rFonts w:ascii="Calibri" w:hAnsi="Calibri"/>
                <w:b w:val="0"/>
                <w:color w:val="203040"/>
                <w:sz w:val="12"/>
              </w:rPr>
              <w:t>Allocated DS: DS-MES-006, DS-MES-028, DS-MES-029, DS-MES-030, DS-MES-031, DS-MES-032, DS-MES-033, DS-MES-034, DS-MES-035, DS-MES-036, DS-MES-043, DS-MES-045</w:t>
            </w:r>
          </w:p>
        </w:tc>
        <w:tc>
          <w:tcPr>
            <w:tcW w:type="dxa" w:w="1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RSK-MES-016</w:t>
            </w:r>
          </w:p>
        </w:tc>
        <w:tc>
          <w:tcPr>
            <w:tcW w:type="dxa" w:w="2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Continuity / availability</w:t>
            </w:r>
            <w:r>
              <w:br/>
            </w:r>
            <w:r>
              <w:rPr>
                <w:rFonts w:ascii="Calibri" w:hAnsi="Calibri"/>
                <w:b w:val="0"/>
                <w:color w:val="203040"/>
                <w:sz w:val="12"/>
              </w:rPr>
              <w:t>Application or infrastructure unavailability and capacity exhaustion</w:t>
            </w:r>
          </w:p>
        </w:tc>
        <w:tc>
          <w:tcPr>
            <w:tcW w:type="dxa" w:w="12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Dependency-aware recovery sequencing, degraded-state controls, health/capacity monitoring and controlled restart address unavailability and exhaustion.</w:t>
            </w:r>
            <w:r>
              <w:br/>
            </w:r>
            <w:r>
              <w:rPr>
                <w:rFonts w:ascii="Calibri" w:hAnsi="Calibri"/>
                <w:b w:val="0"/>
                <w:color w:val="203040"/>
                <w:sz w:val="12"/>
              </w:rPr>
              <w:t>Allocated DS: DS-MES-039, DS-MES-045, DS-MES-046</w:t>
            </w:r>
          </w:p>
        </w:tc>
        <w:tc>
          <w:tcPr>
            <w:tcW w:type="dxa" w:w="1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RSK-MES-017</w:t>
            </w:r>
          </w:p>
        </w:tc>
        <w:tc>
          <w:tcPr>
            <w:tcW w:type="dxa" w:w="2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Continuity / backup</w:t>
            </w:r>
            <w:r>
              <w:br/>
            </w:r>
            <w:r>
              <w:rPr>
                <w:rFonts w:ascii="Calibri" w:hAnsi="Calibri"/>
                <w:b w:val="0"/>
                <w:color w:val="203040"/>
                <w:sz w:val="12"/>
              </w:rPr>
              <w:t>Backup is incomplete, corrupt, unavailable, or outside need</w:t>
            </w:r>
          </w:p>
        </w:tc>
        <w:tc>
          <w:tcPr>
            <w:tcW w:type="dxa" w:w="12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The backup matrix, job monitoring, access protection, integrity checks and representative restore design address incomplete or unusable backup.</w:t>
            </w:r>
            <w:r>
              <w:br/>
            </w:r>
            <w:r>
              <w:rPr>
                <w:rFonts w:ascii="Calibri" w:hAnsi="Calibri"/>
                <w:b w:val="0"/>
                <w:color w:val="203040"/>
                <w:sz w:val="12"/>
              </w:rPr>
              <w:t>Allocated DS: DS-MES-010, DS-MES-037, DS-MES-038, DS-MES-040, DS-MES-045</w:t>
            </w:r>
          </w:p>
        </w:tc>
        <w:tc>
          <w:tcPr>
            <w:tcW w:type="dxa" w:w="1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RSK-MES-018</w:t>
            </w:r>
          </w:p>
        </w:tc>
        <w:tc>
          <w:tcPr>
            <w:tcW w:type="dxa" w:w="2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Continuity / recovery</w:t>
            </w:r>
            <w:r>
              <w:br/>
            </w:r>
            <w:r>
              <w:rPr>
                <w:rFonts w:ascii="Calibri" w:hAnsi="Calibri"/>
                <w:b w:val="0"/>
                <w:color w:val="203040"/>
                <w:sz w:val="12"/>
              </w:rPr>
              <w:t>Recovery fails objectives or creates inconsistent state</w:t>
            </w:r>
          </w:p>
        </w:tc>
        <w:tc>
          <w:tcPr>
            <w:tcW w:type="dxa" w:w="12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Isolated restore, ordered dependency recovery, state reconciliation and defined decision points address failed or inconsistent recovery.</w:t>
            </w:r>
            <w:r>
              <w:br/>
            </w:r>
            <w:r>
              <w:rPr>
                <w:rFonts w:ascii="Calibri" w:hAnsi="Calibri"/>
                <w:b w:val="0"/>
                <w:color w:val="203040"/>
                <w:sz w:val="12"/>
              </w:rPr>
              <w:t>Allocated DS: DS-MES-038, DS-MES-039, DS-MES-040, DS-MES-046</w:t>
            </w:r>
          </w:p>
        </w:tc>
        <w:tc>
          <w:tcPr>
            <w:tcW w:type="dxa" w:w="1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RSK-MES-019</w:t>
            </w:r>
          </w:p>
        </w:tc>
        <w:tc>
          <w:tcPr>
            <w:tcW w:type="dxa" w:w="2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Security / technology</w:t>
            </w:r>
            <w:r>
              <w:br/>
            </w:r>
            <w:r>
              <w:rPr>
                <w:rFonts w:ascii="Calibri" w:hAnsi="Calibri"/>
                <w:b w:val="0"/>
                <w:color w:val="203040"/>
                <w:sz w:val="12"/>
              </w:rPr>
              <w:t>Cyber vulnerability, malware, or insecure component</w:t>
            </w:r>
          </w:p>
        </w:tc>
        <w:tc>
          <w:tcPr>
            <w:tcW w:type="dxa" w:w="12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Trust boundaries, hardened identity/service access, protected transmission, monitored components and controlled patch/change evidence address technology security risk.</w:t>
            </w:r>
            <w:r>
              <w:br/>
            </w:r>
            <w:r>
              <w:rPr>
                <w:rFonts w:ascii="Calibri" w:hAnsi="Calibri"/>
                <w:b w:val="0"/>
                <w:color w:val="203040"/>
                <w:sz w:val="12"/>
              </w:rPr>
              <w:t>Allocated DS: DS-MES-012, DS-MES-013, DS-MES-015, DS-MES-036, DS-MES-045, DS-MES-047, DS-MES-048, DS-MES-049</w:t>
            </w:r>
          </w:p>
        </w:tc>
        <w:tc>
          <w:tcPr>
            <w:tcW w:type="dxa" w:w="1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RSK-MES-020</w:t>
            </w:r>
          </w:p>
        </w:tc>
        <w:tc>
          <w:tcPr>
            <w:tcW w:type="dxa" w:w="2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Supplier / service</w:t>
            </w:r>
            <w:r>
              <w:br/>
            </w:r>
            <w:r>
              <w:rPr>
                <w:rFonts w:ascii="Calibri" w:hAnsi="Calibri"/>
                <w:b w:val="0"/>
                <w:color w:val="203040"/>
                <w:sz w:val="12"/>
              </w:rPr>
              <w:t>Supplier or shared-service controls are unclear or ineffective</w:t>
            </w:r>
          </w:p>
        </w:tc>
        <w:tc>
          <w:tcPr>
            <w:tcW w:type="dxa" w:w="12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Component responsibility and supplier-evidence registers define ownership, acceptance criteria, support status and periodic service assurance.</w:t>
            </w:r>
            <w:r>
              <w:br/>
            </w:r>
            <w:r>
              <w:rPr>
                <w:rFonts w:ascii="Calibri" w:hAnsi="Calibri"/>
                <w:b w:val="0"/>
                <w:color w:val="203040"/>
                <w:sz w:val="12"/>
              </w:rPr>
              <w:t>Allocated DS: DS-MES-037, DS-MES-048, DS-MES-049</w:t>
            </w:r>
          </w:p>
        </w:tc>
        <w:tc>
          <w:tcPr>
            <w:tcW w:type="dxa" w:w="1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RSK-MES-021</w:t>
            </w:r>
          </w:p>
        </w:tc>
        <w:tc>
          <w:tcPr>
            <w:tcW w:type="dxa" w:w="2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Lifecycle / change</w:t>
            </w:r>
            <w:r>
              <w:br/>
            </w:r>
            <w:r>
              <w:rPr>
                <w:rFonts w:ascii="Calibri" w:hAnsi="Calibri"/>
                <w:b w:val="0"/>
                <w:color w:val="203040"/>
                <w:sz w:val="12"/>
              </w:rPr>
              <w:t>Uncontrolled change, configuration, or promotion</w:t>
            </w:r>
          </w:p>
        </w:tc>
        <w:tc>
          <w:tcPr>
            <w:tcW w:type="dxa" w:w="12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Repository baselines, authorised build/promotion manifests, segregation, verification gates and rollback references control change and configuration.</w:t>
            </w:r>
            <w:r>
              <w:br/>
            </w:r>
            <w:r>
              <w:rPr>
                <w:rFonts w:ascii="Calibri" w:hAnsi="Calibri"/>
                <w:b w:val="0"/>
                <w:color w:val="203040"/>
                <w:sz w:val="12"/>
              </w:rPr>
              <w:t>Allocated DS: DS-MES-001, DS-MES-047, DS-MES-049</w:t>
            </w:r>
          </w:p>
        </w:tc>
        <w:tc>
          <w:tcPr>
            <w:tcW w:type="dxa" w:w="1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RSK-MES-022</w:t>
            </w:r>
          </w:p>
        </w:tc>
        <w:tc>
          <w:tcPr>
            <w:tcW w:type="dxa" w:w="2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Lifecycle / incident</w:t>
            </w:r>
            <w:r>
              <w:br/>
            </w:r>
            <w:r>
              <w:rPr>
                <w:rFonts w:ascii="Calibri" w:hAnsi="Calibri"/>
                <w:b w:val="0"/>
                <w:color w:val="203040"/>
                <w:sz w:val="12"/>
              </w:rPr>
              <w:t>Incident or problem handling fails to protect GxP state</w:t>
            </w:r>
          </w:p>
        </w:tc>
        <w:tc>
          <w:tcPr>
            <w:tcW w:type="dxa" w:w="12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w:t>
            </w:r>
            <w:r>
              <w:br/>
            </w:r>
            <w:r>
              <w:rPr>
                <w:rFonts w:ascii="Calibri" w:hAnsi="Calibri"/>
                <w:b w:val="0"/>
                <w:color w:val="203040"/>
                <w:sz w:val="12"/>
              </w:rPr>
              <w:t>High rigor</w:t>
            </w:r>
          </w:p>
        </w:tc>
        <w:tc>
          <w:tcPr>
            <w:tcW w:type="dxa" w:w="3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Safe degraded modes, incident evidence hooks, alert ownership, reconciliation and maintained-state action tracking protect GxP state during support events.</w:t>
            </w:r>
            <w:r>
              <w:br/>
            </w:r>
            <w:r>
              <w:rPr>
                <w:rFonts w:ascii="Calibri" w:hAnsi="Calibri"/>
                <w:b w:val="0"/>
                <w:color w:val="203040"/>
                <w:sz w:val="12"/>
              </w:rPr>
              <w:t>Allocated DS: DS-MES-043, DS-MES-045, DS-MES-046, DS-MES-047, DS-MES-049</w:t>
            </w:r>
          </w:p>
        </w:tc>
        <w:tc>
          <w:tcPr>
            <w:tcW w:type="dxa" w:w="1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RSK-MES-023</w:t>
            </w:r>
          </w:p>
        </w:tc>
        <w:tc>
          <w:tcPr>
            <w:tcW w:type="dxa" w:w="2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Reporting / evidence</w:t>
            </w:r>
            <w:r>
              <w:br/>
            </w:r>
            <w:r>
              <w:rPr>
                <w:rFonts w:ascii="Calibri" w:hAnsi="Calibri"/>
                <w:b w:val="0"/>
                <w:color w:val="203040"/>
                <w:sz w:val="12"/>
              </w:rPr>
              <w:t>Controlled report or extract is misinterpreted or altered</w:t>
            </w:r>
          </w:p>
        </w:tc>
        <w:tc>
          <w:tcPr>
            <w:tcW w:type="dxa" w:w="12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Medium</w:t>
            </w:r>
            <w:r>
              <w:br/>
            </w:r>
            <w:r>
              <w:rPr>
                <w:rFonts w:ascii="Calibri" w:hAnsi="Calibri"/>
                <w:b w:val="0"/>
                <w:color w:val="203040"/>
                <w:sz w:val="12"/>
              </w:rPr>
              <w:t>High rigor</w:t>
            </w:r>
          </w:p>
        </w:tc>
        <w:tc>
          <w:tcPr>
            <w:tcW w:type="dxa" w:w="3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Report definitions, reproducible populations, provenance, access and drill-back reduce misleading or altered controlled outputs.</w:t>
            </w:r>
            <w:r>
              <w:br/>
            </w:r>
            <w:r>
              <w:rPr>
                <w:rFonts w:ascii="Calibri" w:hAnsi="Calibri"/>
                <w:b w:val="0"/>
                <w:color w:val="203040"/>
                <w:sz w:val="12"/>
              </w:rPr>
              <w:t>Allocated DS: DS-MES-011, DS-MES-041, DS-MES-042, DS-MES-043, DS-MES-044</w:t>
            </w:r>
          </w:p>
        </w:tc>
        <w:tc>
          <w:tcPr>
            <w:tcW w:type="dxa" w:w="1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RSK-MES-024</w:t>
            </w:r>
          </w:p>
        </w:tc>
        <w:tc>
          <w:tcPr>
            <w:tcW w:type="dxa" w:w="2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Lifecycle / maintained state</w:t>
            </w:r>
            <w:r>
              <w:br/>
            </w:r>
            <w:r>
              <w:rPr>
                <w:rFonts w:ascii="Calibri" w:hAnsi="Calibri"/>
                <w:b w:val="0"/>
                <w:color w:val="203040"/>
                <w:sz w:val="12"/>
              </w:rPr>
              <w:t>Maintained-state controls, review, or training become ineffective</w:t>
            </w:r>
          </w:p>
        </w:tc>
        <w:tc>
          <w:tcPr>
            <w:tcW w:type="dxa" w:w="12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Medium</w:t>
            </w:r>
            <w:r>
              <w:br/>
            </w:r>
            <w:r>
              <w:rPr>
                <w:rFonts w:ascii="Calibri" w:hAnsi="Calibri"/>
                <w:b w:val="0"/>
                <w:color w:val="203040"/>
                <w:sz w:val="12"/>
              </w:rPr>
              <w:t>High rigor</w:t>
            </w:r>
          </w:p>
        </w:tc>
        <w:tc>
          <w:tcPr>
            <w:tcW w:type="dxa" w:w="3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Access/audit review, backup/recovery evidence, periodic evaluation and training-status design support continued control effectiveness.</w:t>
            </w:r>
            <w:r>
              <w:br/>
            </w:r>
            <w:r>
              <w:rPr>
                <w:rFonts w:ascii="Calibri" w:hAnsi="Calibri"/>
                <w:b w:val="0"/>
                <w:color w:val="203040"/>
                <w:sz w:val="12"/>
              </w:rPr>
              <w:t>Allocated DS: DS-MES-012, DS-MES-014, DS-MES-016, DS-MES-023, DS-MES-040, DS-MES-048, DS-MES-049, DS-MES-050</w:t>
            </w:r>
          </w:p>
        </w:tc>
        <w:tc>
          <w:tcPr>
            <w:tcW w:type="dxa" w:w="1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RSK-MES-025</w:t>
            </w:r>
          </w:p>
        </w:tc>
        <w:tc>
          <w:tcPr>
            <w:tcW w:type="dxa" w:w="2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Privacy / personal data</w:t>
            </w:r>
            <w:r>
              <w:br/>
            </w:r>
            <w:r>
              <w:rPr>
                <w:rFonts w:ascii="Calibri" w:hAnsi="Calibri"/>
                <w:b w:val="0"/>
                <w:color w:val="203040"/>
                <w:sz w:val="12"/>
              </w:rPr>
              <w:t>Personal data processing is excessive or insufficiently protected</w:t>
            </w:r>
          </w:p>
        </w:tc>
        <w:tc>
          <w:tcPr>
            <w:tcW w:type="dxa" w:w="12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Medium</w:t>
            </w:r>
            <w:r>
              <w:br/>
            </w:r>
            <w:r>
              <w:rPr>
                <w:rFonts w:ascii="Calibri" w:hAnsi="Calibri"/>
                <w:b w:val="0"/>
                <w:color w:val="203040"/>
                <w:sz w:val="12"/>
              </w:rPr>
              <w:t>High rigor</w:t>
            </w:r>
          </w:p>
        </w:tc>
        <w:tc>
          <w:tcPr>
            <w:tcW w:type="dxa" w:w="32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Least-data interface scope, role-based access, protected exports and maintained-state review provide technical hooks for the separate privacy assessment.</w:t>
            </w:r>
            <w:r>
              <w:br/>
            </w:r>
            <w:r>
              <w:rPr>
                <w:rFonts w:ascii="Calibri" w:hAnsi="Calibri"/>
                <w:b w:val="0"/>
                <w:color w:val="203040"/>
                <w:sz w:val="12"/>
              </w:rPr>
              <w:t>Allocated DS: DS-MES-048, DS-MES-049</w:t>
            </w:r>
          </w:p>
        </w:tc>
        <w:tc>
          <w:tcPr>
            <w:tcW w:type="dxa" w:w="1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r>
        <w:trPr>
          <w:cantSplit/>
          <w:trHeight w:hRule="auto"/>
          <w:cantSplit/>
        </w:trPr>
        <w:tc>
          <w:tcPr>
            <w:tcW w:type="dxa" w:w="9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RSK-MES-026</w:t>
            </w:r>
          </w:p>
        </w:tc>
        <w:tc>
          <w:tcPr>
            <w:tcW w:type="dxa" w:w="21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Data integrity / migration</w:t>
            </w:r>
            <w:r>
              <w:br/>
            </w:r>
            <w:r>
              <w:rPr>
                <w:rFonts w:ascii="Calibri" w:hAnsi="Calibri"/>
                <w:b w:val="0"/>
                <w:color w:val="203040"/>
                <w:sz w:val="12"/>
              </w:rPr>
              <w:t>Initial load or migration loses content and meaning</w:t>
            </w:r>
          </w:p>
        </w:tc>
        <w:tc>
          <w:tcPr>
            <w:tcW w:type="dxa" w:w="12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Working High if applicable</w:t>
            </w:r>
            <w:r>
              <w:br/>
            </w:r>
            <w:r>
              <w:rPr>
                <w:rFonts w:ascii="Calibri" w:hAnsi="Calibri"/>
                <w:b w:val="0"/>
                <w:color w:val="203040"/>
                <w:sz w:val="12"/>
              </w:rPr>
              <w:t>High rigor</w:t>
            </w:r>
          </w:p>
        </w:tc>
        <w:tc>
          <w:tcPr>
            <w:tcW w:type="dxa" w:w="32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Versioned transfer packages, schema/mapping control, counts/integrity evidence and exception reconciliation protect content and meaning if migration applies.</w:t>
            </w:r>
            <w:r>
              <w:br/>
            </w:r>
            <w:r>
              <w:rPr>
                <w:rFonts w:ascii="Calibri" w:hAnsi="Calibri"/>
                <w:b w:val="0"/>
                <w:color w:val="203040"/>
                <w:sz w:val="12"/>
              </w:rPr>
              <w:t>Allocated DS: DS-MES-024, DS-MES-027, DS-MES-047</w:t>
            </w:r>
          </w:p>
        </w:tc>
        <w:tc>
          <w:tcPr>
            <w:tcW w:type="dxa" w:w="1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Open - design specified; implementation/effectiveness, verification, residual rating and acceptance pending.</w:t>
            </w:r>
          </w:p>
        </w:tc>
      </w:tr>
    </w:tbl>
    <w:p>
      <w:pPr>
        <w:spacing w:after="40" w:before="0"/>
      </w:pPr>
    </w:p>
    <w:p>
      <w:pPr>
        <w:keepNext w:val="0"/>
        <w:spacing w:before="80" w:after="80" w:line="240" w:lineRule="auto"/>
        <w:shd w:val="clear" w:color="auto" w:fill="FFF5CC"/>
        <w:pBdr>
          <w:top w:val="single" w:sz="4" w:space="3" w:color="B7C9D8"/>
          <w:left w:val="single" w:sz="4" w:space="3" w:color="B7C9D8"/>
          <w:bottom w:val="single" w:sz="4" w:space="3" w:color="B7C9D8"/>
          <w:right w:val="single" w:sz="4" w:space="3" w:color="B7C9D8"/>
        </w:pBdr>
        <w:ind w:left="120" w:right="120"/>
      </w:pPr>
      <w:r>
        <w:rPr>
          <w:rFonts w:ascii="Calibri" w:hAnsi="Calibri"/>
          <w:b w:val="0"/>
          <w:color w:val="0B2545"/>
          <w:sz w:val="17"/>
        </w:rPr>
        <w:t>Residual-risk rule: This DS does not rate or accept residual risk. All 26 risks remain Open until the design is implemented, controls are verified for effectiveness and the authorised risk owner/quality roles make the controlled residual-risk decision.</w:t>
      </w:r>
    </w:p>
    <w:p>
      <w:pPr>
        <w:spacing w:after="20"/>
      </w:pPr>
    </w:p>
    <w:p>
      <w:pPr>
        <w:pStyle w:val="Heading2"/>
        <w:keepNext/>
        <w:spacing w:before="100" w:after="80" w:line="252" w:lineRule="auto"/>
      </w:pPr>
      <w:r>
        <w:rPr>
          <w:rFonts w:ascii="Calibri" w:hAnsi="Calibri"/>
          <w:b/>
          <w:color w:val="2E74B5"/>
          <w:sz w:val="26"/>
        </w:rPr>
        <w:t>13.2 Design-review readiness criteria</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850"/>
        <w:gridCol w:w="3550"/>
        <w:gridCol w:w="3960"/>
      </w:tblGrid>
      <w:tr>
        <w:trPr>
          <w:trHeight w:hRule="auto"/>
          <w:cantSplit/>
          <w:tblHeader w:val="true"/>
          <w:cantSplit/>
        </w:trPr>
        <w:tc>
          <w:tcPr>
            <w:tcW w:type="dxa" w:w="1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Q0749711 criterion</w:t>
            </w:r>
          </w:p>
        </w:tc>
        <w:tc>
          <w:tcPr>
            <w:tcW w:type="dxa" w:w="35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Current DS evidence</w:t>
            </w:r>
          </w:p>
        </w:tc>
        <w:tc>
          <w:tcPr>
            <w:tcW w:type="dxa" w:w="39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Evidence still required before closure</w:t>
            </w:r>
          </w:p>
        </w:tc>
      </w:tr>
      <w:tr>
        <w:trPr>
          <w:cantSplit/>
          <w:trHeight w:hRule="auto"/>
          <w:cantSplit/>
        </w:trPr>
        <w:tc>
          <w:tcPr>
            <w:tcW w:type="dxa" w:w="18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Complete</w:t>
            </w:r>
          </w:p>
        </w:tc>
        <w:tc>
          <w:tcPr>
            <w:tcW w:type="dxa" w:w="35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50/50 FS expanded to 50/50 DS; 60/60 IS and 26/26 risks allocated.</w:t>
            </w:r>
          </w:p>
        </w:tc>
        <w:tc>
          <w:tcPr>
            <w:tcW w:type="dxa" w:w="3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CS/DIA/unit or supplier design details and no unresolved applicable gap.</w:t>
            </w:r>
          </w:p>
        </w:tc>
      </w:tr>
      <w:tr>
        <w:trPr>
          <w:cantSplit/>
          <w:trHeight w:hRule="auto"/>
          <w:cantSplit/>
        </w:trPr>
        <w:tc>
          <w:tcPr>
            <w:tcW w:type="dxa" w:w="18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Correct</w:t>
            </w:r>
          </w:p>
        </w:tc>
        <w:tc>
          <w:tcPr>
            <w:tcW w:type="dxa" w:w="35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Stable identifiers and source-aligned technical control intent; unsupported values marked Verify.</w:t>
            </w:r>
          </w:p>
        </w:tc>
        <w:tc>
          <w:tcPr>
            <w:tcW w:type="dxa" w:w="39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Technical SME/supplier confirmation against selected product and infrastructure.</w:t>
            </w:r>
          </w:p>
        </w:tc>
      </w:tr>
      <w:tr>
        <w:trPr>
          <w:cantSplit/>
          <w:trHeight w:hRule="auto"/>
          <w:cantSplit/>
        </w:trPr>
        <w:tc>
          <w:tcPr>
            <w:tcW w:type="dxa" w:w="18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Consistent</w:t>
            </w:r>
          </w:p>
        </w:tc>
        <w:tc>
          <w:tcPr>
            <w:tcW w:type="dxa" w:w="35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Same 8 components, 4 environment concepts, 50 URS/FS and 26-risk namespace used throughout.</w:t>
            </w:r>
          </w:p>
        </w:tc>
        <w:tc>
          <w:tcPr>
            <w:tcW w:type="dxa" w:w="3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Cross-document baseline/version review after CS/DIA and implementation selection.</w:t>
            </w:r>
          </w:p>
        </w:tc>
      </w:tr>
      <w:tr>
        <w:trPr>
          <w:cantSplit/>
          <w:trHeight w:hRule="auto"/>
          <w:cantSplit/>
        </w:trPr>
        <w:tc>
          <w:tcPr>
            <w:tcW w:type="dxa" w:w="18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Unambiguous</w:t>
            </w:r>
          </w:p>
        </w:tc>
        <w:tc>
          <w:tcPr>
            <w:tcW w:type="dxa" w:w="35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State, transaction, failure and acceptance focus stated for each DS.</w:t>
            </w:r>
          </w:p>
        </w:tc>
        <w:tc>
          <w:tcPr>
            <w:tcW w:type="dxa" w:w="39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Resolve thresholds, protocols, values, owners and exact configuration before build/test.</w:t>
            </w:r>
          </w:p>
        </w:tc>
      </w:tr>
      <w:tr>
        <w:trPr>
          <w:cantSplit/>
          <w:trHeight w:hRule="auto"/>
          <w:cantSplit/>
        </w:trPr>
        <w:tc>
          <w:tcPr>
            <w:tcW w:type="dxa" w:w="18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Feasible</w:t>
            </w:r>
          </w:p>
        </w:tc>
        <w:tc>
          <w:tcPr>
            <w:tcW w:type="dxa" w:w="35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Logical component/service allocation and staged promotion/recovery approach defined.</w:t>
            </w:r>
          </w:p>
        </w:tc>
        <w:tc>
          <w:tcPr>
            <w:tcW w:type="dxa" w:w="3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Supplier/infrastructure feasibility, sizing, licensing and supported topology evidence.</w:t>
            </w:r>
          </w:p>
        </w:tc>
      </w:tr>
      <w:tr>
        <w:trPr>
          <w:cantSplit/>
          <w:trHeight w:hRule="auto"/>
          <w:cantSplit/>
        </w:trPr>
        <w:tc>
          <w:tcPr>
            <w:tcW w:type="dxa" w:w="18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Maintainable</w:t>
            </w:r>
          </w:p>
        </w:tc>
        <w:tc>
          <w:tcPr>
            <w:tcW w:type="dxa" w:w="35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Versioned artifacts, component boundaries, observability, backup and periodic evidence designed.</w:t>
            </w:r>
          </w:p>
        </w:tc>
        <w:tc>
          <w:tcPr>
            <w:tcW w:type="dxa" w:w="39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Confirmed repository/toolchain, support procedures, monitoring values and ownership.</w:t>
            </w:r>
          </w:p>
        </w:tc>
      </w:tr>
      <w:tr>
        <w:trPr>
          <w:cantSplit/>
          <w:trHeight w:hRule="auto"/>
          <w:cantSplit/>
        </w:trPr>
        <w:tc>
          <w:tcPr>
            <w:tcW w:type="dxa" w:w="18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URS fulfilment / traceability</w:t>
            </w:r>
          </w:p>
        </w:tc>
        <w:tc>
          <w:tcPr>
            <w:tcW w:type="dxa" w:w="35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Every URS -&gt; FS -&gt; DS; integration/risk links retained.</w:t>
            </w:r>
          </w:p>
        </w:tc>
        <w:tc>
          <w:tcPr>
            <w:tcW w:type="dxa" w:w="39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CS/test IDs/results and final TRM conclusion.</w:t>
            </w:r>
          </w:p>
        </w:tc>
      </w:tr>
      <w:tr>
        <w:trPr>
          <w:cantSplit/>
          <w:trHeight w:hRule="auto"/>
          <w:cantSplit/>
        </w:trPr>
        <w:tc>
          <w:tcPr>
            <w:tcW w:type="dxa" w:w="18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Interfaces / risks</w:t>
            </w:r>
          </w:p>
        </w:tc>
        <w:tc>
          <w:tcPr>
            <w:tcW w:type="dxa" w:w="35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 60 interface controls and all 26 risk scenarios allocated.</w:t>
            </w:r>
          </w:p>
        </w:tc>
        <w:tc>
          <w:tcPr>
            <w:tcW w:type="dxa" w:w="39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Physical connection design, executed tests and control-effectiveness evidence.</w:t>
            </w:r>
          </w:p>
        </w:tc>
      </w:tr>
    </w:tbl>
    <w:p>
      <w:pPr>
        <w:spacing w:after="40" w:before="0"/>
      </w:pPr>
    </w:p>
    <w:p>
      <w:pPr>
        <w:pStyle w:val="Heading1"/>
        <w:keepNext/>
        <w:spacing w:before="160" w:after="80" w:line="252" w:lineRule="auto"/>
      </w:pPr>
      <w:r>
        <w:rPr>
          <w:rFonts w:ascii="Calibri" w:hAnsi="Calibri"/>
          <w:b/>
          <w:color w:val="2E74B5"/>
          <w:sz w:val="32"/>
        </w:rPr>
        <w:t>14 Live traceability and end-to-end register</w:t>
      </w:r>
    </w:p>
    <w:p>
      <w:pPr>
        <w:pStyle w:val="Heading2"/>
        <w:keepNext/>
        <w:spacing w:before="100" w:after="80" w:line="252" w:lineRule="auto"/>
      </w:pPr>
      <w:r>
        <w:rPr>
          <w:rFonts w:ascii="Calibri" w:hAnsi="Calibri"/>
          <w:b/>
          <w:color w:val="2E74B5"/>
          <w:sz w:val="26"/>
        </w:rPr>
        <w:t>14.1 Sixteen-field live trace state</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600"/>
        <w:gridCol w:w="2000"/>
        <w:gridCol w:w="3900"/>
        <w:gridCol w:w="2860"/>
      </w:tblGrid>
      <w:tr>
        <w:trPr>
          <w:trHeight w:hRule="auto"/>
          <w:cantSplit/>
          <w:tblHeader w:val="true"/>
          <w:cantSplit/>
        </w:trPr>
        <w:tc>
          <w:tcPr>
            <w:tcW w:type="dxa" w:w="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No.</w:t>
            </w:r>
          </w:p>
        </w:tc>
        <w:tc>
          <w:tcPr>
            <w:tcW w:type="dxa" w:w="20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Traceability field</w:t>
            </w:r>
          </w:p>
        </w:tc>
        <w:tc>
          <w:tcPr>
            <w:tcW w:type="dxa" w:w="39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Current controlled value</w:t>
            </w:r>
          </w:p>
        </w:tc>
        <w:tc>
          <w:tcPr>
            <w:tcW w:type="dxa" w:w="28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State after DS</w:t>
            </w:r>
          </w:p>
        </w:tc>
      </w:tr>
      <w:tr>
        <w:trPr>
          <w:cantSplit/>
          <w:trHeight w:hRule="auto"/>
          <w:cantSplit/>
        </w:trPr>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1</w:t>
            </w:r>
          </w:p>
        </w:tc>
        <w:tc>
          <w:tcPr>
            <w:tcW w:type="dxa" w:w="2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Requirement ID</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URS-MES-001 to 050</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Unchanged - URS baseline</w:t>
            </w:r>
          </w:p>
        </w:tc>
      </w:tr>
      <w:tr>
        <w:trPr>
          <w:cantSplit/>
          <w:trHeight w:hRule="auto"/>
          <w:cantSplit/>
        </w:trPr>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2</w:t>
            </w:r>
          </w:p>
        </w:tc>
        <w:tc>
          <w:tcPr>
            <w:tcW w:type="dxa" w:w="2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Requirement statement</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Controlled statement in NL-MES-URS-001</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Unchanged - URS baseline</w:t>
            </w:r>
          </w:p>
        </w:tc>
      </w:tr>
      <w:tr>
        <w:trPr>
          <w:cantSplit/>
          <w:trHeight w:hRule="auto"/>
          <w:cantSplit/>
        </w:trPr>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3</w:t>
            </w:r>
          </w:p>
        </w:tc>
        <w:tc>
          <w:tcPr>
            <w:tcW w:type="dxa" w:w="2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GxP relevance</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Yes for all current requirements</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Unchanged - URS baseline</w:t>
            </w:r>
          </w:p>
        </w:tc>
      </w:tr>
      <w:tr>
        <w:trPr>
          <w:cantSplit/>
          <w:trHeight w:hRule="auto"/>
          <w:cantSplit/>
        </w:trPr>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4</w:t>
            </w:r>
          </w:p>
        </w:tc>
        <w:tc>
          <w:tcPr>
            <w:tcW w:type="dxa" w:w="2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Risk ID</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One or more RSK-MES-001 to 026</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Confirmed - shared risk register</w:t>
            </w:r>
          </w:p>
        </w:tc>
      </w:tr>
      <w:tr>
        <w:trPr>
          <w:cantSplit/>
          <w:trHeight w:hRule="auto"/>
          <w:cantSplit/>
        </w:trPr>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5</w:t>
            </w:r>
          </w:p>
        </w:tc>
        <w:tc>
          <w:tcPr>
            <w:tcW w:type="dxa" w:w="2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Risk level</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49 Working High / 1 Working Medium (URS-MES-025)</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Confirmed by ITRRA; method Verify</w:t>
            </w:r>
          </w:p>
        </w:tc>
      </w:tr>
      <w:tr>
        <w:trPr>
          <w:cantSplit/>
          <w:trHeight w:hRule="auto"/>
          <w:cantSplit/>
        </w:trPr>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6</w:t>
            </w:r>
          </w:p>
        </w:tc>
        <w:tc>
          <w:tcPr>
            <w:tcW w:type="dxa" w:w="2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FS reference</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FS-MES-001 to 050 one-to-one</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Designed in NL-MES-FS-001</w:t>
            </w:r>
          </w:p>
        </w:tc>
      </w:tr>
      <w:tr>
        <w:trPr>
          <w:cantSplit/>
          <w:trHeight w:hRule="auto"/>
          <w:cantSplit/>
        </w:trPr>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7</w:t>
            </w:r>
          </w:p>
        </w:tc>
        <w:tc>
          <w:tcPr>
            <w:tcW w:type="dxa" w:w="2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DS reference</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DS-MES-001 to 050 one-to-one</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Designed in this DS</w:t>
            </w:r>
          </w:p>
        </w:tc>
      </w:tr>
      <w:tr>
        <w:trPr>
          <w:cantSplit/>
          <w:trHeight w:hRule="auto"/>
          <w:cantSplit/>
        </w:trPr>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8</w:t>
            </w:r>
          </w:p>
        </w:tc>
        <w:tc>
          <w:tcPr>
            <w:tcW w:type="dxa" w:w="2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CS reference</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Not yet assigned</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Planned/Open - next lifecycle deliverable</w:t>
            </w:r>
          </w:p>
        </w:tc>
      </w:tr>
      <w:tr>
        <w:trPr>
          <w:cantSplit/>
          <w:trHeight w:hRule="auto"/>
          <w:cantSplit/>
        </w:trPr>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9</w:t>
            </w:r>
          </w:p>
        </w:tc>
        <w:tc>
          <w:tcPr>
            <w:tcW w:type="dxa" w:w="2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Integration reference</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Existing INT-MES references or N/A from FS/IS</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60 IS requirements allocated; physical values Verify</w:t>
            </w:r>
          </w:p>
        </w:tc>
      </w:tr>
      <w:tr>
        <w:trPr>
          <w:cantSplit/>
          <w:trHeight w:hRule="auto"/>
          <w:cantSplit/>
        </w:trPr>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10</w:t>
            </w:r>
          </w:p>
        </w:tc>
        <w:tc>
          <w:tcPr>
            <w:tcW w:type="dxa" w:w="2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Test case ID</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Not yet assigned</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Planned/Open</w:t>
            </w:r>
          </w:p>
        </w:tc>
      </w:tr>
      <w:tr>
        <w:trPr>
          <w:cantSplit/>
          <w:trHeight w:hRule="auto"/>
          <w:cantSplit/>
        </w:trPr>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11</w:t>
            </w:r>
          </w:p>
        </w:tc>
        <w:tc>
          <w:tcPr>
            <w:tcW w:type="dxa" w:w="2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Test result</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Not run</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Planned/Open</w:t>
            </w:r>
          </w:p>
        </w:tc>
      </w:tr>
      <w:tr>
        <w:trPr>
          <w:cantSplit/>
          <w:trHeight w:hRule="auto"/>
          <w:cantSplit/>
        </w:trPr>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12</w:t>
            </w:r>
          </w:p>
        </w:tc>
        <w:tc>
          <w:tcPr>
            <w:tcW w:type="dxa" w:w="2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Defect / deviation ID</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N/A - no execution yet</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Planned/Open</w:t>
            </w:r>
          </w:p>
        </w:tc>
      </w:tr>
      <w:tr>
        <w:trPr>
          <w:cantSplit/>
          <w:trHeight w:hRule="auto"/>
          <w:cantSplit/>
        </w:trPr>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13</w:t>
            </w:r>
          </w:p>
        </w:tc>
        <w:tc>
          <w:tcPr>
            <w:tcW w:type="dxa" w:w="2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SOP / user guide</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Not yet assigned</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Planned/Open</w:t>
            </w:r>
          </w:p>
        </w:tc>
      </w:tr>
      <w:tr>
        <w:trPr>
          <w:cantSplit/>
          <w:trHeight w:hRule="auto"/>
          <w:cantSplit/>
        </w:trPr>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14</w:t>
            </w:r>
          </w:p>
        </w:tc>
        <w:tc>
          <w:tcPr>
            <w:tcW w:type="dxa" w:w="2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Operational control</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Not yet assigned</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Planned/Open</w:t>
            </w:r>
          </w:p>
        </w:tc>
      </w:tr>
      <w:tr>
        <w:trPr>
          <w:cantSplit/>
          <w:trHeight w:hRule="auto"/>
          <w:cantSplit/>
        </w:trPr>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15</w:t>
            </w:r>
          </w:p>
        </w:tc>
        <w:tc>
          <w:tcPr>
            <w:tcW w:type="dxa" w:w="2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Change / incident / periodic review</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Not yet assigned</w:t>
            </w:r>
          </w:p>
        </w:tc>
        <w:tc>
          <w:tcPr>
            <w:tcW w:type="dxa" w:w="28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Planned/Open</w:t>
            </w:r>
          </w:p>
        </w:tc>
      </w:tr>
      <w:tr>
        <w:trPr>
          <w:cantSplit/>
          <w:trHeight w:hRule="auto"/>
          <w:cantSplit/>
        </w:trPr>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16</w:t>
            </w:r>
          </w:p>
        </w:tc>
        <w:tc>
          <w:tcPr>
            <w:tcW w:type="dxa" w:w="20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Status</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FS, IS and DS designed; CS/DIA/test and operational evidence open</w:t>
            </w:r>
          </w:p>
        </w:tc>
        <w:tc>
          <w:tcPr>
            <w:tcW w:type="dxa" w:w="28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Updated by NL-MES-DS-001</w:t>
            </w:r>
          </w:p>
        </w:tc>
      </w:tr>
    </w:tbl>
    <w:p>
      <w:pPr>
        <w:spacing w:after="40" w:before="0"/>
      </w:pPr>
    </w:p>
    <w:p>
      <w:pPr>
        <w:pStyle w:val="Heading2"/>
        <w:keepNext/>
        <w:spacing w:before="100" w:after="80" w:line="252" w:lineRule="auto"/>
      </w:pPr>
      <w:r>
        <w:rPr>
          <w:rFonts w:ascii="Calibri" w:hAnsi="Calibri"/>
          <w:b/>
          <w:color w:val="2E74B5"/>
          <w:sz w:val="26"/>
        </w:rPr>
        <w:t>14.2 End-to-end requirement traceability</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780"/>
        <w:gridCol w:w="1680"/>
        <w:gridCol w:w="1570"/>
        <w:gridCol w:w="780"/>
        <w:gridCol w:w="780"/>
        <w:gridCol w:w="600"/>
        <w:gridCol w:w="1500"/>
        <w:gridCol w:w="1670"/>
      </w:tblGrid>
      <w:tr>
        <w:trPr>
          <w:trHeight w:hRule="auto"/>
          <w:cantSplit/>
          <w:tblHeader w:val="true"/>
          <w:cantSplit/>
        </w:trPr>
        <w:tc>
          <w:tcPr>
            <w:tcW w:type="dxa" w:w="78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3"/>
              </w:rPr>
              <w:t>URS</w:t>
            </w:r>
          </w:p>
        </w:tc>
        <w:tc>
          <w:tcPr>
            <w:tcW w:type="dxa" w:w="168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3"/>
              </w:rPr>
              <w:t>Controlled title</w:t>
            </w:r>
          </w:p>
        </w:tc>
        <w:tc>
          <w:tcPr>
            <w:tcW w:type="dxa" w:w="157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3"/>
              </w:rPr>
              <w:t>Risk / level</w:t>
            </w:r>
          </w:p>
        </w:tc>
        <w:tc>
          <w:tcPr>
            <w:tcW w:type="dxa" w:w="78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3"/>
              </w:rPr>
              <w:t>FS</w:t>
            </w:r>
          </w:p>
        </w:tc>
        <w:tc>
          <w:tcPr>
            <w:tcW w:type="dxa" w:w="78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3"/>
              </w:rPr>
              <w:t>DS</w:t>
            </w:r>
          </w:p>
        </w:tc>
        <w:tc>
          <w:tcPr>
            <w:tcW w:type="dxa" w:w="6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3"/>
              </w:rPr>
              <w:t>CS</w:t>
            </w:r>
          </w:p>
        </w:tc>
        <w:tc>
          <w:tcPr>
            <w:tcW w:type="dxa" w:w="15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3"/>
              </w:rPr>
              <w:t>Integration</w:t>
            </w:r>
          </w:p>
        </w:tc>
        <w:tc>
          <w:tcPr>
            <w:tcW w:type="dxa" w:w="167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3"/>
              </w:rPr>
              <w:t>Verification / state</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URS-MES-001</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Approved order and instruction selection</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RSK-MES-001, RSK-MES-021</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FS-MES-001</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DS-MES-001</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URS-MES-002</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Controlled execution sequence</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RSK-MES-001</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FS-MES-002</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DS-MES-002</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URS-MES-003</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Execution data and calculation capture</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RSK-MES-002, RSK-MES-013</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FS-MES-003</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DS-MES-003</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URS-MES-004</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Material and equipment status verification</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RSK-MES-001, RSK-MES-013</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FS-MES-004</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DS-MES-004</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URS-MES-005</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Controlled hold, resume, and termination</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RSK-MES-001, RSK-MES-013</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FS-MES-005</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DS-MES-005</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URS-MES-006</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Exception and review-by-exception handling</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RSK-MES-003, RSK-MES-015</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FS-MES-006</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DS-MES-006</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URS-MES-007</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Complete electronic batch record</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RSK-MES-002, RSK-MES-003, RSK-MES-007, RSK-MES-008</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FS-MES-007</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DS-MES-007</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URS-MES-008</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Batch-record completion control</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RSK-MES-003, RSK-MES-007</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FS-MES-008</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DS-MES-008</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URS-MES-009</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Authorised batch-record review</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RSK-MES-003, RSK-MES-007, RSK-MES-008</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FS-MES-009</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DS-MES-009</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URS-MES-010</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Record retention and retrieval</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RSK-MES-004, RSK-MES-010, RSK-MES-017</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FS-MES-010</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DS-MES-010</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URS-MES-011</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Complete and accurate record copies</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RSK-MES-004, RSK-MES-023</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FS-MES-011</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DS-MES-011</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URS-MES-012</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Unique identity and authentication</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RSK-MES-005, RSK-MES-006, RSK-MES-019, RSK-MES-024</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FS-MES-012</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DS-MES-012</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URS-MES-013</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Role-based least-privilege access</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RSK-MES-005, RSK-MES-019</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FS-MES-013</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DS-MES-013</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URS-MES-014</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Controlled access lifecycle</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RSK-MES-005, RSK-MES-024</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FS-MES-014</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DS-MES-014</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URS-MES-015</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Privileged and service-account control</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RSK-MES-005, RSK-MES-006, RSK-MES-019</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FS-MES-015</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DS-MES-015</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URS-MES-016</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Segregation and periodic access review</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RSK-MES-005, RSK-MES-024</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FS-MES-016</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DS-MES-016</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URS-MES-017</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Authorised electronic-signature application</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RSK-MES-007</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FS-MES-017</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DS-MES-017</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URS-MES-018</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Signature meaning and content</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RSK-MES-007</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FS-MES-018</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DS-MES-018</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URS-MES-019</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Permanent signature-to-record linkage</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RSK-MES-007, RSK-MES-010</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FS-MES-019</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DS-MES-019</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URS-MES-020</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Automatic audit-trail capture</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RSK-MES-008</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FS-MES-020</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DS-MES-020</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URS-MES-021</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Audit-trail protection and retention</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RSK-MES-008, RSK-MES-010</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FS-MES-021</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DS-MES-021</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URS-MES-022</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Audit-trail search and review presentation</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RSK-MES-008</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FS-MES-022</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DS-MES-022</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URS-MES-023</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Risk-based audit-trail review evidence</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RSK-MES-008, RSK-MES-024</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FS-MES-023</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DS-MES-023</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URS-MES-024</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ALCOA+ data lifecycle</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RSK-MES-002, RSK-MES-010, RSK-MES-026</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FS-MES-024</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DS-MES-024</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URS-MES-025</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Authoritative and consistent time</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RSK-MES-009</w:t>
            </w:r>
            <w:r>
              <w:br/>
            </w:r>
            <w:r>
              <w:rPr>
                <w:rFonts w:ascii="Calibri" w:hAnsi="Calibri"/>
                <w:b w:val="0"/>
                <w:color w:val="203040"/>
                <w:sz w:val="12"/>
              </w:rPr>
              <w:t>Working Medium</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FS-MES-025</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DS-MES-025</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INT-MES-TIM-001</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URS-MES-026</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Controlled correction of GxP data</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RSK-MES-010</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FS-MES-026</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DS-MES-026</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URS-MES-027</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Preservation through transfer, retention, and migration</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RSK-MES-004, RSK-MES-010, RSK-MES-026</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FS-MES-027</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DS-MES-027</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URS-MES-028</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ERP inbound orders and master data</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RSK-MES-011, RSK-MES-015</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FS-MES-028</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DS-MES-028</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INT-MES-ERP-001</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URS-MES-029</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ERP outbound manufacturing confirmation</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RSK-MES-011, RSK-MES-015</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FS-MES-029</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DS-MES-029</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INT-MES-ERP-001</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URS-MES-030</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LIMS sample request and status transfer</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RSK-MES-012, RSK-MES-015</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FS-MES-030</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DS-MES-030</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INT-MES-LIMS-001</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URS-MES-031</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LIMS result and disposition receipt</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RSK-MES-012, RSK-MES-015</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FS-MES-031</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DS-MES-031</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INT-MES-LIMS-001</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URS-MES-032</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Controlled commands to automation</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RSK-MES-013, RSK-MES-015</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FS-MES-032</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DS-MES-032</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INT-MES-AUT-001</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URS-MES-033</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Automation data receipt</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RSK-MES-013, RSK-MES-015</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FS-MES-033</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DS-MES-033</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INT-MES-AUT-001</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URS-MES-034</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Historian and reporting publication</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RSK-MES-014, RSK-MES-015</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FS-MES-034</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DS-MES-034</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INT-MES-HIS-001</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URS-MES-035</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Enterprise identity integration</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RSK-MES-005, RSK-MES-006, RSK-MES-015</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FS-MES-035</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DS-MES-035</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INT-MES-IAM-001</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URS-MES-036</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Common interface integrity and failure control</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RSK-MES-011, RSK-MES-012, RSK-MES-013, RSK-MES-014, RSK-MES-015, RSK-MES-019</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FS-MES-036</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DS-MES-036</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All 7 INT-MES interface IDs</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URS-MES-037</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Risk-based backup coverage</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RSK-MES-017, RSK-MES-020</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FS-MES-037</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DS-MES-037</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INT-MES-OPS-001</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URS-MES-038</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Complete and accurate restoration</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RSK-MES-017, RSK-MES-018</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FS-MES-038</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DS-MES-038</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INT-MES-OPS-001</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URS-MES-039</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Coordinated service recovery</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RSK-MES-016, RSK-MES-018</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FS-MES-039</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DS-MES-039</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INT-MES-OPS-001</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URS-MES-040</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Backup and recovery verification and monitoring</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RSK-MES-017, RSK-MES-018, RSK-MES-024</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FS-MES-040</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DS-MES-040</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INT-MES-OPS-001</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URS-MES-041</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Operational execution reporting</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RSK-MES-003, RSK-MES-014, RSK-MES-023</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FS-MES-041</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DS-MES-041</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URS-MES-042</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Quality and review-by-exception reporting</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RSK-MES-003, RSK-MES-008, RSK-MES-023</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FS-MES-042</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DS-MES-042</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URS-MES-043</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Interface and exception reconciliation reporting</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RSK-MES-015, RSK-MES-022, RSK-MES-023</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FS-MES-043</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DS-MES-043</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URS-MES-044</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Controlled report and extract provenance</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RSK-MES-004, RSK-MES-010, RSK-MES-014, RSK-MES-023</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FS-MES-044</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DS-MES-044</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URS-MES-045</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Operational monitoring and alerting</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RSK-MES-006, RSK-MES-015, RSK-MES-016, RSK-MES-017, RSK-MES-019, RSK-MES-022</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FS-MES-045</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DS-MES-045</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INT-MES-OPS-001</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URS-MES-046</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Incident and problem control</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RSK-MES-016, RSK-MES-018, RSK-MES-022</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FS-MES-046</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DS-MES-046</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URS-MES-047</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Controlled change and configuration baseline</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RSK-MES-001, RSK-MES-010, RSK-MES-019, RSK-MES-021, RSK-MES-022, RSK-MES-026</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FS-MES-047</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DS-MES-047</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URS-MES-048</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Supplier and service-provider assurance</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RSK-MES-019, RSK-MES-020, RSK-MES-024, RSK-MES-025</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FS-MES-048</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DS-MES-048</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URS-MES-049</w:t>
            </w:r>
          </w:p>
        </w:tc>
        <w:tc>
          <w:tcPr>
            <w:tcW w:type="dxa" w:w="168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Periodic evaluation of continued fitness</w:t>
            </w:r>
          </w:p>
        </w:tc>
        <w:tc>
          <w:tcPr>
            <w:tcW w:type="dxa" w:w="15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RSK-MES-019, RSK-MES-020, RSK-MES-021, RSK-MES-022, RSK-MES-024, RSK-MES-025</w:t>
            </w:r>
            <w:r>
              <w:br/>
            </w:r>
            <w:r>
              <w:rPr>
                <w:rFonts w:ascii="Calibri" w:hAnsi="Calibri"/>
                <w:b w:val="0"/>
                <w:color w:val="203040"/>
                <w:sz w:val="12"/>
              </w:rPr>
              <w:t>Working High</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FS-MES-049</w:t>
            </w:r>
          </w:p>
        </w:tc>
        <w:tc>
          <w:tcPr>
            <w:tcW w:type="dxa" w:w="78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DS-MES-049</w:t>
            </w:r>
          </w:p>
        </w:tc>
        <w:tc>
          <w:tcPr>
            <w:tcW w:type="dxa" w:w="6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r>
        <w:trPr>
          <w:cantSplit/>
          <w:trHeight w:hRule="auto"/>
          <w:cantSplit/>
        </w:trPr>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URS-MES-050</w:t>
            </w:r>
          </w:p>
        </w:tc>
        <w:tc>
          <w:tcPr>
            <w:tcW w:type="dxa" w:w="168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Role-based training and controlled guidance</w:t>
            </w:r>
          </w:p>
        </w:tc>
        <w:tc>
          <w:tcPr>
            <w:tcW w:type="dxa" w:w="15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RSK-MES-005, RSK-MES-024</w:t>
            </w:r>
            <w:r>
              <w:br/>
            </w:r>
            <w:r>
              <w:rPr>
                <w:rFonts w:ascii="Calibri" w:hAnsi="Calibri"/>
                <w:b w:val="0"/>
                <w:color w:val="203040"/>
                <w:sz w:val="12"/>
              </w:rPr>
              <w:t>Working High</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FS-MES-050</w:t>
            </w:r>
          </w:p>
        </w:tc>
        <w:tc>
          <w:tcPr>
            <w:tcW w:type="dxa" w:w="78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DS-MES-050</w:t>
            </w:r>
          </w:p>
        </w:tc>
        <w:tc>
          <w:tcPr>
            <w:tcW w:type="dxa" w:w="6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2"/>
              </w:rPr>
              <w:t>Open</w:t>
            </w:r>
          </w:p>
        </w:tc>
        <w:tc>
          <w:tcPr>
            <w:tcW w:type="dxa" w:w="15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N/A / no direct interface</w:t>
            </w:r>
          </w:p>
        </w:tc>
        <w:tc>
          <w:tcPr>
            <w:tcW w:type="dxa" w:w="167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2"/>
              </w:rPr>
              <w:t>FS / IS / DS designed; CS and verification evidence open</w:t>
            </w:r>
          </w:p>
        </w:tc>
      </w:tr>
    </w:tbl>
    <w:p>
      <w:pPr>
        <w:spacing w:after="40" w:before="0"/>
      </w:pPr>
    </w:p>
    <w:p>
      <w:pPr>
        <w:pStyle w:val="Heading2"/>
        <w:keepNext/>
        <w:spacing w:before="100" w:after="80" w:line="252" w:lineRule="auto"/>
      </w:pPr>
      <w:r>
        <w:rPr>
          <w:rFonts w:ascii="Calibri" w:hAnsi="Calibri"/>
          <w:b/>
          <w:color w:val="2E74B5"/>
          <w:sz w:val="26"/>
        </w:rPr>
        <w:t>14.3 Traceability control conclusion</w:t>
      </w:r>
    </w:p>
    <w:p>
      <w:pPr>
        <w:keepNext w:val="0"/>
        <w:spacing w:before="80" w:after="80" w:line="240" w:lineRule="auto"/>
        <w:shd w:val="clear" w:color="auto" w:fill="EAF3F8"/>
        <w:pBdr>
          <w:top w:val="single" w:sz="4" w:space="3" w:color="B7C9D8"/>
          <w:left w:val="single" w:sz="4" w:space="3" w:color="B7C9D8"/>
          <w:bottom w:val="single" w:sz="4" w:space="3" w:color="B7C9D8"/>
          <w:right w:val="single" w:sz="4" w:space="3" w:color="B7C9D8"/>
        </w:pBdr>
        <w:ind w:left="120" w:right="120"/>
      </w:pPr>
      <w:r>
        <w:rPr>
          <w:rFonts w:ascii="Calibri" w:hAnsi="Calibri"/>
          <w:b w:val="0"/>
          <w:color w:val="0B2545"/>
          <w:sz w:val="17"/>
        </w:rPr>
        <w:t>Trace conclusion at DS stage: 50/50 URS have a controlled FS and DS; 60/60 detailed integration requirements are technically allocated; 26/26 shared risks have design realization. Traceability is not closed because configuration, implementation, code/supplier review where applicable, test IDs/results, exceptions and operational evidence remain open.</w:t>
      </w:r>
    </w:p>
    <w:p>
      <w:pPr>
        <w:spacing w:after="20"/>
      </w:pPr>
    </w:p>
    <w:p>
      <w:pPr>
        <w:pStyle w:val="Heading1"/>
        <w:keepNext/>
        <w:spacing w:before="160" w:after="80" w:line="252" w:lineRule="auto"/>
      </w:pPr>
      <w:r>
        <w:rPr>
          <w:rFonts w:ascii="Calibri" w:hAnsi="Calibri"/>
          <w:b/>
          <w:color w:val="2E74B5"/>
          <w:sz w:val="32"/>
        </w:rPr>
        <w:t>15 Assumptions, Verify register and design-quality gate</w:t>
      </w:r>
    </w:p>
    <w:p>
      <w:pPr>
        <w:pStyle w:val="Heading2"/>
        <w:keepNext/>
        <w:spacing w:before="100" w:after="80" w:line="252" w:lineRule="auto"/>
      </w:pPr>
      <w:r>
        <w:rPr>
          <w:rFonts w:ascii="Calibri" w:hAnsi="Calibri"/>
          <w:b/>
          <w:color w:val="2E74B5"/>
          <w:sz w:val="26"/>
        </w:rPr>
        <w:t>15.1 Controlled assumptions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300"/>
        <w:gridCol w:w="4750"/>
        <w:gridCol w:w="3310"/>
      </w:tblGrid>
      <w:tr>
        <w:trPr>
          <w:trHeight w:hRule="auto"/>
          <w:cantSplit/>
          <w:tblHeader w:val="true"/>
          <w:cantSplit/>
        </w:trPr>
        <w:tc>
          <w:tcPr>
            <w:tcW w:type="dxa" w:w="13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Assumption ID</w:t>
            </w:r>
          </w:p>
        </w:tc>
        <w:tc>
          <w:tcPr>
            <w:tcW w:type="dxa" w:w="47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Assumption</w:t>
            </w:r>
          </w:p>
        </w:tc>
        <w:tc>
          <w:tcPr>
            <w:tcW w:type="dxa" w:w="33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Required downstream handling</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ASM-DS-001</w:t>
            </w:r>
          </w:p>
        </w:tc>
        <w:tc>
          <w:tcPr>
            <w:tcW w:type="dxa" w:w="47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The URS/FS baseline remains exactly 001 to 050 during this design iteration.</w:t>
            </w:r>
          </w:p>
        </w:tc>
        <w:tc>
          <w:tcPr>
            <w:tcW w:type="dxa" w:w="33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Reassess DS, IS allocation, risks and traceability after an approved requirement change.</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ASM-DS-002</w:t>
            </w:r>
          </w:p>
        </w:tc>
        <w:tc>
          <w:tcPr>
            <w:tcW w:type="dxa" w:w="47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The eight established logical components remain the package architecture baseline.</w:t>
            </w:r>
          </w:p>
        </w:tc>
        <w:tc>
          <w:tcPr>
            <w:tcW w:type="dxa" w:w="33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Update SYS/IPLAN/FS/DS/CS/ITRA/TRM together if component boundaries change.</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ASM-DS-003</w:t>
            </w:r>
          </w:p>
        </w:tc>
        <w:tc>
          <w:tcPr>
            <w:tcW w:type="dxa" w:w="47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The seven established interface families and 60 detailed IS requirements remain authoritative.</w:t>
            </w:r>
          </w:p>
        </w:tc>
        <w:tc>
          <w:tcPr>
            <w:tcW w:type="dxa" w:w="33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Do not rename or add an interface without controlled source/consumer impact assessment.</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ASM-DS-004</w:t>
            </w:r>
          </w:p>
        </w:tc>
        <w:tc>
          <w:tcPr>
            <w:tcW w:type="dxa" w:w="47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Product capabilities described in FS/DS are planned and require selected-release confirmation.</w:t>
            </w:r>
          </w:p>
        </w:tc>
        <w:tc>
          <w:tcPr>
            <w:tcW w:type="dxa" w:w="33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Obtain supplier/product evidence before final design review and verification.</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ASM-DS-005</w:t>
            </w:r>
          </w:p>
        </w:tc>
        <w:tc>
          <w:tcPr>
            <w:tcW w:type="dxa" w:w="47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No production data, live credentials, real identities or actual regulated records are used in this dummy package.</w:t>
            </w:r>
          </w:p>
        </w:tc>
        <w:tc>
          <w:tcPr>
            <w:tcW w:type="dxa" w:w="33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Retain fictional content and use controlled test data only.</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ASM-DS-006</w:t>
            </w:r>
          </w:p>
        </w:tc>
        <w:tc>
          <w:tcPr>
            <w:tcW w:type="dxa" w:w="47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Custom-code applicability is not yet confirmed for every component.</w:t>
            </w:r>
          </w:p>
        </w:tc>
        <w:tc>
          <w:tcPr>
            <w:tcW w:type="dxa" w:w="33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Confirm SW category and apply unit specification/code review proportionate to risk.</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ASM-DS-007</w:t>
            </w:r>
          </w:p>
        </w:tc>
        <w:tc>
          <w:tcPr>
            <w:tcW w:type="dxa" w:w="475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Migration applicability is not yet confirmed.</w:t>
            </w:r>
          </w:p>
        </w:tc>
        <w:tc>
          <w:tcPr>
            <w:tcW w:type="dxa" w:w="33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If applicable, approve scope/mapping/reconciliation design and verification before use.</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ASM-DS-008</w:t>
            </w:r>
          </w:p>
        </w:tc>
        <w:tc>
          <w:tcPr>
            <w:tcW w:type="dxa" w:w="475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Simulated approval wording is a training artifact status only.</w:t>
            </w:r>
          </w:p>
        </w:tc>
        <w:tc>
          <w:tcPr>
            <w:tcW w:type="dxa" w:w="331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Never use this document as operational, regulatory, inspection or GxP release evidence.</w:t>
            </w:r>
          </w:p>
        </w:tc>
      </w:tr>
    </w:tbl>
    <w:p>
      <w:pPr>
        <w:spacing w:after="40" w:before="0"/>
      </w:pPr>
    </w:p>
    <w:p>
      <w:pPr>
        <w:pStyle w:val="Heading2"/>
        <w:keepNext/>
        <w:spacing w:before="100" w:after="80" w:line="252" w:lineRule="auto"/>
      </w:pPr>
      <w:r>
        <w:rPr>
          <w:rFonts w:ascii="Calibri" w:hAnsi="Calibri"/>
          <w:b/>
          <w:color w:val="2E74B5"/>
          <w:sz w:val="26"/>
        </w:rPr>
        <w:t>15.2 Verify register</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300"/>
        <w:gridCol w:w="4800"/>
        <w:gridCol w:w="3260"/>
      </w:tblGrid>
      <w:tr>
        <w:trPr>
          <w:trHeight w:hRule="auto"/>
          <w:cantSplit/>
          <w:tblHeader w:val="true"/>
          <w:cantSplit/>
        </w:trPr>
        <w:tc>
          <w:tcPr>
            <w:tcW w:type="dxa" w:w="13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Verify ID</w:t>
            </w:r>
          </w:p>
        </w:tc>
        <w:tc>
          <w:tcPr>
            <w:tcW w:type="dxa" w:w="4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Open technical/design item</w:t>
            </w:r>
          </w:p>
        </w:tc>
        <w:tc>
          <w:tcPr>
            <w:tcW w:type="dxa" w:w="32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Owner / resolution evidence / gate</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VRF-DS-001</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Selected PAS-X release, licensed modules, supplier support and functional fit.</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Solution Architect / supplier product baseline / before final design review</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VRF-DS-002</w:t>
            </w:r>
          </w:p>
        </w:tc>
        <w:tc>
          <w:tcPr>
            <w:tcW w:type="dxa" w:w="4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Software category 3/4/5 for each component and resulting configuration/unit/code-review evidence.</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Implementation Responsible + Quality / approved category decision / before build</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VRF-DS-003</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Operating system, database, middleware, runtime, reporting and integration product/version compatibility.</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Technical Leads / supported-platform matrix / before infrastructure build</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VRF-DS-004</w:t>
            </w:r>
          </w:p>
        </w:tc>
        <w:tc>
          <w:tcPr>
            <w:tcW w:type="dxa" w:w="4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Physical topology, network zones, hosts/clusters, availability pattern, storage and hardware sizing.</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Infrastructure Architect / approved architecture / before installation</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VRF-DS-005</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Interface protocols, services, endpoints, ports, firewall rules, certificate/key/trust values and owners.</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Integration + Security / physical interface design / before connectivity</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VRF-DS-006</w:t>
            </w:r>
          </w:p>
        </w:tc>
        <w:tc>
          <w:tcPr>
            <w:tcW w:type="dxa" w:w="4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Identity provider, authentication/SSO/MFA, session/lockout, claim mapping and service-account controls.</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IAM + Security / approved access design / before configuration</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VRF-DS-007</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Privileged access, vault/credential rotation, break-glass and administrative review design.</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Security + System Owner / approved privileged-access design / before PROD</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VRF-DS-008</w:t>
            </w:r>
          </w:p>
        </w:tc>
        <w:tc>
          <w:tcPr>
            <w:tcW w:type="dxa" w:w="4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Enterprise time source, hierarchy, timezone display, drift tolerance, alert and recovery values.</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Infrastructure Owner / approved time design / before integrated testing</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VRF-DS-009</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Regulated signature events, meanings, re-authentication and technical binding mechanism.</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Business + Quality + Security / approved signature matrix / before configuration</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VRF-DS-010</w:t>
            </w:r>
          </w:p>
        </w:tc>
        <w:tc>
          <w:tcPr>
            <w:tcW w:type="dxa" w:w="4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Complete regulated audit-event catalogue, reason rules, retention, privileged protection and review frequencies.</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Data Owner + Quality / approved audit design / before configuration</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VRF-DS-011</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Logical/physical data schema, retention/archive values, encryption, record growth and database maintenance.</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Data/DB Lead / approved data design / before build</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VRF-DS-012</w:t>
            </w:r>
          </w:p>
        </w:tc>
        <w:tc>
          <w:tcPr>
            <w:tcW w:type="dxa" w:w="4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Backup products, protected objects, schedules, retention, encryption/access, RPO/RTO and restore/failover design.</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Continuity Owner / approved continuity design / before verification</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VRF-DS-013</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Availability, performance, volume, concurrency, queue/backlog, capacity and scalability targets.</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Business + Technical Owners / approved NFR baseline / before performance design</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VRF-DS-014</w:t>
            </w:r>
          </w:p>
        </w:tc>
        <w:tc>
          <w:tcPr>
            <w:tcW w:type="dxa" w:w="4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Monitoring sources, thresholds, routing, escalation, maintenance suppression and evidence retention.</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Operations Owner / approved monitoring design / before operational readiness</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VRF-DS-015</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Configuration versus custom-code allocation and the controlled repository/build/deployment toolchain.</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Technical Lead / implementation baseline / before build</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VRF-DS-016</w:t>
            </w:r>
          </w:p>
        </w:tc>
        <w:tc>
          <w:tcPr>
            <w:tcW w:type="dxa" w:w="4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Deployment order, release manifest, environment segregation, rollback/fallback and post-deploy checks.</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Release Manager / approved deployment plan / before release rehearsal</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VRF-DS-017</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Migration/initial-load applicability, scope, mapping, trial/reconciliation and exception handling.</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Data Owner / approved migration decision and plan / before data load</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VRF-DS-018</w:t>
            </w:r>
          </w:p>
        </w:tc>
        <w:tc>
          <w:tcPr>
            <w:tcW w:type="dxa" w:w="4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Report/view catalogue, formats, schedules, freshness, controlled copy/export and provenance requirements.</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Business/Data Owners / approved reporting catalogue / before configuration</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VRF-DS-019</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Security, privacy and data-integrity assessment conclusions and required design controls.</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Security/Privacy/Quality / approved assessments / before final design review</w:t>
            </w:r>
          </w:p>
        </w:tc>
      </w:tr>
      <w:tr>
        <w:trPr>
          <w:cantSplit/>
          <w:trHeight w:hRule="auto"/>
          <w:cantSplit/>
        </w:trPr>
        <w:tc>
          <w:tcPr>
            <w:tcW w:type="dxa" w:w="130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VRF-DS-020</w:t>
            </w:r>
          </w:p>
        </w:tc>
        <w:tc>
          <w:tcPr>
            <w:tcW w:type="dxa" w:w="4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Final design review scope, participants, supporting drafts, findings/actions and approved report.</w:t>
            </w:r>
          </w:p>
        </w:tc>
        <w:tc>
          <w:tcPr>
            <w:tcW w:type="dxa" w:w="32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Implementation Responsible + Quality / DRR / before acceptance verification</w:t>
            </w:r>
          </w:p>
        </w:tc>
      </w:tr>
      <w:tr>
        <w:trPr>
          <w:cantSplit/>
          <w:trHeight w:hRule="auto"/>
          <w:cantSplit/>
        </w:trPr>
        <w:tc>
          <w:tcPr>
            <w:tcW w:type="dxa" w:w="13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VRF-DS-021</w:t>
            </w:r>
          </w:p>
        </w:tc>
        <w:tc>
          <w:tcPr>
            <w:tcW w:type="dxa" w:w="4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Supplier design, unit-test, build, code-review and component-assurance evidence applicable to selected components.</w:t>
            </w:r>
          </w:p>
        </w:tc>
        <w:tc>
          <w:tcPr>
            <w:tcW w:type="dxa" w:w="32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Supplier + Technical Lead / accepted evidence / before acceptance verification</w:t>
            </w:r>
          </w:p>
        </w:tc>
      </w:tr>
    </w:tbl>
    <w:p>
      <w:pPr>
        <w:spacing w:after="40" w:before="0"/>
      </w:pPr>
    </w:p>
    <w:p>
      <w:pPr>
        <w:pStyle w:val="Heading2"/>
        <w:keepNext/>
        <w:spacing w:before="100" w:after="80" w:line="252" w:lineRule="auto"/>
      </w:pPr>
      <w:r>
        <w:rPr>
          <w:rFonts w:ascii="Calibri" w:hAnsi="Calibri"/>
          <w:b/>
          <w:color w:val="2E74B5"/>
          <w:sz w:val="26"/>
        </w:rPr>
        <w:t>15.3 Design Specification quality gate</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550"/>
        <w:gridCol w:w="3900"/>
        <w:gridCol w:w="1450"/>
        <w:gridCol w:w="3460"/>
      </w:tblGrid>
      <w:tr>
        <w:trPr>
          <w:trHeight w:hRule="auto"/>
          <w:cantSplit/>
          <w:tblHeader w:val="true"/>
          <w:cantSplit/>
        </w:trPr>
        <w:tc>
          <w:tcPr>
            <w:tcW w:type="dxa" w:w="5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No.</w:t>
            </w:r>
          </w:p>
        </w:tc>
        <w:tc>
          <w:tcPr>
            <w:tcW w:type="dxa" w:w="39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Quality gate</w:t>
            </w:r>
          </w:p>
        </w:tc>
        <w:tc>
          <w:tcPr>
            <w:tcW w:type="dxa" w:w="14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Result</w:t>
            </w:r>
          </w:p>
        </w:tc>
        <w:tc>
          <w:tcPr>
            <w:tcW w:type="dxa" w:w="34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Evidence</w:t>
            </w:r>
          </w:p>
        </w:tc>
      </w:tr>
      <w:tr>
        <w:trPr>
          <w:cantSplit/>
          <w:trHeight w:hRule="auto"/>
          <w:cantSplit/>
        </w:trPr>
        <w:tc>
          <w:tcPr>
            <w:tcW w:type="dxa" w:w="5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1</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Correct document identity, exact simulated status and exact footer disclaimer.</w:t>
            </w:r>
          </w:p>
        </w:tc>
        <w:tc>
          <w:tcPr>
            <w:tcW w:type="dxa" w:w="14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w:t>
            </w:r>
          </w:p>
        </w:tc>
        <w:tc>
          <w:tcPr>
            <w:tcW w:type="dxa" w:w="34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NL-MES-DS-001; v0.1; mandatory wording retained.</w:t>
            </w:r>
          </w:p>
        </w:tc>
      </w:tr>
      <w:tr>
        <w:trPr>
          <w:cantSplit/>
          <w:trHeight w:hRule="auto"/>
          <w:cantSplit/>
        </w:trPr>
        <w:tc>
          <w:tcPr>
            <w:tcW w:type="dxa" w:w="5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2</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Controlled source/template choice and visible metadata documented.</w:t>
            </w:r>
          </w:p>
        </w:tc>
        <w:tc>
          <w:tcPr>
            <w:tcW w:type="dxa" w:w="14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w:t>
            </w:r>
          </w:p>
        </w:tc>
        <w:tc>
          <w:tcPr>
            <w:tcW w:type="dxa" w:w="34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Q0803993, Q0723392, Q0749711 and relevant approved guidance recorded.</w:t>
            </w:r>
          </w:p>
        </w:tc>
      </w:tr>
      <w:tr>
        <w:trPr>
          <w:cantSplit/>
          <w:trHeight w:hRule="auto"/>
          <w:cantSplit/>
        </w:trPr>
        <w:tc>
          <w:tcPr>
            <w:tcW w:type="dxa" w:w="5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3</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Exactly 50 DS identifiers with no gap or duplicate.</w:t>
            </w:r>
          </w:p>
        </w:tc>
        <w:tc>
          <w:tcPr>
            <w:tcW w:type="dxa" w:w="14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w:t>
            </w:r>
          </w:p>
        </w:tc>
        <w:tc>
          <w:tcPr>
            <w:tcW w:type="dxa" w:w="34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DS-MES-001 to DS-MES-050.</w:t>
            </w:r>
          </w:p>
        </w:tc>
      </w:tr>
      <w:tr>
        <w:trPr>
          <w:cantSplit/>
          <w:trHeight w:hRule="auto"/>
          <w:cantSplit/>
        </w:trPr>
        <w:tc>
          <w:tcPr>
            <w:tcW w:type="dxa" w:w="5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4</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One-to-one URS -&gt; FS -&gt; DS trace.</w:t>
            </w:r>
          </w:p>
        </w:tc>
        <w:tc>
          <w:tcPr>
            <w:tcW w:type="dxa" w:w="14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w:t>
            </w:r>
          </w:p>
        </w:tc>
        <w:tc>
          <w:tcPr>
            <w:tcW w:type="dxa" w:w="34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50/50 current requirements mapped.</w:t>
            </w:r>
          </w:p>
        </w:tc>
      </w:tr>
      <w:tr>
        <w:trPr>
          <w:cantSplit/>
          <w:trHeight w:hRule="auto"/>
          <w:cantSplit/>
        </w:trPr>
        <w:tc>
          <w:tcPr>
            <w:tcW w:type="dxa" w:w="5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5</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 detailed integration requirements allocated.</w:t>
            </w:r>
          </w:p>
        </w:tc>
        <w:tc>
          <w:tcPr>
            <w:tcW w:type="dxa" w:w="14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w:t>
            </w:r>
          </w:p>
        </w:tc>
        <w:tc>
          <w:tcPr>
            <w:tcW w:type="dxa" w:w="34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60/60 INT-MES-* rows across ERP/LIMS/AUT/HIS/IAM/TIM/OPS.</w:t>
            </w:r>
          </w:p>
        </w:tc>
      </w:tr>
      <w:tr>
        <w:trPr>
          <w:cantSplit/>
          <w:trHeight w:hRule="auto"/>
          <w:cantSplit/>
        </w:trPr>
        <w:tc>
          <w:tcPr>
            <w:tcW w:type="dxa" w:w="5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6</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Shared risk namespace retained and controls realised.</w:t>
            </w:r>
          </w:p>
        </w:tc>
        <w:tc>
          <w:tcPr>
            <w:tcW w:type="dxa" w:w="14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w:t>
            </w:r>
          </w:p>
        </w:tc>
        <w:tc>
          <w:tcPr>
            <w:tcW w:type="dxa" w:w="34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RSK-MES-001 to 026 only; 26/26 design entries.</w:t>
            </w:r>
          </w:p>
        </w:tc>
      </w:tr>
      <w:tr>
        <w:trPr>
          <w:cantSplit/>
          <w:trHeight w:hRule="auto"/>
          <w:cantSplit/>
        </w:trPr>
        <w:tc>
          <w:tcPr>
            <w:tcW w:type="dxa" w:w="5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7</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Residual risk and effectiveness not overstated.</w:t>
            </w:r>
          </w:p>
        </w:tc>
        <w:tc>
          <w:tcPr>
            <w:tcW w:type="dxa" w:w="14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w:t>
            </w:r>
          </w:p>
        </w:tc>
        <w:tc>
          <w:tcPr>
            <w:tcW w:type="dxa" w:w="34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All risks remain Open; residual rating/acceptance pending.</w:t>
            </w:r>
          </w:p>
        </w:tc>
      </w:tr>
      <w:tr>
        <w:trPr>
          <w:cantSplit/>
          <w:trHeight w:hRule="auto"/>
          <w:cantSplit/>
        </w:trPr>
        <w:tc>
          <w:tcPr>
            <w:tcW w:type="dxa" w:w="5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8</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Architecture/component/environment consistency.</w:t>
            </w:r>
          </w:p>
        </w:tc>
        <w:tc>
          <w:tcPr>
            <w:tcW w:type="dxa" w:w="14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w:t>
            </w:r>
          </w:p>
        </w:tc>
        <w:tc>
          <w:tcPr>
            <w:tcW w:type="dxa" w:w="34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8 established components; DEV, TEST/VAL, PROD and DR concepts.</w:t>
            </w:r>
          </w:p>
        </w:tc>
      </w:tr>
      <w:tr>
        <w:trPr>
          <w:cantSplit/>
          <w:trHeight w:hRule="auto"/>
          <w:cantSplit/>
        </w:trPr>
        <w:tc>
          <w:tcPr>
            <w:tcW w:type="dxa" w:w="5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9</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No unsupported technical values invented.</w:t>
            </w:r>
          </w:p>
        </w:tc>
        <w:tc>
          <w:tcPr>
            <w:tcW w:type="dxa" w:w="14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w:t>
            </w:r>
          </w:p>
        </w:tc>
        <w:tc>
          <w:tcPr>
            <w:tcW w:type="dxa" w:w="34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Products, versions, topology, protocols, ports, certificates, sizing and thresholds remain Verify.</w:t>
            </w:r>
          </w:p>
        </w:tc>
      </w:tr>
      <w:tr>
        <w:trPr>
          <w:cantSplit/>
          <w:trHeight w:hRule="auto"/>
          <w:cantSplit/>
        </w:trPr>
        <w:tc>
          <w:tcPr>
            <w:tcW w:type="dxa" w:w="5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10</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Sixteen-field live trace state updated.</w:t>
            </w:r>
          </w:p>
        </w:tc>
        <w:tc>
          <w:tcPr>
            <w:tcW w:type="dxa" w:w="14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w:t>
            </w:r>
          </w:p>
        </w:tc>
        <w:tc>
          <w:tcPr>
            <w:tcW w:type="dxa" w:w="34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DS populated; CS/test/operational evidence open.</w:t>
            </w:r>
          </w:p>
        </w:tc>
      </w:tr>
      <w:tr>
        <w:trPr>
          <w:cantSplit/>
          <w:trHeight w:hRule="auto"/>
          <w:cantSplit/>
        </w:trPr>
        <w:tc>
          <w:tcPr>
            <w:tcW w:type="dxa" w:w="5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11</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Design-review criteria addressed.</w:t>
            </w:r>
          </w:p>
        </w:tc>
        <w:tc>
          <w:tcPr>
            <w:tcW w:type="dxa" w:w="14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w:t>
            </w:r>
          </w:p>
        </w:tc>
        <w:tc>
          <w:tcPr>
            <w:tcW w:type="dxa" w:w="34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Complete/correct/consistent/unambiguous/feasible/maintainable/trace/risk evidence table.</w:t>
            </w:r>
          </w:p>
        </w:tc>
      </w:tr>
      <w:tr>
        <w:trPr>
          <w:cantSplit/>
          <w:trHeight w:hRule="auto"/>
          <w:cantSplit/>
        </w:trPr>
        <w:tc>
          <w:tcPr>
            <w:tcW w:type="dxa" w:w="5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12</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Accessibility and semantic structure.</w:t>
            </w:r>
          </w:p>
        </w:tc>
        <w:tc>
          <w:tcPr>
            <w:tcW w:type="dxa" w:w="14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 after final audit</w:t>
            </w:r>
          </w:p>
        </w:tc>
        <w:tc>
          <w:tcPr>
            <w:tcW w:type="dxa" w:w="34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Heading hierarchy, real lists, repeated table headers and no images requiring alt text.</w:t>
            </w:r>
          </w:p>
        </w:tc>
      </w:tr>
      <w:tr>
        <w:trPr>
          <w:cantSplit/>
          <w:trHeight w:hRule="auto"/>
          <w:cantSplit/>
        </w:trPr>
        <w:tc>
          <w:tcPr>
            <w:tcW w:type="dxa" w:w="5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13</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Privacy and dummy-content control.</w:t>
            </w:r>
          </w:p>
        </w:tc>
        <w:tc>
          <w:tcPr>
            <w:tcW w:type="dxa" w:w="14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 after final audit</w:t>
            </w:r>
          </w:p>
        </w:tc>
        <w:tc>
          <w:tcPr>
            <w:tcW w:type="dxa" w:w="34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No author metadata, real names, signatures, live credentials or actual record identifiers.</w:t>
            </w:r>
          </w:p>
        </w:tc>
      </w:tr>
      <w:tr>
        <w:trPr>
          <w:cantSplit/>
          <w:trHeight w:hRule="auto"/>
          <w:cantSplit/>
        </w:trPr>
        <w:tc>
          <w:tcPr>
            <w:tcW w:type="dxa" w:w="5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14</w:t>
            </w:r>
          </w:p>
        </w:tc>
        <w:tc>
          <w:tcPr>
            <w:tcW w:type="dxa" w:w="39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Template/package fidelity.</w:t>
            </w:r>
          </w:p>
        </w:tc>
        <w:tc>
          <w:tcPr>
            <w:tcW w:type="dxa" w:w="1450"/>
            <w:shd w:fill="F5F9FC"/>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 after final audit</w:t>
            </w:r>
          </w:p>
        </w:tc>
        <w:tc>
          <w:tcPr>
            <w:tcW w:type="dxa" w:w="34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Reference body/header-ID/settings edit only; preserve-only parts unchanged.</w:t>
            </w:r>
          </w:p>
        </w:tc>
      </w:tr>
      <w:tr>
        <w:trPr>
          <w:cantSplit/>
          <w:trHeight w:hRule="auto"/>
          <w:cantSplit/>
        </w:trPr>
        <w:tc>
          <w:tcPr>
            <w:tcW w:type="dxa" w:w="5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15</w:t>
            </w:r>
          </w:p>
        </w:tc>
        <w:tc>
          <w:tcPr>
            <w:tcW w:type="dxa" w:w="39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Full render and delivered-copy comparison.</w:t>
            </w:r>
          </w:p>
        </w:tc>
        <w:tc>
          <w:tcPr>
            <w:tcW w:type="dxa" w:w="14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3"/>
              </w:rPr>
              <w:t>Pass after final audit</w:t>
            </w:r>
          </w:p>
        </w:tc>
        <w:tc>
          <w:tcPr>
            <w:tcW w:type="dxa" w:w="34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3"/>
              </w:rPr>
              <w:t>Every page visually inspected; delivered raster must match approved working copy.</w:t>
            </w:r>
          </w:p>
        </w:tc>
      </w:tr>
    </w:tbl>
    <w:p>
      <w:pPr>
        <w:spacing w:after="40" w:before="0"/>
      </w:pPr>
    </w:p>
    <w:p>
      <w:pPr>
        <w:pStyle w:val="Heading1"/>
        <w:keepNext/>
        <w:spacing w:before="160" w:after="80" w:line="252" w:lineRule="auto"/>
      </w:pPr>
      <w:r>
        <w:rPr>
          <w:rFonts w:ascii="Calibri" w:hAnsi="Calibri"/>
          <w:b/>
          <w:color w:val="2E74B5"/>
          <w:sz w:val="32"/>
        </w:rPr>
        <w:t>16 Glossary, enclosures and final controlled status</w:t>
      </w:r>
    </w:p>
    <w:p>
      <w:pPr>
        <w:pStyle w:val="Heading2"/>
        <w:keepNext/>
        <w:spacing w:before="100" w:after="80" w:line="252" w:lineRule="auto"/>
      </w:pPr>
      <w:r>
        <w:rPr>
          <w:rFonts w:ascii="Calibri" w:hAnsi="Calibri"/>
          <w:b/>
          <w:color w:val="2E74B5"/>
          <w:sz w:val="26"/>
        </w:rPr>
        <w:t>16.1 Definitions and abbreviations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1800"/>
        <w:gridCol w:w="7560"/>
      </w:tblGrid>
      <w:tr>
        <w:trPr>
          <w:trHeight w:hRule="auto"/>
          <w:cantSplit/>
          <w:tblHeader w:val="true"/>
          <w:cantSplit/>
        </w:trPr>
        <w:tc>
          <w:tcPr>
            <w:tcW w:type="dxa" w:w="18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Term</w:t>
            </w:r>
          </w:p>
        </w:tc>
        <w:tc>
          <w:tcPr>
            <w:tcW w:type="dxa" w:w="75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Meaning in this document</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ALCOA+</w:t>
            </w:r>
          </w:p>
        </w:tc>
        <w:tc>
          <w:tcPr>
            <w:tcW w:type="dxa" w:w="75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Attributable, legible, contemporaneous, original/verified copy, accurate, complete, consistent, enduring and available data principles.</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As-built</w:t>
            </w:r>
          </w:p>
        </w:tc>
        <w:tc>
          <w:tcPr>
            <w:tcW w:type="dxa" w:w="75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 record of actual implemented technical values and topology; this DS is not an as-built document.</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Design element</w:t>
            </w:r>
          </w:p>
        </w:tc>
        <w:tc>
          <w:tcPr>
            <w:tcW w:type="dxa" w:w="75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 uniquely identified technical requirement, DS-MES-###, that expands the corresponding FS/URS and can be verified.</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DR</w:t>
            </w:r>
          </w:p>
        </w:tc>
        <w:tc>
          <w:tcPr>
            <w:tcW w:type="dxa" w:w="75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Disaster recovery capability/environment; exact architecture and invocation remain Verify.</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EBR</w:t>
            </w:r>
          </w:p>
        </w:tc>
        <w:tc>
          <w:tcPr>
            <w:tcW w:type="dxa" w:w="75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Electronic batch record.</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Idempotency</w:t>
            </w:r>
          </w:p>
        </w:tc>
        <w:tc>
          <w:tcPr>
            <w:tcW w:type="dxa" w:w="75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 property ensuring a repeated request or message does not create a second unintended business effect.</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Integration control plane</w:t>
            </w:r>
          </w:p>
        </w:tc>
        <w:tc>
          <w:tcPr>
            <w:tcW w:type="dxa" w:w="75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Logical shared services for contracts, security, state, mapping, queues, acknowledgement, reconciliation, monitoring and recovery.</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MES</w:t>
            </w:r>
          </w:p>
        </w:tc>
        <w:tc>
          <w:tcPr>
            <w:tcW w:type="dxa" w:w="75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Manufacturing Execution System.</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PAS-X</w:t>
            </w:r>
          </w:p>
        </w:tc>
        <w:tc>
          <w:tcPr>
            <w:tcW w:type="dxa" w:w="75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The planned MES product family; exact release/modules and supported configuration remain Verify.</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RBAC / SoD</w:t>
            </w:r>
          </w:p>
        </w:tc>
        <w:tc>
          <w:tcPr>
            <w:tcW w:type="dxa" w:w="75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Role-based access control / segregation of duties.</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RPO / RTO</w:t>
            </w:r>
          </w:p>
        </w:tc>
        <w:tc>
          <w:tcPr>
            <w:tcW w:type="dxa" w:w="75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Recovery point objective / recovery time objective; quantitative values remain Verify.</w:t>
            </w:r>
          </w:p>
        </w:tc>
      </w:tr>
      <w:tr>
        <w:trPr>
          <w:cantSplit/>
          <w:trHeight w:hRule="auto"/>
          <w:cantSplit/>
        </w:trPr>
        <w:tc>
          <w:tcPr>
            <w:tcW w:type="dxa" w:w="180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SW category</w:t>
            </w:r>
          </w:p>
        </w:tc>
        <w:tc>
          <w:tcPr>
            <w:tcW w:type="dxa" w:w="7560"/>
            <w:shd w:fill="F5F9FC"/>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Lifecycle categorisation of non-configured, configured or customised software components; per-component outcome remains Verify.</w:t>
            </w:r>
          </w:p>
        </w:tc>
      </w:tr>
      <w:tr>
        <w:trPr>
          <w:cantSplit/>
          <w:trHeight w:hRule="auto"/>
          <w:cantSplit/>
        </w:trPr>
        <w:tc>
          <w:tcPr>
            <w:tcW w:type="dxa" w:w="18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Verify</w:t>
            </w:r>
          </w:p>
        </w:tc>
        <w:tc>
          <w:tcPr>
            <w:tcW w:type="dxa" w:w="75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An unresolved item requiring controlled confirmation and objective evidence before the stated gate.</w:t>
            </w:r>
          </w:p>
        </w:tc>
      </w:tr>
    </w:tbl>
    <w:p>
      <w:pPr>
        <w:spacing w:after="40" w:before="0"/>
      </w:pPr>
    </w:p>
    <w:p>
      <w:pPr>
        <w:pStyle w:val="Heading2"/>
        <w:keepNext/>
        <w:spacing w:before="100" w:after="80" w:line="252" w:lineRule="auto"/>
      </w:pPr>
      <w:r>
        <w:rPr>
          <w:rFonts w:ascii="Calibri" w:hAnsi="Calibri"/>
          <w:b/>
          <w:color w:val="2E74B5"/>
          <w:sz w:val="26"/>
        </w:rPr>
        <w:t>16.2 Enclosures</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700"/>
        <w:gridCol w:w="3000"/>
        <w:gridCol w:w="5660"/>
      </w:tblGrid>
      <w:tr>
        <w:trPr>
          <w:trHeight w:hRule="auto"/>
          <w:cantSplit/>
          <w:tblHeader w:val="true"/>
          <w:cantSplit/>
        </w:trPr>
        <w:tc>
          <w:tcPr>
            <w:tcW w:type="dxa" w:w="7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No.</w:t>
            </w:r>
          </w:p>
        </w:tc>
        <w:tc>
          <w:tcPr>
            <w:tcW w:type="dxa" w:w="30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Enclosure</w:t>
            </w:r>
          </w:p>
        </w:tc>
        <w:tc>
          <w:tcPr>
            <w:tcW w:type="dxa" w:w="566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State</w:t>
            </w:r>
          </w:p>
        </w:tc>
      </w:tr>
      <w:tr>
        <w:trPr>
          <w:cantSplit/>
          <w:trHeight w:hRule="auto"/>
          <w:cantSplit/>
        </w:trPr>
        <w:tc>
          <w:tcPr>
            <w:tcW w:type="dxa" w:w="7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1</w:t>
            </w:r>
          </w:p>
        </w:tc>
        <w:tc>
          <w:tcPr>
            <w:tcW w:type="dxa" w:w="30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None</w:t>
            </w:r>
          </w:p>
        </w:tc>
        <w:tc>
          <w:tcPr>
            <w:tcW w:type="dxa" w:w="566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All design and traceability content is contained in this document; external source documents remain controlled references.</w:t>
            </w:r>
          </w:p>
        </w:tc>
      </w:tr>
    </w:tbl>
    <w:p>
      <w:pPr>
        <w:spacing w:after="40" w:before="0"/>
      </w:pPr>
    </w:p>
    <w:p>
      <w:pPr>
        <w:pStyle w:val="Heading2"/>
        <w:keepNext/>
        <w:spacing w:before="100" w:after="80" w:line="252" w:lineRule="auto"/>
      </w:pPr>
      <w:r>
        <w:rPr>
          <w:rFonts w:ascii="Calibri" w:hAnsi="Calibri"/>
          <w:b/>
          <w:color w:val="2E74B5"/>
          <w:sz w:val="26"/>
        </w:rPr>
        <w:t>16.3 Final controlled status</w:t>
      </w:r>
    </w:p>
    <w:p>
      <w:pPr>
        <w:keepNext w:val="0"/>
        <w:spacing w:before="80" w:after="80" w:line="240" w:lineRule="auto"/>
        <w:shd w:val="clear" w:color="auto" w:fill="EAF3F8"/>
        <w:pBdr>
          <w:top w:val="single" w:sz="4" w:space="3" w:color="B7C9D8"/>
          <w:left w:val="single" w:sz="4" w:space="3" w:color="B7C9D8"/>
          <w:bottom w:val="single" w:sz="4" w:space="3" w:color="B7C9D8"/>
          <w:right w:val="single" w:sz="4" w:space="3" w:color="B7C9D8"/>
        </w:pBdr>
        <w:ind w:left="120" w:right="120"/>
      </w:pPr>
      <w:r>
        <w:rPr>
          <w:rFonts w:ascii="Calibri" w:hAnsi="Calibri"/>
          <w:b w:val="0"/>
          <w:color w:val="0B2545"/>
          <w:sz w:val="17"/>
        </w:rPr>
        <w:t>Controlled status: Simulated Reviewed and Approved for Demo/Training Use Only. The document is a fictional training artifact. It does not prove implementation, validation, code review, test execution, residual-risk acceptance, release or operational readiness.</w:t>
      </w:r>
    </w:p>
    <w:p>
      <w:pPr>
        <w:spacing w:after="20"/>
      </w:pPr>
    </w:p>
    <w:p>
      <w:pPr>
        <w:pStyle w:val="Heading2"/>
        <w:keepNext/>
        <w:spacing w:before="100" w:after="80" w:line="252" w:lineRule="auto"/>
      </w:pPr>
      <w:r>
        <w:rPr>
          <w:rFonts w:ascii="Calibri" w:hAnsi="Calibri"/>
          <w:b/>
          <w:color w:val="2E74B5"/>
          <w:sz w:val="26"/>
        </w:rPr>
        <w:t>16.4 Change record</w:t>
      </w:r>
    </w:p>
    <w:tbl>
      <w:tblPr>
        <w:tblW w:type="dxa" w:w="9360"/>
        <w:tblLayout w:type="fixed"/>
        <w:tblLook w:firstColumn="1" w:firstRow="1" w:lastColumn="0" w:lastRow="0" w:noHBand="0" w:noVBand="1" w:val="04A0"/>
        <w:jc w:val="left"/>
        <w:tblInd w:w="120" w:type="dxa"/>
        <w:tblBorders>
          <w:top w:val="single" w:sz="4" w:color="B7C9D8"/>
          <w:left w:val="single" w:sz="4" w:color="B7C9D8"/>
          <w:bottom w:val="single" w:sz="4" w:color="B7C9D8"/>
          <w:right w:val="single" w:sz="4" w:color="B7C9D8"/>
          <w:insideH w:val="single" w:sz="4" w:color="B7C9D8"/>
          <w:insideV w:val="single" w:sz="4" w:color="B7C9D8"/>
        </w:tblBorders>
      </w:tblPr>
      <w:tblGrid>
        <w:gridCol w:w="850"/>
        <w:gridCol w:w="1100"/>
        <w:gridCol w:w="5100"/>
        <w:gridCol w:w="2310"/>
      </w:tblGrid>
      <w:tr>
        <w:trPr>
          <w:trHeight w:hRule="auto"/>
          <w:cantSplit/>
          <w:tblHeader w:val="true"/>
          <w:cantSplit/>
        </w:trPr>
        <w:tc>
          <w:tcPr>
            <w:tcW w:type="dxa" w:w="85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Version</w:t>
            </w:r>
          </w:p>
        </w:tc>
        <w:tc>
          <w:tcPr>
            <w:tcW w:type="dxa" w:w="11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Date</w:t>
            </w:r>
          </w:p>
        </w:tc>
        <w:tc>
          <w:tcPr>
            <w:tcW w:type="dxa" w:w="510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Change</w:t>
            </w:r>
          </w:p>
        </w:tc>
        <w:tc>
          <w:tcPr>
            <w:tcW w:type="dxa" w:w="2310"/>
            <w:tcMar>
              <w:top w:w="80" w:type="dxa"/>
              <w:start w:w="90" w:type="dxa"/>
              <w:bottom w:w="80" w:type="dxa"/>
              <w:end w:w="90" w:type="dxa"/>
            </w:tcMar>
            <w:shd w:fill="D9EAF7"/>
            <w:vAlign w:val="center"/>
          </w:tcPr>
          <w:p>
            <w:pPr>
              <w:keepNext w:val="0"/>
              <w:spacing w:before="0" w:after="0" w:line="240" w:lineRule="auto"/>
              <w:jc w:val="center"/>
            </w:pPr>
            <w:r/>
            <w:r>
              <w:rPr>
                <w:rFonts w:ascii="Calibri" w:hAnsi="Calibri"/>
                <w:b/>
                <w:color w:val="0B2545"/>
                <w:sz w:val="15"/>
              </w:rPr>
              <w:t>Simulated status</w:t>
            </w:r>
          </w:p>
        </w:tc>
      </w:tr>
      <w:tr>
        <w:trPr>
          <w:cantSplit/>
          <w:trHeight w:hRule="auto"/>
          <w:cantSplit/>
        </w:trPr>
        <w:tc>
          <w:tcPr>
            <w:tcW w:type="dxa" w:w="85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0.1</w:t>
            </w:r>
          </w:p>
        </w:tc>
        <w:tc>
          <w:tcPr>
            <w:tcW w:type="dxa" w:w="1100"/>
            <w:vAlign w:val="center"/>
            <w:tcMar>
              <w:top w:w="80" w:type="dxa"/>
              <w:start w:w="90" w:type="dxa"/>
              <w:bottom w:w="80" w:type="dxa"/>
              <w:end w:w="90" w:type="dxa"/>
            </w:tcMar>
          </w:tcPr>
          <w:p>
            <w:pPr>
              <w:keepNext w:val="0"/>
              <w:spacing w:before="0" w:after="0" w:line="240" w:lineRule="auto"/>
              <w:jc w:val="center"/>
            </w:pPr>
            <w:r/>
            <w:r>
              <w:rPr>
                <w:rFonts w:ascii="Calibri" w:hAnsi="Calibri"/>
                <w:b w:val="0"/>
                <w:color w:val="203040"/>
                <w:sz w:val="14"/>
              </w:rPr>
              <w:t>10 Aug 2026</w:t>
            </w:r>
          </w:p>
        </w:tc>
        <w:tc>
          <w:tcPr>
            <w:tcW w:type="dxa" w:w="510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Initial dummy Design Specification with 50 DS records, 60 integration allocations, 26 risk realizations and updated live traceability.</w:t>
            </w:r>
          </w:p>
        </w:tc>
        <w:tc>
          <w:tcPr>
            <w:tcW w:type="dxa" w:w="2310"/>
            <w:vAlign w:val="center"/>
            <w:tcMar>
              <w:top w:w="80" w:type="dxa"/>
              <w:start w:w="90" w:type="dxa"/>
              <w:bottom w:w="80" w:type="dxa"/>
              <w:end w:w="90" w:type="dxa"/>
            </w:tcMar>
          </w:tcPr>
          <w:p>
            <w:pPr>
              <w:keepNext w:val="0"/>
              <w:spacing w:before="0" w:after="0" w:line="240" w:lineRule="auto"/>
              <w:jc w:val="left"/>
            </w:pPr>
            <w:r/>
            <w:r>
              <w:rPr>
                <w:rFonts w:ascii="Calibri" w:hAnsi="Calibri"/>
                <w:b w:val="0"/>
                <w:color w:val="203040"/>
                <w:sz w:val="14"/>
              </w:rPr>
              <w:t>Simulated Reviewed and Approved for Demo/Training Use Only.</w:t>
            </w:r>
          </w:p>
        </w:tc>
      </w:tr>
    </w:tbl>
    <w:p>
      <w:pPr>
        <w:spacing w:after="40" w:before="0"/>
      </w:pPr>
    </w:p>
    <w:sectPr>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3E6A" w14:textId="77777777">
      <w:pPr>
        <w:spacing w:after="0" w:line="240" w:lineRule="auto"/>
      </w:pPr>
      <w:r>
        <w:separator/>
      </w:r>
    </w:p>
  </w:endnote>
  <w:endnote w:type="continuationSeparator" w:id="0">
    <w:p w14:paraId="3ADA83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669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5F75" w14:textId="77777777">
    <w:pPr>
      <w:pStyle w:val="Footer"/>
      <w:spacing w:after="20"/>
      <w:jc w:val="center"/>
    </w:pPr>
    <w:r>
      <w:rPr>
        <w:i/>
        <w:color w:val="5B6573"/>
        <w:sz w:val="14"/>
      </w:rPr>
      <w:t>Dummy document created for hackathon/training simulation only. Not valid for operational, regulatory, inspection, or GxP release use.</w:t>
    </w:r>
  </w:p>
  <w:p w14:paraId="7C0ECF76" w14:textId="77777777">
    <w:pPr>
      <w:spacing w:after="0"/>
      <w:jc w:val="right"/>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Pr>
        <w:color w:val="5B6573"/>
        <w:sz w:val="16"/>
      </w:rPr>
      <w:t>1</w:t>
    </w:r>
    <w:r>
      <w:rPr>
        <w:color w:val="5B6573"/>
        <w:sz w:val="16"/>
      </w:rPr>
      <w:fldChar w:fldCharType="end"/>
    </w:r>
    <w:r>
      <w:rPr>
        <w:color w:val="5B6573"/>
        <w:sz w:val="16"/>
      </w:rPr>
      <w:t xml:space="preserve"> of </w:t>
    </w:r>
    <w:r>
      <w:rPr>
        <w:color w:val="5B6573"/>
        <w:sz w:val="16"/>
      </w:rPr>
      <w:fldChar w:fldCharType="begin"/>
    </w:r>
    <w:r>
      <w:rPr>
        <w:color w:val="5B6573"/>
        <w:sz w:val="16"/>
      </w:rPr>
      <w:instrText>NUMPAGES</w:instrText>
    </w:r>
    <w:r>
      <w:rPr>
        <w:color w:val="5B6573"/>
        <w:sz w:val="16"/>
      </w:rPr>
      <w:fldChar w:fldCharType="separate"/>
    </w:r>
    <w:r>
      <w:rPr>
        <w:color w:val="5B6573"/>
        <w:sz w:val="16"/>
      </w:rPr>
      <w:t>1</w:t>
    </w:r>
    <w:r>
      <w:rPr>
        <w:color w:val="5B657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CFD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9B648" w14:textId="77777777">
      <w:pPr>
        <w:spacing w:after="0" w:line="240" w:lineRule="auto"/>
      </w:pPr>
      <w:r>
        <w:separator/>
      </w:r>
    </w:p>
  </w:footnote>
  <w:footnote w:type="continuationSeparator" w:id="0">
    <w:p w14:paraId="76C7BA9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9EE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73027" w14:textId="77777777">
    <w:pPr>
      <w:pStyle w:val="Header"/>
    </w:pPr>
    <w:r>
      <w:rPr>
        <w:b/>
        <w:color w:val="5B6573"/>
        <w:sz w:val="16"/>
      </w:rPr>
      <w:t>NOVO LIFE | MES PAS-X</w:t>
    </w:r>
    <w:r>
      <w:rPr>
        <w:color w:val="5B6573"/>
        <w:sz w:val="16"/>
      </w:rPr>
      <w:tab/>
      <w:t>NL-MES-DS-001 | v0.1 | DUMMY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5A9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7304A22"/>
    <w:multiLevelType w:val="singleLevel"/>
    <w:tmpl w:val="A2B22B1C"/>
    <w:lvl w:ilvl="0">
      <w:start w:val="1"/>
      <w:numFmt w:val="decimal"/>
      <w:lvlText w:val="%1."/>
      <w:lvlJc w:val="left"/>
      <w:pPr>
        <w:tabs>
          <w:tab w:val="num" w:pos="720"/>
        </w:tabs>
        <w:spacing w:after="160" w:line="280" w:lineRule="auto"/>
        <w:ind w:left="720" w:hanging="360"/>
      </w:pPr>
    </w:lvl>
  </w:abstractNum>
  <w:abstractNum w:abstractNumId="10" w15:restartNumberingAfterBreak="0">
    <w:nsid w:val="362B53A3"/>
    <w:multiLevelType w:val="singleLevel"/>
    <w:tmpl w:val="94A4DAFC"/>
    <w:lvl w:ilvl="0">
      <w:start w:val="1"/>
      <w:numFmt w:val="bullet"/>
      <w:pStyle w:val="ListBullet"/>
      <w:lvlText w:val="•"/>
      <w:lvlJc w:val="left"/>
      <w:pPr>
        <w:tabs>
          <w:tab w:val="num" w:pos="720"/>
        </w:tabs>
        <w:spacing w:after="160" w:line="280" w:lineRule="auto"/>
        <w:ind w:left="720" w:hanging="360"/>
      </w:pPr>
      <w:rPr>
        <w:rFonts w:ascii="Symbol" w:hAnsi="Symbol"/>
      </w:rPr>
    </w:lvl>
  </w:abstractNum>
  <w:abstractNum w:abstractNumId="11" w15:restartNumberingAfterBreak="0">
    <w:nsid w:val="4D9063BD"/>
    <w:multiLevelType w:val="singleLevel"/>
    <w:tmpl w:val="2AB001EC"/>
    <w:lvl w:ilvl="0">
      <w:start w:val="1"/>
      <w:numFmt w:val="bullet"/>
      <w:lvlText w:val="•"/>
      <w:lvlJc w:val="left"/>
      <w:pPr>
        <w:tabs>
          <w:tab w:val="num" w:pos="720"/>
        </w:tabs>
        <w:spacing w:after="160" w:line="280" w:lineRule="auto"/>
        <w:ind w:left="720" w:hanging="360"/>
      </w:pPr>
      <w:rPr>
        <w:rFonts w:ascii="Symbol" w:hAnsi="Symbol"/>
      </w:rPr>
    </w:lvl>
  </w:abstractNum>
  <w:num w:numId="1" w16cid:durableId="6329530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92F"/>
    <w:rsid w:val="00494C71"/>
    <w:rsid w:val="00AA1D8D"/>
    <w:rsid w:val="00B16FBD"/>
    <w:rsid w:val="00B47730"/>
    <w:rsid w:val="00CB0664"/>
    <w:rsid w:val="00EB19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1A3CA818-E3A8-4F18-84E6-76203475E23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Cs/>
      <w:color w:val="1F4D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vonordisk-my.sharepoint.com/personal/spkd_novonordisk_com/Documents/MIT%20SPKD/MIT/Global%20PAT/PAT%20AI%20Agent/NN%20SOPs%20from%20QD"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5482</Words>
  <Characters>31248</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Specification - MES PAS-X - Novo Life - DUMMY</dc:title>
  <dc:subject>Fictional GxP CSV technical design audit simulation package</dc:subject>
  <dc:creator/>
  <cp:keywords>DUMMY; TRAINING; MES PAS-X; DS; CSV; traceability; risk</cp:keywords>
  <dc:description>Not valid for operational, regulatory, inspection, or GxP release use.</dc:description>
  <cp:lastModifiedBy/>
  <cp:revision>2</cp:revision>
  <dcterms:created xsi:type="dcterms:W3CDTF">2013-12-23T23:15:00Z</dcterms:created>
  <dcterms:modified xsi:type="dcterms:W3CDTF">2026-08-10T07:02:00Z</dcterms:modified>
  <cp:category/>
</cp:coreProperties>
</file>