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Calibri" w:hAnsi="Calibri"/>
          <w:b/>
          <w:color w:val="1F4D78"/>
          <w:sz w:val="18"/>
        </w:rPr>
        <w:t>DUMMY AUDIT SIMULATION PACKAGE | SUPPLIER ASSURANCE BASELINE</w:t>
      </w:r>
    </w:p>
    <w:p>
      <w:pPr>
        <w:pStyle w:val="Title"/>
        <w:keepNext/>
      </w:pPr>
      <w:r>
        <w:t>Supplier Assessment Report</w:t>
      </w:r>
    </w:p>
    <w:p>
      <w:pPr>
        <w:pStyle w:val="Subtitle"/>
      </w:pPr>
      <w:r>
        <w:t>IT Supplier Assessment Conclusion | MES PAS-X New Implementation | Novo Life</w:t>
      </w:r>
    </w:p>
    <w:p>
      <w:pPr>
        <w:pStyle w:val="Heading2"/>
      </w:pPr>
      <w:r>
        <w:t>Document control</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trPr>
        <w:tc>
          <w:tcPr>
            <w:tcW w:type="dxa" w:w="2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 field</w:t>
            </w:r>
          </w:p>
        </w:tc>
        <w:tc>
          <w:tcPr>
            <w:tcW w:type="dxa" w:w="70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Value</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Document ID</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NL-MES-SUPA-001</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Version</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0.1</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System / project</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MES PAS-X new implementation for fictional organisation Novo Life</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Alpha - fictional PAS-X product and support provider</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Document classification</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DUMMY - HACKATHON / TRAINING SIMULATION ONLY</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System criticality</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GxP critical - working classification confirmed by NL-MES-SYS-001 and NL-MES-ITRA-001</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Assessment scope</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Product, implementation/configuration support, evidence, maintenance and lifecycle notification; hosting and other shared services Verify</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Content template</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Q0744054 IT Supplier Assessment Conclusion Template</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Working outcome</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Conditionally fit for selection and controlled implementation planning; not cleared for GxP service delivery</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Evidence state</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Assessment decisions recorded; external supplier evidence, agreements and control effectiveness remain open</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Document status</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Simulated Reviewed and Approved for Demo/Training Use Only.</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Assessment date</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10 Aug 2026</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Authoring role</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Fictional Supplier Assessment Lead / IT Solution Manager</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Upstream records</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NL-MES-MLGP-001; NL-MES-SYS-001; NL-MES-IPLAN-001; NL-MES-URS-001; NL-MES-ITRA-001; NL-MES-ITRRA-001</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Next controlled record</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NL-MES-FS-001 - Functional Specification</w:t>
            </w:r>
          </w:p>
        </w:tc>
      </w:tr>
    </w:tbl>
    <w:p>
      <w:pPr>
        <w:spacing w:after="40"/>
      </w:pPr>
    </w:p>
    <w:p>
      <w:pPr>
        <w:spacing w:before="80" w:after="120"/>
        <w:shd w:fill="FFF2CC"/>
        <w:pBdr>
          <w:left w:val="single" w:sz="18" w:space="5" w:color="BF9000"/>
        </w:pBdr>
      </w:pPr>
      <w:r>
        <w:rPr>
          <w:rFonts w:ascii="Calibri" w:hAnsi="Calibri"/>
          <w:b/>
          <w:color w:val="BF9000"/>
        </w:rPr>
        <w:t xml:space="preserve">Simulation boundary. </w:t>
      </w:r>
      <w:r>
        <w:rPr>
          <w:rFonts w:ascii="Calibri" w:hAnsi="Calibri"/>
        </w:rPr>
        <w:t>This approved-looking record is fictional. It does not evidence a real supplier assessment, selection, contract, audit, SOC review, service delivery, product qualification, residual-risk acceptance or Novo Nordisk approval.</w:t>
      </w:r>
    </w:p>
    <w:p>
      <w:pPr>
        <w:pStyle w:val="Heading2"/>
      </w:pPr>
      <w:r>
        <w:t>Change log</w:t>
      </w:r>
    </w:p>
    <w:tbl>
      <w:tblPr>
        <w:tblStyle w:val="TableGrid"/>
        <w:tblW w:type="dxa" w:w="9360"/>
        <w:tblLayout w:type="fixed"/>
        <w:tblLook w:firstColumn="1" w:firstRow="1" w:lastColumn="0" w:lastRow="0" w:noHBand="0" w:noVBand="1" w:val="04A0"/>
        <w:tblInd w:w="120" w:type="dxa"/>
      </w:tblPr>
      <w:tblGrid>
        <w:gridCol w:w="900"/>
        <w:gridCol w:w="1400"/>
        <w:gridCol w:w="2600"/>
        <w:gridCol w:w="4460"/>
      </w:tblGrid>
      <w:tr>
        <w:trPr>
          <w:tblHeader w:val="true"/>
          <w:cantSplit/>
        </w:trPr>
        <w:tc>
          <w:tcPr>
            <w:tcW w:type="dxa" w:w="9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5"/>
              </w:rPr>
              <w:t>Version</w:t>
            </w:r>
          </w:p>
        </w:tc>
        <w:tc>
          <w:tcPr>
            <w:tcW w:type="dxa" w:w="14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5"/>
              </w:rPr>
              <w:t>Date</w:t>
            </w:r>
          </w:p>
        </w:tc>
        <w:tc>
          <w:tcPr>
            <w:tcW w:type="dxa" w:w="2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Authoring role</w:t>
            </w:r>
          </w:p>
        </w:tc>
        <w:tc>
          <w:tcPr>
            <w:tcW w:type="dxa" w:w="4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Change description</w:t>
            </w:r>
          </w:p>
        </w:tc>
      </w:tr>
      <w:tr>
        <w:trPr>
          <w:cantSplit/>
        </w:trPr>
        <w:tc>
          <w:tcPr>
            <w:tcW w:type="dxa" w:w="9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5"/>
              </w:rPr>
              <w:t>0.1</w:t>
            </w:r>
          </w:p>
        </w:tc>
        <w:tc>
          <w:tcPr>
            <w:tcW w:type="dxa" w:w="14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5"/>
              </w:rPr>
              <w:t>10 Aug 2026</w:t>
            </w:r>
          </w:p>
        </w:tc>
        <w:tc>
          <w:tcPr>
            <w:tcW w:type="dxa" w:w="2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Fictional Supplier Assessment Lead</w:t>
            </w:r>
          </w:p>
        </w:tc>
        <w:tc>
          <w:tcPr>
            <w:tcW w:type="dxa" w:w="4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Initial supplier assessment conclusion, evidence gates, risk update, requirement trace update and reassessment strategy.</w:t>
            </w:r>
          </w:p>
        </w:tc>
      </w:tr>
    </w:tbl>
    <w:p>
      <w:pPr>
        <w:spacing w:after="40"/>
      </w:pPr>
    </w:p>
    <w:p>
      <w:pPr>
        <w:pStyle w:val="Heading2"/>
      </w:pPr>
      <w:r>
        <w:t>Simulated review and approval</w:t>
      </w:r>
    </w:p>
    <w:tbl>
      <w:tblPr>
        <w:tblStyle w:val="TableGrid"/>
        <w:tblW w:type="dxa" w:w="9360"/>
        <w:tblLayout w:type="fixed"/>
        <w:tblLook w:firstColumn="1" w:firstRow="1" w:lastColumn="0" w:lastRow="0" w:noHBand="0" w:noVBand="1" w:val="04A0"/>
        <w:tblInd w:w="120" w:type="dxa"/>
      </w:tblPr>
      <w:tblGrid>
        <w:gridCol w:w="1700"/>
        <w:gridCol w:w="3300"/>
        <w:gridCol w:w="2600"/>
        <w:gridCol w:w="1760"/>
      </w:tblGrid>
      <w:tr>
        <w:trPr>
          <w:tblHeader w:val="true"/>
          <w:cantSplit/>
        </w:trPr>
        <w:tc>
          <w:tcPr>
            <w:tcW w:type="dxa" w:w="17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Role</w:t>
            </w:r>
          </w:p>
        </w:tc>
        <w:tc>
          <w:tcPr>
            <w:tcW w:type="dxa" w:w="3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Review / approval purpose</w:t>
            </w:r>
          </w:p>
        </w:tc>
        <w:tc>
          <w:tcPr>
            <w:tcW w:type="dxa" w:w="2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Simulation evidence</w:t>
            </w:r>
          </w:p>
        </w:tc>
        <w:tc>
          <w:tcPr>
            <w:tcW w:type="dxa" w:w="176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Status</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Supplier Assessment Lead</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Assessment completeness and source alignment</w:t>
            </w:r>
          </w:p>
        </w:tc>
        <w:tc>
          <w:tcPr>
            <w:tcW w:type="dxa" w:w="2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Role-based simulated review; no signature</w:t>
            </w:r>
          </w:p>
        </w:tc>
        <w:tc>
          <w:tcPr>
            <w:tcW w:type="dxa" w:w="176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Simulated approved</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suitability, risk ownership and conditions</w:t>
            </w:r>
          </w:p>
        </w:tc>
        <w:tc>
          <w:tcPr>
            <w:tcW w:type="dxa" w:w="2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Role-based simulated review; no signature</w:t>
            </w:r>
          </w:p>
        </w:tc>
        <w:tc>
          <w:tcPr>
            <w:tcW w:type="dxa" w:w="176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Simulated approved</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Quality Assurance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Independent GxP quality oversight</w:t>
            </w:r>
          </w:p>
        </w:tc>
        <w:tc>
          <w:tcPr>
            <w:tcW w:type="dxa" w:w="2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Role-based simulated review; no signature</w:t>
            </w:r>
          </w:p>
        </w:tc>
        <w:tc>
          <w:tcPr>
            <w:tcW w:type="dxa" w:w="176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Simulated approved</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Security / Data Integrity SME</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privacy and data-integrity controls</w:t>
            </w:r>
          </w:p>
        </w:tc>
        <w:tc>
          <w:tcPr>
            <w:tcW w:type="dxa" w:w="2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Role-based simulated review; no signature</w:t>
            </w:r>
          </w:p>
        </w:tc>
        <w:tc>
          <w:tcPr>
            <w:tcW w:type="dxa" w:w="176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Simulated approved</w:t>
            </w:r>
          </w:p>
        </w:tc>
      </w:tr>
    </w:tbl>
    <w:p>
      <w:pPr>
        <w:spacing w:after="40"/>
      </w:pPr>
    </w:p>
    <w:p>
      <w:pPr>
        <w:pStyle w:val="Heading1"/>
      </w:pPr>
      <w:r>
        <w:t>Contents</w:t>
      </w:r>
    </w:p>
    <w:tbl>
      <w:tblPr>
        <w:tblStyle w:val="TableGrid"/>
        <w:tblW w:type="dxa" w:w="9360"/>
        <w:tblLayout w:type="fixed"/>
        <w:tblLook w:firstColumn="1" w:firstRow="1" w:lastColumn="0" w:lastRow="0" w:noHBand="0" w:noVBand="1" w:val="04A0"/>
        <w:tblInd w:w="120" w:type="dxa"/>
      </w:tblPr>
      <w:tblGrid>
        <w:gridCol w:w="1300"/>
        <w:gridCol w:w="8060"/>
      </w:tblGrid>
      <w:tr>
        <w:trPr>
          <w:tblHeader w:val="true"/>
          <w:cantSplit/>
        </w:trPr>
        <w:tc>
          <w:tcPr>
            <w:tcW w:type="dxa" w:w="13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6"/>
              </w:rPr>
              <w:t>Section</w:t>
            </w:r>
          </w:p>
        </w:tc>
        <w:tc>
          <w:tcPr>
            <w:tcW w:type="dxa" w:w="80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Title</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1</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Purpose, scope and lifecycle relationship</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2</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Source references and template selection</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3</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Supplier and service profile</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4</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strategy and evidence state</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5</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Overall assessment conclusion</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6</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IT supplier assessment areas</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7</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Evaluation method and frequency decision</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8</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Agreement and control obligations</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9</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Shared master risk register update</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10</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Requirement and live traceability update</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11</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Onboarding, monitoring and reassessment plan</w:t>
            </w:r>
          </w:p>
        </w:tc>
      </w:tr>
      <w:tr>
        <w:trPr>
          <w:cantSplit/>
        </w:trPr>
        <w:tc>
          <w:tcPr>
            <w:tcW w:type="dxa" w:w="13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12</w:t>
            </w:r>
          </w:p>
        </w:tc>
        <w:tc>
          <w:tcPr>
            <w:tcW w:type="dxa" w:w="8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Assumptions, Verify items and quality gate</w:t>
            </w:r>
          </w:p>
        </w:tc>
      </w:tr>
      <w:tr>
        <w:trPr>
          <w:cantSplit/>
        </w:trPr>
        <w:tc>
          <w:tcPr>
            <w:tcW w:type="dxa" w:w="13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6"/>
              </w:rPr>
              <w:t>13</w:t>
            </w:r>
          </w:p>
        </w:tc>
        <w:tc>
          <w:tcPr>
            <w:tcW w:type="dxa" w:w="8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Glossary, final status and change log</w:t>
            </w:r>
          </w:p>
        </w:tc>
      </w:tr>
    </w:tbl>
    <w:p>
      <w:pPr>
        <w:spacing w:after="40"/>
      </w:pPr>
    </w:p>
    <w:p>
      <w:pPr>
        <w:pStyle w:val="Heading1"/>
      </w:pPr>
      <w:r>
        <w:t>Executive summary</w:t>
      </w:r>
    </w:p>
    <w:p>
      <w:pPr>
        <w:keepLines w:val="0"/>
      </w:pPr>
      <w:r>
        <w:rPr>
          <w:rFonts w:ascii="Calibri" w:hAnsi="Calibri"/>
        </w:rPr>
        <w:t>NL-MES-SUPA-001 applies the accessible Q0744054 supplier-assessment conclusion structure to the current fictional MES PAS-X implementation. It evaluates Supplier Alpha as the planned product and support provider while preserving every evidence gap that would need to be closed before real reliance.</w:t>
      </w:r>
    </w:p>
    <w:p>
      <w:pPr>
        <w:keepLines w:val="0"/>
      </w:pPr>
      <w:r>
        <w:rPr>
          <w:rFonts w:ascii="Calibri" w:hAnsi="Calibri"/>
        </w:rPr>
        <w:t>The supplier is conditionally fit for selection and controlled design/implementation planning because the intended product/service scope can be mapped to the approved 50-requirement baseline and the required supplier controls are known. The supplier is not cleared to start GxP service delivery: no actual RFP response, QMS certificate or audit report, security assessment, SOC report, data-protection due diligence, financial/environmental assessment, contract, SLA, KPI result, product baseline or operational evidence has been supplied.</w:t>
      </w:r>
    </w:p>
    <w:p>
      <w:pPr>
        <w:keepLines w:val="0"/>
      </w:pPr>
      <w:r>
        <w:rPr>
          <w:rFonts w:ascii="Calibri" w:hAnsi="Calibri"/>
        </w:rPr>
        <w:t>A qualification audit is the provisional evaluation method for this GxP-critical, high-impact solution. Annual re-attestation is required, with a conservative two-year full re-evaluation cycle until the final hosting/service model supports a justified alternative. A current SOC 2 Type II or equivalent may supplement the evidence strategy if direct audit access is unavailable, but no SOC conclusion is made here.</w:t>
      </w:r>
    </w:p>
    <w:p>
      <w:pPr>
        <w:spacing w:before="80" w:after="120"/>
        <w:shd w:fill="E2F0D9"/>
        <w:pBdr>
          <w:left w:val="single" w:sz="18" w:space="5" w:color="548235"/>
        </w:pBdr>
      </w:pPr>
      <w:r>
        <w:rPr>
          <w:rFonts w:ascii="Calibri" w:hAnsi="Calibri"/>
          <w:b/>
          <w:color w:val="548235"/>
        </w:rPr>
        <w:t xml:space="preserve">Decision. </w:t>
      </w:r>
      <w:r>
        <w:rPr>
          <w:rFonts w:ascii="Calibri" w:hAnsi="Calibri"/>
        </w:rPr>
        <w:t>Approve this simulation report and permit the fictional supplier to proceed only to controlled selection, agreement drafting, evidence collection, design input and onboarding preparation. Block GxP delivery and release until every mandatory gate identified in this report is closed or formally dispositioned by the accountable roles.</w:t>
      </w:r>
    </w:p>
    <w:p>
      <w:pPr>
        <w:pStyle w:val="Heading1"/>
      </w:pPr>
      <w:r>
        <w:t>1 Purpose, scope and lifecycle relationship</w:t>
      </w:r>
    </w:p>
    <w:p>
      <w:pPr>
        <w:pStyle w:val="Heading2"/>
      </w:pPr>
      <w:r>
        <w:t>1.1 Purpose</w:t>
      </w:r>
    </w:p>
    <w:p>
      <w:pPr>
        <w:keepLines w:val="0"/>
      </w:pPr>
      <w:r>
        <w:rPr>
          <w:rFonts w:ascii="Calibri" w:hAnsi="Calibri"/>
        </w:rPr>
        <w:t>The purpose of this report is to conclude whether Supplier Alpha has a sufficiently defined capability and control model to support the planned MES PAS-X services at an acceptable level, identify the risks and evidence gaps associated with supplier reliance, select a risk-based evaluation method and frequency, and define conditions for agreement, onboarding, monitoring and reassessment.</w:t>
      </w:r>
    </w:p>
    <w:p>
      <w:pPr>
        <w:pStyle w:val="Heading2"/>
      </w:pPr>
      <w:r>
        <w:t>1.2 Scope</w:t>
      </w:r>
    </w:p>
    <w:p>
      <w:pPr>
        <w:pStyle w:val="ListBullet"/>
        <w:spacing w:after="40"/>
      </w:pPr>
      <w:r>
        <w:rPr>
          <w:rFonts w:ascii="Calibri" w:hAnsi="Calibri"/>
        </w:rPr>
        <w:t>In scope: PAS-X product/release expertise; implementation and configuration support; integration guidance; supplier documentation and verification evidence; maintenance, defect correction, security and lifecycle notifications; technical support; training and knowledge transfer.</w:t>
      </w:r>
    </w:p>
    <w:p>
      <w:pPr>
        <w:pStyle w:val="ListBullet"/>
        <w:spacing w:after="40"/>
      </w:pPr>
      <w:r>
        <w:rPr>
          <w:rFonts w:ascii="Calibri" w:hAnsi="Calibri"/>
        </w:rPr>
        <w:t>Conditionally in scope: supplier-hosted infrastructure, backup, monitoring, identity, remote administration, cloud/subservice organisations and personal-data processing. These remain Verify until the deployment and service model is approved.</w:t>
      </w:r>
    </w:p>
    <w:p>
      <w:pPr>
        <w:pStyle w:val="ListBullet"/>
        <w:spacing w:after="40"/>
      </w:pPr>
      <w:r>
        <w:rPr>
          <w:rFonts w:ascii="Calibri" w:hAnsi="Calibri"/>
        </w:rPr>
        <w:t>Assessment areas: business requirements; QMS; IT security; data protection; business ethics; supplier culture; environmental sustainability; financial sustainability.</w:t>
      </w:r>
    </w:p>
    <w:p>
      <w:pPr>
        <w:pStyle w:val="ListBullet"/>
        <w:spacing w:after="40"/>
      </w:pPr>
      <w:r>
        <w:rPr>
          <w:rFonts w:ascii="Calibri" w:hAnsi="Calibri"/>
        </w:rPr>
        <w:t>Out of scope: real procurement decisions, actual supplier audit or visit execution, contract signature, SOC report review, financial scoring, environmental rating, operational KPI results and product release approval.</w:t>
      </w:r>
    </w:p>
    <w:p>
      <w:pPr>
        <w:pStyle w:val="Heading2"/>
      </w:pPr>
      <w:r>
        <w:t>1.3 Lifecycle linkage</w:t>
      </w:r>
    </w:p>
    <w:tbl>
      <w:tblPr>
        <w:tblStyle w:val="TableGrid"/>
        <w:tblW w:type="dxa" w:w="9360"/>
        <w:tblLayout w:type="fixed"/>
        <w:tblLook w:firstColumn="1" w:firstRow="1" w:lastColumn="0" w:lastRow="0" w:noHBand="0" w:noVBand="1" w:val="04A0"/>
        <w:tblInd w:w="120" w:type="dxa"/>
      </w:tblPr>
      <w:tblGrid>
        <w:gridCol w:w="1600"/>
        <w:gridCol w:w="2400"/>
        <w:gridCol w:w="5360"/>
      </w:tblGrid>
      <w:tr>
        <w:trPr>
          <w:tblHeader w:val="true"/>
          <w:cantSplit/>
        </w:trPr>
        <w:tc>
          <w:tcPr>
            <w:tcW w:type="dxa" w:w="1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Relationship</w:t>
            </w:r>
          </w:p>
        </w:tc>
        <w:tc>
          <w:tcPr>
            <w:tcW w:type="dxa" w:w="24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Document / record</w:t>
            </w:r>
          </w:p>
        </w:tc>
        <w:tc>
          <w:tcPr>
            <w:tcW w:type="dxa" w:w="53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How this report links</w:t>
            </w:r>
          </w:p>
        </w:tc>
      </w:tr>
      <w:tr>
        <w:trPr>
          <w:cantSplit/>
        </w:trPr>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Governance</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NL-MES-MLGP-001</w:t>
            </w:r>
          </w:p>
        </w:tc>
        <w:tc>
          <w:tcPr>
            <w:tcW w:type="dxa" w:w="5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Sequence 7 supplier-assurance deliverable; common ID, risk and traceability rules.</w:t>
            </w:r>
          </w:p>
        </w:tc>
      </w:tr>
      <w:tr>
        <w:trPr>
          <w:cantSplit/>
        </w:trPr>
        <w:tc>
          <w:tcPr>
            <w:tcW w:type="dxa" w:w="1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System definition</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NL-MES-SYS-001</w:t>
            </w:r>
          </w:p>
        </w:tc>
        <w:tc>
          <w:tcPr>
            <w:tcW w:type="dxa" w:w="5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Defines supplier/shared-service allocations and unconfirmed hosting/service boundaries.</w:t>
            </w:r>
          </w:p>
        </w:tc>
      </w:tr>
      <w:tr>
        <w:trPr>
          <w:cantSplit/>
        </w:trPr>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Implementation</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NL-MES-IPLAN-001</w:t>
            </w:r>
          </w:p>
        </w:tc>
        <w:tc>
          <w:tcPr>
            <w:tcW w:type="dxa" w:w="5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Defines supplier deliverables, dependencies and G1 blocking conditions.</w:t>
            </w:r>
          </w:p>
        </w:tc>
      </w:tr>
      <w:tr>
        <w:trPr>
          <w:cantSplit/>
        </w:trPr>
        <w:tc>
          <w:tcPr>
            <w:tcW w:type="dxa" w:w="1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Requirements</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NL-MES-URS-001</w:t>
            </w:r>
          </w:p>
        </w:tc>
        <w:tc>
          <w:tcPr>
            <w:tcW w:type="dxa" w:w="5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Exactly 50 requirements; URS-MES-048 is the direct supplier-assurance requirement.</w:t>
            </w:r>
          </w:p>
        </w:tc>
      </w:tr>
      <w:tr>
        <w:trPr>
          <w:cantSplit/>
        </w:trPr>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System risk</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NL-MES-ITRA-001</w:t>
            </w:r>
          </w:p>
        </w:tc>
        <w:tc>
          <w:tcPr>
            <w:tcW w:type="dxa" w:w="5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Reuses RSK-MES-001 through RSK-MES-026; RSK-MES-020 is the primary supplier risk.</w:t>
            </w:r>
          </w:p>
        </w:tc>
      </w:tr>
      <w:tr>
        <w:trPr>
          <w:cantSplit/>
        </w:trPr>
        <w:tc>
          <w:tcPr>
            <w:tcW w:type="dxa" w:w="1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Requirement risk</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NL-MES-ITRRA-001</w:t>
            </w:r>
          </w:p>
        </w:tc>
        <w:tc>
          <w:tcPr>
            <w:tcW w:type="dxa" w:w="5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Uses 49 Working High and one Working Medium requirement; supplier evidence affects likelihood and control confidence.</w:t>
            </w:r>
          </w:p>
        </w:tc>
      </w:tr>
      <w:tr>
        <w:trPr>
          <w:cantSplit/>
        </w:trPr>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Downstream</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NL-MES-FS-001 / DS / CS / IS / SLA / O&amp;M</w:t>
            </w:r>
          </w:p>
        </w:tc>
        <w:tc>
          <w:tcPr>
            <w:tcW w:type="dxa" w:w="5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Must implement supplier capability, evidence, control split, service and monitoring conditions.</w:t>
            </w:r>
          </w:p>
        </w:tc>
      </w:tr>
    </w:tbl>
    <w:p>
      <w:pPr>
        <w:spacing w:after="40"/>
      </w:pPr>
    </w:p>
    <w:p>
      <w:pPr>
        <w:spacing w:before="80" w:after="120"/>
        <w:shd w:fill="EAF2F8"/>
        <w:pBdr>
          <w:left w:val="single" w:sz="18" w:space="5" w:color="2E74B5"/>
        </w:pBdr>
      </w:pPr>
      <w:r>
        <w:rPr>
          <w:rFonts w:ascii="Calibri" w:hAnsi="Calibri"/>
          <w:b/>
          <w:color w:val="2E74B5"/>
        </w:rPr>
        <w:t xml:space="preserve">Use limitation. </w:t>
      </w:r>
      <w:r>
        <w:rPr>
          <w:rFonts w:ascii="Calibri" w:hAnsi="Calibri"/>
        </w:rPr>
        <w:t>Document approval is simulated. It confirms that the assessment record is complete enough for the next dummy lifecycle step, not that Supplier Alpha is actually qualified or that any risk has been accepted.</w:t>
      </w:r>
    </w:p>
    <w:p>
      <w:pPr>
        <w:pStyle w:val="Heading1"/>
      </w:pPr>
      <w:r>
        <w:t>2 Source references and template selection</w:t>
      </w:r>
    </w:p>
    <w:p>
      <w:pPr>
        <w:pStyle w:val="Heading2"/>
      </w:pPr>
      <w:r>
        <w:t>2.1 Controlled sources reviewed</w:t>
      </w:r>
    </w:p>
    <w:tbl>
      <w:tblPr>
        <w:tblStyle w:val="TableGrid"/>
        <w:tblW w:type="dxa" w:w="9360"/>
        <w:tblLayout w:type="fixed"/>
        <w:tblLook w:firstColumn="1" w:firstRow="1" w:lastColumn="0" w:lastRow="0" w:noHBand="0" w:noVBand="1" w:val="04A0"/>
        <w:tblInd w:w="120" w:type="dxa"/>
      </w:tblPr>
      <w:tblGrid>
        <w:gridCol w:w="650"/>
        <w:gridCol w:w="3100"/>
        <w:gridCol w:w="2350"/>
        <w:gridCol w:w="3260"/>
      </w:tblGrid>
      <w:tr>
        <w:trPr>
          <w:tblHeader w:val="true"/>
          <w:cantSplit/>
        </w:trPr>
        <w:tc>
          <w:tcPr>
            <w:tcW w:type="dxa" w:w="65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Ref.</w:t>
            </w:r>
          </w:p>
        </w:tc>
        <w:tc>
          <w:tcPr>
            <w:tcW w:type="dxa" w:w="31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Source document</w:t>
            </w:r>
          </w:p>
        </w:tc>
        <w:tc>
          <w:tcPr>
            <w:tcW w:type="dxa" w:w="235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Visible control information</w:t>
            </w:r>
          </w:p>
        </w:tc>
        <w:tc>
          <w:tcPr>
            <w:tcW w:type="dxa" w:w="32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Application</w:t>
            </w:r>
          </w:p>
        </w:tc>
      </w:tr>
      <w:tr>
        <w:trPr>
          <w:cantSplit/>
        </w:trPr>
        <w:tc>
          <w:tcPr>
            <w:tcW w:type="dxa" w:w="6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S-01</w:t>
            </w:r>
          </w:p>
        </w:tc>
        <w:tc>
          <w:tcPr>
            <w:tcW w:type="dxa" w:w="3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Q187219 - Manage IT systems including digital solutions</w:t>
            </w:r>
          </w:p>
        </w:tc>
        <w:tc>
          <w:tcPr>
            <w:tcW w:type="dxa" w:w="23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 12.0; Effective 20 Aug 2025; supplied copy printed 24 Jun 2026</w:t>
            </w:r>
          </w:p>
        </w:tc>
        <w:tc>
          <w:tcPr>
            <w:tcW w:type="dxa" w:w="3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Mandatory supplier assessment, agreement and annual re-attestation requirements.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S-02</w:t>
            </w:r>
          </w:p>
        </w:tc>
        <w:tc>
          <w:tcPr>
            <w:tcW w:type="dxa" w:w="3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Q0807260 - IT supplier management lifecycle</w:t>
            </w:r>
          </w:p>
        </w:tc>
        <w:tc>
          <w:tcPr>
            <w:tcW w:type="dxa" w:w="23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 1.0; Approved 10 May 2023</w:t>
            </w:r>
          </w:p>
        </w:tc>
        <w:tc>
          <w:tcPr>
            <w:tcW w:type="dxa" w:w="3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Identify, evaluate, qualify, reassess/develop and phase-out lifecycle.</w:t>
            </w:r>
          </w:p>
        </w:tc>
      </w:tr>
      <w:tr>
        <w:trPr>
          <w:cantSplit/>
        </w:trPr>
        <w:tc>
          <w:tcPr>
            <w:tcW w:type="dxa" w:w="6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S-03</w:t>
            </w:r>
          </w:p>
        </w:tc>
        <w:tc>
          <w:tcPr>
            <w:tcW w:type="dxa" w:w="3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Q0744001 - Defining evaluation method and evaluation frequency of IT suppliers</w:t>
            </w:r>
          </w:p>
        </w:tc>
        <w:tc>
          <w:tcPr>
            <w:tcW w:type="dxa" w:w="23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 4.0; Approved 10 May 2023</w:t>
            </w:r>
          </w:p>
        </w:tc>
        <w:tc>
          <w:tcPr>
            <w:tcW w:type="dxa" w:w="3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Audit/visit/SOC/other-method selection and risk-based frequency.</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S-04</w:t>
            </w:r>
          </w:p>
        </w:tc>
        <w:tc>
          <w:tcPr>
            <w:tcW w:type="dxa" w:w="3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Q0744054 - IT Supplier Assessment Conclusion Template</w:t>
            </w:r>
          </w:p>
        </w:tc>
        <w:tc>
          <w:tcPr>
            <w:tcW w:type="dxa" w:w="23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Template Ver 1.0; Status Approved; visible Approved Date blank</w:t>
            </w:r>
          </w:p>
        </w:tc>
        <w:tc>
          <w:tcPr>
            <w:tcW w:type="dxa" w:w="3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Primary content and section structure.</w:t>
            </w:r>
          </w:p>
        </w:tc>
      </w:tr>
      <w:tr>
        <w:trPr>
          <w:cantSplit/>
        </w:trPr>
        <w:tc>
          <w:tcPr>
            <w:tcW w:type="dxa" w:w="6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S-05</w:t>
            </w:r>
          </w:p>
        </w:tc>
        <w:tc>
          <w:tcPr>
            <w:tcW w:type="dxa" w:w="3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Q0781393 - How to read and analyse a SOC report</w:t>
            </w:r>
          </w:p>
        </w:tc>
        <w:tc>
          <w:tcPr>
            <w:tcW w:type="dxa" w:w="23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 1.0; Approved 09 Jan 2023</w:t>
            </w:r>
          </w:p>
        </w:tc>
        <w:tc>
          <w:tcPr>
            <w:tcW w:type="dxa" w:w="3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SOC type, period, scope, opinion, exception and CUEC controls.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S-06</w:t>
            </w:r>
          </w:p>
        </w:tc>
        <w:tc>
          <w:tcPr>
            <w:tcW w:type="dxa" w:w="3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Q0791684 - SOC Review Assessment for IT Suppliers Template</w:t>
            </w:r>
          </w:p>
        </w:tc>
        <w:tc>
          <w:tcPr>
            <w:tcW w:type="dxa" w:w="23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Template Ver 1.0; Status Approved; visible Approved Date blank</w:t>
            </w:r>
          </w:p>
        </w:tc>
        <w:tc>
          <w:tcPr>
            <w:tcW w:type="dxa" w:w="3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SOC evidence checklist only; no SOC report supplied or reviewed.</w:t>
            </w:r>
          </w:p>
        </w:tc>
      </w:tr>
      <w:tr>
        <w:trPr>
          <w:cantSplit/>
        </w:trPr>
        <w:tc>
          <w:tcPr>
            <w:tcW w:type="dxa" w:w="6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S-07</w:t>
            </w:r>
          </w:p>
        </w:tc>
        <w:tc>
          <w:tcPr>
            <w:tcW w:type="dxa" w:w="3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NL-MES-MLGP-001 through NL-MES-ITRRA-001</w:t>
            </w:r>
          </w:p>
        </w:tc>
        <w:tc>
          <w:tcPr>
            <w:tcW w:type="dxa" w:w="23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Current six-document simulated package</w:t>
            </w:r>
          </w:p>
        </w:tc>
        <w:tc>
          <w:tcPr>
            <w:tcW w:type="dxa" w:w="3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System, plan, requirement, risk and traceability baseline.</w:t>
            </w:r>
          </w:p>
        </w:tc>
      </w:tr>
    </w:tbl>
    <w:p>
      <w:pPr>
        <w:spacing w:after="40"/>
      </w:pPr>
    </w:p>
    <w:p>
      <w:pPr>
        <w:pStyle w:val="Heading2"/>
      </w:pPr>
      <w:r>
        <w:t>2.2 Template decision</w:t>
      </w:r>
    </w:p>
    <w:p>
      <w:pPr>
        <w:keepLines w:val="0"/>
      </w:pPr>
      <w:r>
        <w:rPr>
          <w:rFonts w:ascii="Calibri" w:hAnsi="Calibri"/>
        </w:rPr>
        <w:t>Q0744054 was selected because it is the source folder's purpose-built IT Supplier Assessment Conclusion Template and directly requires a supplier profile, overall conclusion and the applicable supplier-assessment areas. The retained lifecycle-package DOCX controls the visual design so this report remains recognisably part of the same audit simulation package.</w:t>
      </w:r>
    </w:p>
    <w:p>
      <w:pPr>
        <w:keepLines w:val="0"/>
      </w:pPr>
      <w:r>
        <w:rPr>
          <w:rFonts w:ascii="Calibri" w:hAnsi="Calibri"/>
        </w:rPr>
        <w:t>Q0807260 refers to eight main assessment areas, while Q0744054 presents seven sections by combining data protection and business ethics. This report retains the seven template sections and provides distinct data-protection and business-ethics sub-conclusions inside the combined section.</w:t>
      </w:r>
    </w:p>
    <w:p>
      <w:pPr>
        <w:spacing w:before="80" w:after="120"/>
        <w:shd w:fill="FFF2CC"/>
        <w:pBdr>
          <w:left w:val="single" w:sz="18" w:space="5" w:color="BF9000"/>
        </w:pBdr>
      </w:pPr>
      <w:r>
        <w:rPr>
          <w:rFonts w:ascii="Calibri" w:hAnsi="Calibri"/>
          <w:b/>
          <w:color w:val="BF9000"/>
        </w:rPr>
        <w:t xml:space="preserve">Source limitation. </w:t>
      </w:r>
      <w:r>
        <w:rPr>
          <w:rFonts w:ascii="Calibri" w:hAnsi="Calibri"/>
        </w:rPr>
        <w:t>Q0744054 and Q0791684 show Status Approved but their visible Approved Date fields are blank. No date is inferred. Source status and the current controlled versions must be rechecked before non-training use.</w:t>
      </w:r>
    </w:p>
    <w:p>
      <w:pPr>
        <w:pStyle w:val="Heading1"/>
      </w:pPr>
      <w:r>
        <w:t>3 Supplier and service profile</w:t>
      </w:r>
    </w:p>
    <w:p>
      <w:pPr>
        <w:pStyle w:val="Heading2"/>
      </w:pPr>
      <w:r>
        <w:t>3.1 Fictional supplier profile</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trPr>
        <w:tc>
          <w:tcPr>
            <w:tcW w:type="dxa" w:w="2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Profile field</w:t>
            </w:r>
          </w:p>
        </w:tc>
        <w:tc>
          <w:tcPr>
            <w:tcW w:type="dxa" w:w="71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Working assessment</w:t>
            </w:r>
          </w:p>
        </w:tc>
      </w:tr>
      <w:tr>
        <w:trPr>
          <w:cantSplit/>
        </w:trPr>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Supplier name</w:t>
            </w:r>
          </w:p>
        </w:tc>
        <w:tc>
          <w:tcPr>
            <w:tcW w:type="dxa" w:w="7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Supplier Alpha (fictional)</w:t>
            </w:r>
          </w:p>
        </w:tc>
      </w:tr>
      <w:tr>
        <w:trPr>
          <w:cantSplit/>
        </w:trPr>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Supplier type</w:t>
            </w:r>
          </w:p>
        </w:tc>
        <w:tc>
          <w:tcPr>
            <w:tcW w:type="dxa" w:w="7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External PAS-X product and technical-support provider</w:t>
            </w:r>
          </w:p>
        </w:tc>
      </w:tr>
      <w:tr>
        <w:trPr>
          <w:cantSplit/>
        </w:trPr>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Supplier size / locations</w:t>
            </w:r>
          </w:p>
        </w:tc>
        <w:tc>
          <w:tcPr>
            <w:tcW w:type="dxa" w:w="7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Verify - not supplied</w:t>
            </w:r>
          </w:p>
        </w:tc>
      </w:tr>
      <w:tr>
        <w:trPr>
          <w:cantSplit/>
        </w:trPr>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Novo Life supplier owner</w:t>
            </w:r>
          </w:p>
        </w:tc>
        <w:tc>
          <w:tcPr>
            <w:tcW w:type="dxa" w:w="7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Fictional IT Solution Owner with Fictional Supplier Manager</w:t>
            </w:r>
          </w:p>
        </w:tc>
      </w:tr>
      <w:tr>
        <w:trPr>
          <w:cantSplit/>
        </w:trPr>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Engagement state</w:t>
            </w:r>
          </w:p>
        </w:tc>
        <w:tc>
          <w:tcPr>
            <w:tcW w:type="dxa" w:w="7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Candidate for new implementation; service delivery not started</w:t>
            </w:r>
          </w:p>
        </w:tc>
      </w:tr>
      <w:tr>
        <w:trPr>
          <w:cantSplit/>
        </w:trPr>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Core competence expected</w:t>
            </w:r>
          </w:p>
        </w:tc>
        <w:tc>
          <w:tcPr>
            <w:tcW w:type="dxa" w:w="7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PAS-X product, configuration, integration, release, maintenance, defect correction and product support</w:t>
            </w:r>
          </w:p>
        </w:tc>
      </w:tr>
      <w:tr>
        <w:trPr>
          <w:cantSplit/>
        </w:trPr>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Hosting model</w:t>
            </w:r>
          </w:p>
        </w:tc>
        <w:tc>
          <w:tcPr>
            <w:tcW w:type="dxa" w:w="7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Verify - supplier-hosted, third-party hosted and Novo Life-hosted options not yet resolved</w:t>
            </w:r>
          </w:p>
        </w:tc>
      </w:tr>
      <w:tr>
        <w:trPr>
          <w:cantSplit/>
        </w:trPr>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Personal-data role</w:t>
            </w:r>
          </w:p>
        </w:tc>
        <w:tc>
          <w:tcPr>
            <w:tcW w:type="dxa" w:w="7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Verify - minimum account/support personnel data expected; processor/subprocessor role not confirmed</w:t>
            </w:r>
          </w:p>
        </w:tc>
      </w:tr>
      <w:tr>
        <w:trPr>
          <w:cantSplit/>
        </w:trPr>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Subservice organisations</w:t>
            </w:r>
          </w:p>
        </w:tc>
        <w:tc>
          <w:tcPr>
            <w:tcW w:type="dxa" w:w="7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Verify - none asserted</w:t>
            </w:r>
          </w:p>
        </w:tc>
      </w:tr>
      <w:tr>
        <w:trPr>
          <w:cantSplit/>
        </w:trPr>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Product / version / modules</w:t>
            </w:r>
          </w:p>
        </w:tc>
        <w:tc>
          <w:tcPr>
            <w:tcW w:type="dxa" w:w="7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Verify - no release, module or support-status baseline supplied</w:t>
            </w:r>
          </w:p>
        </w:tc>
      </w:tr>
    </w:tbl>
    <w:p>
      <w:pPr>
        <w:spacing w:after="40"/>
      </w:pPr>
    </w:p>
    <w:p>
      <w:pPr>
        <w:pStyle w:val="Heading2"/>
      </w:pPr>
      <w:r>
        <w:t>3.2 Planned services</w:t>
      </w:r>
    </w:p>
    <w:tbl>
      <w:tblPr>
        <w:tblStyle w:val="TableGrid"/>
        <w:tblW w:type="dxa" w:w="9360"/>
        <w:tblLayout w:type="fixed"/>
        <w:tblLook w:firstColumn="1" w:firstRow="1" w:lastColumn="0" w:lastRow="0" w:noHBand="0" w:noVBand="1" w:val="04A0"/>
        <w:tblInd w:w="120" w:type="dxa"/>
      </w:tblPr>
      <w:tblGrid>
        <w:gridCol w:w="1700"/>
        <w:gridCol w:w="3000"/>
        <w:gridCol w:w="3000"/>
        <w:gridCol w:w="1660"/>
      </w:tblGrid>
      <w:tr>
        <w:trPr>
          <w:tblHeader w:val="true"/>
          <w:cantSplit/>
        </w:trPr>
        <w:tc>
          <w:tcPr>
            <w:tcW w:type="dxa" w:w="17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Service / deliverable</w:t>
            </w:r>
          </w:p>
        </w:tc>
        <w:tc>
          <w:tcPr>
            <w:tcW w:type="dxa" w:w="30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Supplier activity</w:t>
            </w:r>
          </w:p>
        </w:tc>
        <w:tc>
          <w:tcPr>
            <w:tcW w:type="dxa" w:w="30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Novo Life accountability</w:t>
            </w:r>
          </w:p>
        </w:tc>
        <w:tc>
          <w:tcPr>
            <w:tcW w:type="dxa" w:w="16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Current state</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Product and release</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Provide supported software, prerequisites, release notes, known limitations and compatibility evidence.</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 intended use, version, scope, risk and release decision.</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baseline not supplied</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Implementation / configuration</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Provide product expertise, configuration/build support and controlled work products.</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 requirements, design, configuration, verification and traceability.</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responsibility split Verify</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Interfaces</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Provide supported adapters, technical guidance, mappings/tools and defect support.</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Own interface requirements, data authority, security, reconciliation and acceptance.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products/protocols Verify</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evidence</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Provide QMS, SDLC, product, security, verification, release and lifecycle evidence.</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Perform risk-based gap review; decide reliance; retain accessible evidence.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no external evidence supplied</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Maintenance / support</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Correct product defects; issue patches; notify releases, vulnerabilities, incidents and support events.</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Operate change/incident controls and approve implementation/use.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SLA/KPIs not agreed</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Training / knowledge transfer</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Provide product and technical training and support transition.</w:t>
            </w:r>
          </w:p>
        </w:tc>
        <w:tc>
          <w:tcPr>
            <w:tcW w:type="dxa" w:w="3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 curricula, role readiness and controlled guidance.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 - plan not supplied</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Hosting / backup / monitoring</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Perform only if expressly allocated in the approved service model.</w:t>
            </w:r>
          </w:p>
        </w:tc>
        <w:tc>
          <w:tcPr>
            <w:tcW w:type="dxa" w:w="3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Remain accountable for suitability, control oversight and evidence.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Verify - not assumed</w:t>
            </w:r>
          </w:p>
        </w:tc>
      </w:tr>
    </w:tbl>
    <w:p>
      <w:pPr>
        <w:spacing w:after="40"/>
      </w:pPr>
    </w:p>
    <w:p>
      <w:pPr>
        <w:pStyle w:val="Heading1"/>
      </w:pPr>
      <w:r>
        <w:t>4 Assessment strategy and evidence state</w:t>
      </w:r>
    </w:p>
    <w:p>
      <w:pPr>
        <w:pStyle w:val="Heading2"/>
      </w:pPr>
      <w:r>
        <w:t>4.1 Assessment parameters</w:t>
      </w:r>
    </w:p>
    <w:tbl>
      <w:tblPr>
        <w:tblStyle w:val="TableGrid"/>
        <w:tblW w:type="dxa" w:w="9360"/>
        <w:tblLayout w:type="fixed"/>
        <w:tblLook w:firstColumn="1" w:firstRow="1" w:lastColumn="0" w:lastRow="0" w:noHBand="0" w:noVBand="1" w:val="04A0"/>
        <w:tblInd w:w="120" w:type="dxa"/>
      </w:tblPr>
      <w:tblGrid>
        <w:gridCol w:w="1900"/>
        <w:gridCol w:w="2200"/>
        <w:gridCol w:w="52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Parameter</w:t>
            </w:r>
          </w:p>
        </w:tc>
        <w:tc>
          <w:tcPr>
            <w:tcW w:type="dxa" w:w="2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Working selection</w:t>
            </w:r>
          </w:p>
        </w:tc>
        <w:tc>
          <w:tcPr>
            <w:tcW w:type="dxa" w:w="52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Rationale / consequence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Criticality</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GxP</w:t>
            </w:r>
          </w:p>
        </w:tc>
        <w:tc>
          <w:tcPr>
            <w:tcW w:type="dxa" w:w="5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The solution supports regulated manufacturing execution and GxP records.</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Impact in case of failure</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High</w:t>
            </w:r>
          </w:p>
        </w:tc>
        <w:tc>
          <w:tcPr>
            <w:tcW w:type="dxa" w:w="5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Failure can affect product-quality decisions, GxP data integrity and manufacturing availability.</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Software category</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Verify</w:t>
            </w:r>
          </w:p>
        </w:tc>
        <w:tc>
          <w:tcPr>
            <w:tcW w:type="dxa" w:w="5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Working expectation is configurable product functionality; any bespoke code requires separate Cat. 5 assessment.</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Level of Novo Life control</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Mixed / Verify</w:t>
            </w:r>
          </w:p>
        </w:tc>
        <w:tc>
          <w:tcPr>
            <w:tcW w:type="dxa" w:w="5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Control is lower for supplier product lifecycle, evidence, defect correction and any hosted service; Novo Life retains acceptance accountability.</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Known supplier risks</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Working High concentration</w:t>
            </w:r>
          </w:p>
        </w:tc>
        <w:tc>
          <w:tcPr>
            <w:tcW w:type="dxa" w:w="5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RSK-MES-020 and related product, security, continuity, change and incident risks remain open.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Prior performance</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available</w:t>
            </w:r>
          </w:p>
        </w:tc>
        <w:tc>
          <w:tcPr>
            <w:tcW w:type="dxa" w:w="52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New simulated engagement; no day-to-day operational history or KPI trend exists.</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Assessment phase</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Evaluate / qualify</w:t>
            </w:r>
          </w:p>
        </w:tc>
        <w:tc>
          <w:tcPr>
            <w:tcW w:type="dxa" w:w="52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Selection and qualification controls must be complete before GxP service delivery.</w:t>
            </w:r>
          </w:p>
        </w:tc>
      </w:tr>
    </w:tbl>
    <w:p>
      <w:pPr>
        <w:spacing w:after="40"/>
      </w:pPr>
    </w:p>
    <w:p>
      <w:pPr>
        <w:pStyle w:val="Heading2"/>
      </w:pPr>
      <w:r>
        <w:t>4.2 Evidence inventory</w:t>
      </w:r>
    </w:p>
    <w:tbl>
      <w:tblPr>
        <w:tblStyle w:val="TableGrid"/>
        <w:tblW w:type="dxa" w:w="9360"/>
        <w:tblLayout w:type="fixed"/>
        <w:tblLook w:firstColumn="1" w:firstRow="1" w:lastColumn="0" w:lastRow="0" w:noHBand="0" w:noVBand="1" w:val="04A0"/>
        <w:tblInd w:w="120" w:type="dxa"/>
      </w:tblPr>
      <w:tblGrid>
        <w:gridCol w:w="3800"/>
        <w:gridCol w:w="1800"/>
        <w:gridCol w:w="3760"/>
      </w:tblGrid>
      <w:tr>
        <w:trPr>
          <w:tblHeader w:val="true"/>
          <w:cantSplit/>
        </w:trPr>
        <w:tc>
          <w:tcPr>
            <w:tcW w:type="dxa" w:w="38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Evidence item</w:t>
            </w:r>
          </w:p>
        </w:tc>
        <w:tc>
          <w:tcPr>
            <w:tcW w:type="dxa" w:w="18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Current state</w:t>
            </w:r>
          </w:p>
        </w:tc>
        <w:tc>
          <w:tcPr>
            <w:tcW w:type="dxa" w:w="37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Decision impact</w:t>
            </w:r>
          </w:p>
        </w:tc>
      </w:tr>
      <w:tr>
        <w:trPr>
          <w:cantSplit/>
        </w:trPr>
        <w:tc>
          <w:tcPr>
            <w:tcW w:type="dxa" w:w="3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Business/RFP response and requirement questionnaire</w:t>
            </w:r>
          </w:p>
        </w:tc>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Required before final capability conclusion</w:t>
            </w:r>
          </w:p>
        </w:tc>
      </w:tr>
      <w:tr>
        <w:trPr>
          <w:cantSplit/>
        </w:trPr>
        <w:tc>
          <w:tcPr>
            <w:tcW w:type="dxa" w:w="3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Product release, modules, compatibility and support-status package</w:t>
            </w:r>
          </w:p>
        </w:tc>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Blocks design baseline</w:t>
            </w:r>
          </w:p>
        </w:tc>
      </w:tr>
      <w:tr>
        <w:trPr>
          <w:cantSplit/>
        </w:trPr>
        <w:tc>
          <w:tcPr>
            <w:tcW w:type="dxa" w:w="3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QMS description, SDLC procedures and relevant certification</w:t>
            </w:r>
          </w:p>
        </w:tc>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Blocks GxP qualification conclusion</w:t>
            </w:r>
          </w:p>
        </w:tc>
      </w:tr>
      <w:tr>
        <w:trPr>
          <w:cantSplit/>
        </w:trPr>
        <w:tc>
          <w:tcPr>
            <w:tcW w:type="dxa" w:w="3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audit/visit report or approved alternative evaluation</w:t>
            </w:r>
          </w:p>
        </w:tc>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performed</w:t>
            </w:r>
          </w:p>
        </w:tc>
        <w:tc>
          <w:tcPr>
            <w:tcW w:type="dxa" w:w="3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Qualification audit is the provisional route</w:t>
            </w:r>
          </w:p>
        </w:tc>
      </w:tr>
      <w:tr>
        <w:trPr>
          <w:cantSplit/>
        </w:trPr>
        <w:tc>
          <w:tcPr>
            <w:tcW w:type="dxa" w:w="3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Security questionnaire, architecture, vulnerability and patch evidence</w:t>
            </w:r>
          </w:p>
        </w:tc>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Blocks security conclusion and residual-risk acceptance</w:t>
            </w:r>
          </w:p>
        </w:tc>
      </w:tr>
      <w:tr>
        <w:trPr>
          <w:cantSplit/>
        </w:trPr>
        <w:tc>
          <w:tcPr>
            <w:tcW w:type="dxa" w:w="3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SOC 2 Type II or equivalent and bridge letter</w:t>
            </w:r>
          </w:p>
        </w:tc>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Optional/supplemental route if applicable; no SOC conclusion</w:t>
            </w:r>
          </w:p>
        </w:tc>
      </w:tr>
      <w:tr>
        <w:trPr>
          <w:cantSplit/>
        </w:trPr>
        <w:tc>
          <w:tcPr>
            <w:tcW w:type="dxa" w:w="3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Vendor due diligence, DPA/TIA/SCC evidence</w:t>
            </w:r>
          </w:p>
        </w:tc>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Applicability open</w:t>
            </w:r>
          </w:p>
        </w:tc>
        <w:tc>
          <w:tcPr>
            <w:tcW w:type="dxa" w:w="3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Required if personal-data processing/transfer is confirmed</w:t>
            </w:r>
          </w:p>
        </w:tc>
      </w:tr>
      <w:tr>
        <w:trPr>
          <w:cantSplit/>
        </w:trPr>
        <w:tc>
          <w:tcPr>
            <w:tcW w:type="dxa" w:w="3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Environmental and financial assessments</w:t>
            </w:r>
          </w:p>
        </w:tc>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supplied</w:t>
            </w:r>
          </w:p>
        </w:tc>
        <w:tc>
          <w:tcPr>
            <w:tcW w:type="dxa" w:w="3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Procurement-led conclusions remain open</w:t>
            </w:r>
          </w:p>
        </w:tc>
      </w:tr>
      <w:tr>
        <w:trPr>
          <w:cantSplit/>
        </w:trPr>
        <w:tc>
          <w:tcPr>
            <w:tcW w:type="dxa" w:w="3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Draft quality/commercial agreements, SLA, KPIs and exit terms</w:t>
            </w:r>
          </w:p>
        </w:tc>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created</w:t>
            </w:r>
          </w:p>
        </w:tc>
        <w:tc>
          <w:tcPr>
            <w:tcW w:type="dxa" w:w="3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Must be approved before service delivery</w:t>
            </w:r>
          </w:p>
        </w:tc>
      </w:tr>
      <w:tr>
        <w:trPr>
          <w:cantSplit/>
        </w:trPr>
        <w:tc>
          <w:tcPr>
            <w:tcW w:type="dxa" w:w="3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training and onboarding evidence</w:t>
            </w:r>
          </w:p>
        </w:tc>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created</w:t>
            </w:r>
          </w:p>
        </w:tc>
        <w:tc>
          <w:tcPr>
            <w:tcW w:type="dxa" w:w="3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Required before handover</w:t>
            </w:r>
          </w:p>
        </w:tc>
      </w:tr>
    </w:tbl>
    <w:p>
      <w:pPr>
        <w:spacing w:after="40"/>
      </w:pPr>
    </w:p>
    <w:p>
      <w:pPr>
        <w:spacing w:before="80" w:after="120"/>
        <w:shd w:fill="EAF2F8"/>
        <w:pBdr>
          <w:left w:val="single" w:sz="18" w:space="5" w:color="2E74B5"/>
        </w:pBdr>
      </w:pPr>
      <w:r>
        <w:rPr>
          <w:rFonts w:ascii="Calibri" w:hAnsi="Calibri"/>
          <w:b/>
          <w:color w:val="2E74B5"/>
        </w:rPr>
        <w:t xml:space="preserve">Evidence rule. </w:t>
      </w:r>
      <w:r>
        <w:rPr>
          <w:rFonts w:ascii="Calibri" w:hAnsi="Calibri"/>
        </w:rPr>
        <w:t>A missing document is not treated as a negative supplier finding and is not treated as satisfied. It remains an explicit gate. No supplier-authored evidence is relied upon until scope, currency, authenticity, relevance and gaps are reviewed by the accountable Novo Life roles.</w:t>
      </w:r>
    </w:p>
    <w:p>
      <w:pPr>
        <w:pStyle w:val="Heading1"/>
      </w:pPr>
      <w:r>
        <w:t>5 Overall assessment conclusion</w:t>
      </w:r>
    </w:p>
    <w:p>
      <w:pPr>
        <w:spacing w:before="80" w:after="120"/>
        <w:shd w:fill="E2F0D9"/>
        <w:pBdr>
          <w:left w:val="single" w:sz="18" w:space="5" w:color="548235"/>
        </w:pBdr>
      </w:pPr>
      <w:r>
        <w:rPr>
          <w:rFonts w:ascii="Calibri" w:hAnsi="Calibri"/>
          <w:b/>
          <w:color w:val="548235"/>
        </w:rPr>
        <w:t xml:space="preserve">Overall conclusion. </w:t>
      </w:r>
      <w:r>
        <w:rPr>
          <w:rFonts w:ascii="Calibri" w:hAnsi="Calibri"/>
        </w:rPr>
        <w:t>Supplier Alpha is deemed conditionally fit for selection and controlled implementation planning for the scoped PAS-X product and support activities. Supplier Alpha is not deemed ready to deliver or operate a GxP service until the qualification, agreement, evidence, onboarding and risk gates below are complete.</w:t>
      </w:r>
    </w:p>
    <w:p>
      <w:pPr>
        <w:keepLines w:val="0"/>
      </w:pPr>
      <w:r>
        <w:rPr>
          <w:rFonts w:ascii="Calibri" w:hAnsi="Calibri"/>
        </w:rPr>
        <w:t>The conditional conclusion is based on the existence of a complete supplier-control model, a defined 50-requirement baseline, an established 26-risk register and a controlled route for evidence and agreement closure. It is not based on a real supplier response or operational performance.</w:t>
      </w:r>
    </w:p>
    <w:p>
      <w:pPr>
        <w:pStyle w:val="Heading2"/>
      </w:pPr>
      <w:r>
        <w:t>5.1 Mandatory conditions before GxP delivery</w:t>
      </w:r>
    </w:p>
    <w:p>
      <w:pPr>
        <w:pStyle w:val="ListBullet"/>
        <w:spacing w:after="40"/>
      </w:pPr>
      <w:r>
        <w:rPr>
          <w:rFonts w:ascii="Calibri" w:hAnsi="Calibri"/>
        </w:rPr>
        <w:t>Confirm the legal supplier entity, service/product scope, release/modules, locations, subcontractors and support model.</w:t>
      </w:r>
    </w:p>
    <w:p>
      <w:pPr>
        <w:pStyle w:val="ListBullet"/>
        <w:spacing w:after="40"/>
      </w:pPr>
      <w:r>
        <w:rPr>
          <w:rFonts w:ascii="Calibri" w:hAnsi="Calibri"/>
        </w:rPr>
        <w:t>Complete the qualification audit or approve and document a justified alternative evaluation method with equivalent evidence coverage.</w:t>
      </w:r>
    </w:p>
    <w:p>
      <w:pPr>
        <w:pStyle w:val="ListBullet"/>
        <w:spacing w:after="40"/>
      </w:pPr>
      <w:r>
        <w:rPr>
          <w:rFonts w:ascii="Calibri" w:hAnsi="Calibri"/>
        </w:rPr>
        <w:t>Review the QMS/SDLC, product and verification evidence and document permitted supplier-evidence reliance and compensating Novo Life verification.</w:t>
      </w:r>
    </w:p>
    <w:p>
      <w:pPr>
        <w:pStyle w:val="ListBullet"/>
        <w:spacing w:after="40"/>
      </w:pPr>
      <w:r>
        <w:rPr>
          <w:rFonts w:ascii="Calibri" w:hAnsi="Calibri"/>
        </w:rPr>
        <w:t>Complete security assessment and, where applicable, SOC report review, CUEC allocation and subservice-organisation control review.</w:t>
      </w:r>
    </w:p>
    <w:p>
      <w:pPr>
        <w:pStyle w:val="ListBullet"/>
        <w:spacing w:after="40"/>
      </w:pPr>
      <w:r>
        <w:rPr>
          <w:rFonts w:ascii="Calibri" w:hAnsi="Calibri"/>
        </w:rPr>
        <w:t>Complete data-protection and business-ethics due diligence and all required contractual mechanisms where applicable.</w:t>
      </w:r>
    </w:p>
    <w:p>
      <w:pPr>
        <w:pStyle w:val="ListBullet"/>
        <w:spacing w:after="40"/>
      </w:pPr>
      <w:r>
        <w:rPr>
          <w:rFonts w:ascii="Calibri" w:hAnsi="Calibri"/>
        </w:rPr>
        <w:t>Complete financial and environmental assessments through the responsible sourcing/procurement roles.</w:t>
      </w:r>
    </w:p>
    <w:p>
      <w:pPr>
        <w:pStyle w:val="ListBullet"/>
        <w:spacing w:after="40"/>
      </w:pPr>
      <w:r>
        <w:rPr>
          <w:rFonts w:ascii="Calibri" w:hAnsi="Calibri"/>
        </w:rPr>
        <w:t>Approve commercial and quality agreements, responsibility matrix, SLA/KPIs, evidence-access, audit/inspection, incident/change, continuity and exit clauses.</w:t>
      </w:r>
    </w:p>
    <w:p>
      <w:pPr>
        <w:pStyle w:val="ListBullet"/>
        <w:spacing w:after="40"/>
      </w:pPr>
      <w:r>
        <w:rPr>
          <w:rFonts w:ascii="Calibri" w:hAnsi="Calibri"/>
        </w:rPr>
        <w:t>Complete onboarding, training, access, knowledge transfer and support-readiness evidence.</w:t>
      </w:r>
    </w:p>
    <w:p>
      <w:pPr>
        <w:pStyle w:val="ListBullet"/>
        <w:spacing w:after="40"/>
      </w:pPr>
      <w:r>
        <w:rPr>
          <w:rFonts w:ascii="Calibri" w:hAnsi="Calibri"/>
        </w:rPr>
        <w:t>Implement and verify affected risk controls, rate residual risks and obtain authorised acceptance before release.</w:t>
      </w:r>
    </w:p>
    <w:p>
      <w:pPr>
        <w:pStyle w:val="Heading2"/>
      </w:pPr>
      <w:r>
        <w:t>5.2 Shared-risk overview</w:t>
      </w:r>
    </w:p>
    <w:tbl>
      <w:tblPr>
        <w:tblStyle w:val="TableGrid"/>
        <w:tblW w:type="dxa" w:w="9360"/>
        <w:tblLayout w:type="fixed"/>
        <w:tblLook w:firstColumn="1" w:firstRow="1" w:lastColumn="0" w:lastRow="0" w:noHBand="0" w:noVBand="1" w:val="04A0"/>
        <w:tblInd w:w="120" w:type="dxa"/>
      </w:tblPr>
      <w:tblGrid>
        <w:gridCol w:w="1500"/>
        <w:gridCol w:w="1600"/>
        <w:gridCol w:w="4160"/>
        <w:gridCol w:w="2100"/>
      </w:tblGrid>
      <w:tr>
        <w:trPr>
          <w:tblHeader w:val="true"/>
          <w:cantSplit/>
        </w:trPr>
        <w:tc>
          <w:tcPr>
            <w:tcW w:type="dxa" w:w="15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Primary risk</w:t>
            </w:r>
          </w:p>
        </w:tc>
        <w:tc>
          <w:tcPr>
            <w:tcW w:type="dxa" w:w="1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Current state</w:t>
            </w:r>
          </w:p>
        </w:tc>
        <w:tc>
          <w:tcPr>
            <w:tcW w:type="dxa" w:w="41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Supplier-assessment effect</w:t>
            </w:r>
          </w:p>
        </w:tc>
        <w:tc>
          <w:tcPr>
            <w:tcW w:type="dxa" w:w="21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Residual / acceptance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RSK-MES-020</w:t>
            </w:r>
          </w:p>
        </w:tc>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Working High / Open</w:t>
            </w:r>
          </w:p>
        </w:tc>
        <w:tc>
          <w:tcPr>
            <w:tcW w:type="dxa" w:w="4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Assessment scope, control objectives, owners, evidence gates and reassessment route are now defined; implementation is not proven.</w:t>
            </w:r>
          </w:p>
        </w:tc>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rated / pending</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RSK-MES-019</w:t>
            </w:r>
          </w:p>
        </w:tc>
        <w:tc>
          <w:tcPr>
            <w:tcW w:type="dxa" w:w="1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Working High / Open</w:t>
            </w:r>
          </w:p>
        </w:tc>
        <w:tc>
          <w:tcPr>
            <w:tcW w:type="dxa" w:w="4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and vulnerability evidence/notification obligations defined; assessment evidence open.</w:t>
            </w:r>
          </w:p>
        </w:tc>
        <w:tc>
          <w:tcPr>
            <w:tcW w:type="dxa" w:w="2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rated / pending</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RSK-MES-017 / 018</w:t>
            </w:r>
          </w:p>
        </w:tc>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Working High / Open</w:t>
            </w:r>
          </w:p>
        </w:tc>
        <w:tc>
          <w:tcPr>
            <w:tcW w:type="dxa" w:w="4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Backup and recovery allocation/evidence are conditional on the final service model.</w:t>
            </w:r>
          </w:p>
        </w:tc>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rated / pending</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RSK-MES-021 / 022</w:t>
            </w:r>
          </w:p>
        </w:tc>
        <w:tc>
          <w:tcPr>
            <w:tcW w:type="dxa" w:w="1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Working High / Open</w:t>
            </w:r>
          </w:p>
        </w:tc>
        <w:tc>
          <w:tcPr>
            <w:tcW w:type="dxa" w:w="4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Release/change and incident/problem notification/evidence obligations defined; agreement open.</w:t>
            </w:r>
          </w:p>
        </w:tc>
        <w:tc>
          <w:tcPr>
            <w:tcW w:type="dxa" w:w="2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rated / pending</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RSK-MES-024 / 025</w:t>
            </w:r>
          </w:p>
        </w:tc>
        <w:tc>
          <w:tcPr>
            <w:tcW w:type="dxa" w:w="1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Working Medium gross; requirement max High</w:t>
            </w:r>
          </w:p>
        </w:tc>
        <w:tc>
          <w:tcPr>
            <w:tcW w:type="dxa" w:w="4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Periodic reassessment/training and conditional privacy controls defined; evidence open.</w:t>
            </w:r>
          </w:p>
        </w:tc>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rated / pending</w:t>
            </w:r>
          </w:p>
        </w:tc>
      </w:tr>
    </w:tbl>
    <w:p>
      <w:pPr>
        <w:spacing w:after="40"/>
      </w:pPr>
    </w:p>
    <w:p>
      <w:pPr>
        <w:pStyle w:val="Heading1"/>
      </w:pPr>
      <w:r>
        <w:t>6 IT supplier assessment areas</w:t>
      </w:r>
    </w:p>
    <w:p>
      <w:pPr>
        <w:keepLines w:val="0"/>
      </w:pPr>
      <w:r>
        <w:rPr>
          <w:rFonts w:ascii="Calibri" w:hAnsi="Calibri"/>
        </w:rPr>
        <w:t>Each area below follows Q0744054. A working conclusion records what may proceed within the simulation and what remains blocked; it never substitutes for the external evidence identified in the Evidence state field.</w:t>
      </w:r>
    </w:p>
    <w:p>
      <w:pPr>
        <w:pStyle w:val="Heading2"/>
      </w:pPr>
      <w:r>
        <w:t>6.1 Business requirements</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Conditionally adequate for selection and design planning; final product/service capability is not concluded.</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to all IT suppliers.</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The intended PAS-X services align conceptually with NL-MES-URS-001, but no supplier RFP response, proof of concept, requirement questionnaire or product baseline has been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RSK-MES-001 to 004; RSK-MES-007 to 015; RSK-MES-023; RSK-MES-026</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supplier capability evidence not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Obtain and evaluate the supplier response against all 50 URS entries, including exclusions and limitations.</w:t>
      </w:r>
    </w:p>
    <w:p>
      <w:pPr>
        <w:pStyle w:val="ListBullet"/>
        <w:spacing w:after="40"/>
      </w:pPr>
      <w:r>
        <w:rPr>
          <w:rFonts w:ascii="Calibri" w:hAnsi="Calibri"/>
        </w:rPr>
        <w:t>Confirm release, modules, supported deployment, prerequisites, compatibility, product roadmap and known issues.</w:t>
      </w:r>
    </w:p>
    <w:p>
      <w:pPr>
        <w:pStyle w:val="ListBullet"/>
        <w:spacing w:after="40"/>
      </w:pPr>
      <w:r>
        <w:rPr>
          <w:rFonts w:ascii="Calibri" w:hAnsi="Calibri"/>
        </w:rPr>
        <w:t>Perform product demonstration/proof of concept or equivalent for critical workflows and integrations.</w:t>
      </w:r>
    </w:p>
    <w:p>
      <w:pPr>
        <w:pStyle w:val="ListBullet"/>
        <w:spacing w:after="40"/>
      </w:pPr>
      <w:r>
        <w:rPr>
          <w:rFonts w:ascii="Calibri" w:hAnsi="Calibri"/>
        </w:rPr>
        <w:t>Record requirement gaps, compensating controls, design implications and verification ownership.</w:t>
      </w:r>
    </w:p>
    <w:p>
      <w:pPr>
        <w:pStyle w:val="Heading2"/>
      </w:pPr>
      <w:r>
        <w:t>6.2 Quality Management System</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Not concluded for GxP delivery; a qualification assessment is required.</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because the supplier is a potential GxP partner and product/service provider.</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Q187219 expects QMS coverage for design, coding, verification, integration, change, supply, maintenance, records and training. No QMS manual, certification, audit result or supplier process evidence has been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RSK-MES-001 to 004; RSK-MES-007 to 010; RSK-MES-020 to 024; RSK-MES-026</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qualification audit or approved alternative evaluation not complete.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Assess the QMS/SDLC, competence, independence, documentation, configuration, defect, change, release and training processes.</w:t>
      </w:r>
    </w:p>
    <w:p>
      <w:pPr>
        <w:pStyle w:val="ListBullet"/>
        <w:spacing w:after="40"/>
      </w:pPr>
      <w:r>
        <w:rPr>
          <w:rFonts w:ascii="Calibri" w:hAnsi="Calibri"/>
        </w:rPr>
        <w:t>Review relevant certification scope and validity; certification alone is not assumed.</w:t>
      </w:r>
    </w:p>
    <w:p>
      <w:pPr>
        <w:pStyle w:val="ListBullet"/>
        <w:spacing w:after="40"/>
      </w:pPr>
      <w:r>
        <w:rPr>
          <w:rFonts w:ascii="Calibri" w:hAnsi="Calibri"/>
        </w:rPr>
        <w:t>Document supplier-evidence reliance, gaps and required Novo Life verification.</w:t>
      </w:r>
    </w:p>
    <w:p>
      <w:pPr>
        <w:pStyle w:val="ListBullet"/>
        <w:spacing w:after="40"/>
      </w:pPr>
      <w:r>
        <w:rPr>
          <w:rFonts w:ascii="Calibri" w:hAnsi="Calibri"/>
        </w:rPr>
        <w:t>Agree QMS interfaces, quality responsibilities, audit/inspection access and record retention.</w:t>
      </w:r>
    </w:p>
    <w:p>
      <w:pPr>
        <w:pStyle w:val="Heading2"/>
      </w:pPr>
      <w:r>
        <w:t>6.3 IT security</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Not concluded for GxP delivery; security due diligence and control evidence are required.</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to all IT suppliers; heightened by GxP data, interfaces and support access.</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 security questionnaire, secure-development evidence, architecture, penetration/vulnerability evidence, patch process, incident-notification terms or SOC report has been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RSK-MES-005; RSK-MES-006; RSK-MES-009; RSK-MES-015; RSK-MES-019; RSK-MES-020 to 022; RSK-MES-025</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security assessment and any SOC review remain unperformed.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Evaluate secure development, component inventory, hardening, vulnerability/patch management and support-status controls.</w:t>
      </w:r>
    </w:p>
    <w:p>
      <w:pPr>
        <w:pStyle w:val="ListBullet"/>
        <w:spacing w:after="40"/>
      </w:pPr>
      <w:r>
        <w:rPr>
          <w:rFonts w:ascii="Calibri" w:hAnsi="Calibri"/>
        </w:rPr>
        <w:t>Define remote/support access, privileged accounts, logging, monitoring, segmentation and incident escalation.</w:t>
      </w:r>
    </w:p>
    <w:p>
      <w:pPr>
        <w:pStyle w:val="ListBullet"/>
        <w:spacing w:after="40"/>
      </w:pPr>
      <w:r>
        <w:rPr>
          <w:rFonts w:ascii="Calibri" w:hAnsi="Calibri"/>
        </w:rPr>
        <w:t>If SOC evidence is used, confirm report type/period/scope/opinion/exceptions, bridge letter, CUECs and subservice controls using Q0791684.</w:t>
      </w:r>
    </w:p>
    <w:p>
      <w:pPr>
        <w:pStyle w:val="ListBullet"/>
        <w:spacing w:after="40"/>
      </w:pPr>
      <w:r>
        <w:rPr>
          <w:rFonts w:ascii="Calibri" w:hAnsi="Calibri"/>
        </w:rPr>
        <w:t>Define notification and remediation expectations for vulnerabilities, breaches, unsupported components and material security changes.</w:t>
      </w:r>
    </w:p>
    <w:p>
      <w:pPr>
        <w:pStyle w:val="Heading2"/>
      </w:pPr>
      <w:r>
        <w:t>6.4 Data protection and business ethics</w:t>
      </w:r>
    </w:p>
    <w:p>
      <w:pPr>
        <w:pStyle w:val="Heading3"/>
      </w:pPr>
      <w:r>
        <w:t>6.4.1 Data protection</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Applicability is confirmed at least for identity, account and support-personnel data; full processing, transfer and subprocessor scope remains Verify. No GxP delivery may begin until applicable due diligence and contract controls are complete.</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Conditional but expected; user identity, access, audit and support records can contain personal data.</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URS-MES-012 to 016 and 048 to 049; ITRA RSK-MES-025.</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Current evidence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 Vendor Due Diligence questionnaire, DPA, TIA, SCC, location or subprocessor evidence supplied.</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Required outcome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Confirm controller/processor roles, purpose, data categories, access/transfer locations, retention, incident route and contractual mechanisms.</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pending privacy and IT Solution Owner decisions with QA involvement.</w:t>
            </w:r>
          </w:p>
        </w:tc>
      </w:tr>
    </w:tbl>
    <w:p>
      <w:pPr>
        <w:spacing w:after="40"/>
      </w:pPr>
    </w:p>
    <w:p>
      <w:pPr>
        <w:pStyle w:val="Heading3"/>
      </w:pPr>
      <w:r>
        <w:t>6.4.2 Business ethics</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Open. No sourcing-led ethics, sanctions, conflicts, responsible-business or third-party due-diligence result has been supplied.</w:t>
      </w:r>
    </w:p>
    <w:p>
      <w:pPr>
        <w:pStyle w:val="ListBullet"/>
        <w:spacing w:after="40"/>
      </w:pPr>
      <w:r>
        <w:rPr>
          <w:rFonts w:ascii="Calibri" w:hAnsi="Calibri"/>
        </w:rPr>
        <w:t>Complete the applicable procurement/business-ethics screening and record any conditions or mitigating actions.</w:t>
      </w:r>
    </w:p>
    <w:p>
      <w:pPr>
        <w:pStyle w:val="ListBullet"/>
        <w:spacing w:after="40"/>
      </w:pPr>
      <w:r>
        <w:rPr>
          <w:rFonts w:ascii="Calibri" w:hAnsi="Calibri"/>
        </w:rPr>
        <w:t>Define confidentiality, permitted disclosure, conflicts, escalation and sub-tier supplier obligations.</w:t>
      </w:r>
    </w:p>
    <w:p>
      <w:pPr>
        <w:pStyle w:val="ListBullet"/>
        <w:spacing w:after="40"/>
      </w:pPr>
      <w:r>
        <w:rPr>
          <w:rFonts w:ascii="Calibri" w:hAnsi="Calibri"/>
        </w:rPr>
        <w:t>Do not include real supplier confidential information in this training record.</w:t>
      </w:r>
    </w:p>
    <w:p>
      <w:pPr>
        <w:pStyle w:val="Heading2"/>
      </w:pPr>
      <w:r>
        <w:t>6.5 Supplier culture</w:t>
      </w:r>
    </w:p>
    <w:p>
      <w:pPr>
        <w:spacing w:before="80" w:after="120"/>
        <w:shd w:fill="EAF2F8"/>
        <w:pBdr>
          <w:left w:val="single" w:sz="18" w:space="5" w:color="2E74B5"/>
        </w:pBdr>
      </w:pPr>
      <w:r>
        <w:rPr>
          <w:rFonts w:ascii="Calibri" w:hAnsi="Calibri"/>
          <w:b/>
          <w:color w:val="2E74B5"/>
        </w:rPr>
        <w:t xml:space="preserve">Working conclusion. </w:t>
      </w:r>
      <w:r>
        <w:rPr>
          <w:rFonts w:ascii="Calibri" w:hAnsi="Calibri"/>
        </w:rPr>
        <w:t>Working acceptable for planning only; no operating-history evidence supports a final culture conclusion.</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because a medium/long-term implementation and support relationship is planned.</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The fictional operating model requires professionalism, communication, flexibility, business understanding, proactivity, innovation, responsiveness and accountability. No actual interaction, reference or KPI history is asserted.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RSK-MES-020; RSK-MES-021; RSK-MES-022; RSK-MES-024</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structured interviews, references and onboarding evidence not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Assess the nine Q0744054 culture parameters with documented examples and role-separated review.</w:t>
      </w:r>
    </w:p>
    <w:p>
      <w:pPr>
        <w:pStyle w:val="ListBullet"/>
        <w:spacing w:after="40"/>
      </w:pPr>
      <w:r>
        <w:rPr>
          <w:rFonts w:ascii="Calibri" w:hAnsi="Calibri"/>
        </w:rPr>
        <w:t>Agree governance forums, decision routes, response expectations, escalation and action ownership.</w:t>
      </w:r>
    </w:p>
    <w:p>
      <w:pPr>
        <w:pStyle w:val="ListBullet"/>
        <w:spacing w:after="40"/>
      </w:pPr>
      <w:r>
        <w:rPr>
          <w:rFonts w:ascii="Calibri" w:hAnsi="Calibri"/>
        </w:rPr>
        <w:t>Evaluate delivery-team competence and regulated-manufacturing understanding before assignment.</w:t>
      </w:r>
    </w:p>
    <w:p>
      <w:pPr>
        <w:pStyle w:val="ListBullet"/>
        <w:spacing w:after="40"/>
      </w:pPr>
      <w:r>
        <w:rPr>
          <w:rFonts w:ascii="Calibri" w:hAnsi="Calibri"/>
        </w:rPr>
        <w:t>Use operational KPI and relationship evidence at reassessment rather than unsupported impressions.</w:t>
      </w:r>
    </w:p>
    <w:p>
      <w:pPr>
        <w:pStyle w:val="Heading2"/>
      </w:pPr>
      <w:r>
        <w:t>6.6 Environmental sustainability</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Open; no environmental assessment result is available.</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to all IT suppliers under Q0744054.</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Delivery type, expected spend, contract term, hosting footprint and equipment/service boundary are not confirmed, so the responsible procurement assessment cannot be represented as complete.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RSK-MES-020; RSK-MES-024</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procurement-led environmental assessment not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Confirm delivery type, contract duration, hosting/service footprint and applicable environmental requirements.</w:t>
      </w:r>
    </w:p>
    <w:p>
      <w:pPr>
        <w:pStyle w:val="ListBullet"/>
        <w:spacing w:after="40"/>
      </w:pPr>
      <w:r>
        <w:rPr>
          <w:rFonts w:ascii="Calibri" w:hAnsi="Calibri"/>
        </w:rPr>
        <w:t>Obtain the responsible procurement/sustainability assessment and any contractual commitments.</w:t>
      </w:r>
    </w:p>
    <w:p>
      <w:pPr>
        <w:pStyle w:val="ListBullet"/>
        <w:spacing w:after="40"/>
      </w:pPr>
      <w:r>
        <w:rPr>
          <w:rFonts w:ascii="Calibri" w:hAnsi="Calibri"/>
        </w:rPr>
        <w:t>Translate material commitments into measurable reporting/KPIs where applicable.</w:t>
      </w:r>
    </w:p>
    <w:p>
      <w:pPr>
        <w:pStyle w:val="Heading2"/>
      </w:pPr>
      <w:r>
        <w:t>6.7 Financial sustainability</w:t>
      </w:r>
    </w:p>
    <w:p>
      <w:pPr>
        <w:spacing w:before="80" w:after="120"/>
        <w:shd w:fill="FFF2CC"/>
        <w:pBdr>
          <w:left w:val="single" w:sz="18" w:space="5" w:color="BF9000"/>
        </w:pBdr>
      </w:pPr>
      <w:r>
        <w:rPr>
          <w:rFonts w:ascii="Calibri" w:hAnsi="Calibri"/>
          <w:b/>
          <w:color w:val="BF9000"/>
        </w:rPr>
        <w:t xml:space="preserve">Working conclusion. </w:t>
      </w:r>
      <w:r>
        <w:rPr>
          <w:rFonts w:ascii="Calibri" w:hAnsi="Calibri"/>
        </w:rPr>
        <w:t>Open; no financial-sustainability conclusion is available.</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Field</w:t>
            </w:r>
          </w:p>
        </w:tc>
        <w:tc>
          <w:tcPr>
            <w:tcW w:type="dxa" w:w="74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6"/>
              </w:rPr>
              <w:t>Controlled assessment</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Applicability</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Applicable because an ongoing product/support service is planned and the supplier is introduced through a sourcing decision.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Assessment basis</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 procurement analysis, credit/continuity evidence, ownership information or concentration/exit assessment has been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Linked shared risks</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RSK-MES-016; RSK-MES-018; RSK-MES-020; RSK-MES-024</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Evidence state</w:t>
            </w:r>
          </w:p>
        </w:tc>
        <w:tc>
          <w:tcPr>
            <w:tcW w:type="dxa" w:w="74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Open - procurement-led financial assessment not supplied.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Residual / acceptance</w:t>
            </w:r>
          </w:p>
        </w:tc>
        <w:tc>
          <w:tcPr>
            <w:tcW w:type="dxa" w:w="74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6"/>
              </w:rPr>
              <w:t>Not rated; acceptance pending until controls and evidence are reviewed.</w:t>
            </w:r>
          </w:p>
        </w:tc>
      </w:tr>
    </w:tbl>
    <w:p>
      <w:pPr>
        <w:spacing w:after="40"/>
      </w:pPr>
    </w:p>
    <w:p>
      <w:pPr/>
      <w:r>
        <w:rPr>
          <w:rFonts w:ascii="Calibri" w:hAnsi="Calibri"/>
          <w:b/>
          <w:color w:val="1F4D78"/>
        </w:rPr>
        <w:t xml:space="preserve">Closeout evidence and actions. </w:t>
      </w:r>
      <w:r>
        <w:rPr>
          <w:rFonts w:ascii="Calibri" w:hAnsi="Calibri"/>
        </w:rPr>
        <w:t>The following must be complete before this area supports GxP service delivery:</w:t>
      </w:r>
    </w:p>
    <w:p>
      <w:pPr>
        <w:pStyle w:val="ListBullet"/>
        <w:spacing w:after="40"/>
      </w:pPr>
      <w:r>
        <w:rPr>
          <w:rFonts w:ascii="Calibri" w:hAnsi="Calibri"/>
        </w:rPr>
        <w:t>Obtain and approve the responsible procurement financial assessment.</w:t>
      </w:r>
    </w:p>
    <w:p>
      <w:pPr>
        <w:pStyle w:val="ListBullet"/>
        <w:spacing w:after="40"/>
      </w:pPr>
      <w:r>
        <w:rPr>
          <w:rFonts w:ascii="Calibri" w:hAnsi="Calibri"/>
        </w:rPr>
        <w:t>Assess concentration, ownership change, merger/acquisition and product-line continuity risks.</w:t>
      </w:r>
    </w:p>
    <w:p>
      <w:pPr>
        <w:pStyle w:val="ListBullet"/>
        <w:spacing w:after="40"/>
      </w:pPr>
      <w:r>
        <w:rPr>
          <w:rFonts w:ascii="Calibri" w:hAnsi="Calibri"/>
        </w:rPr>
        <w:t>Define contingency, data/documentation access, transition support and exit/phase-out protections.</w:t>
      </w:r>
    </w:p>
    <w:p>
      <w:pPr>
        <w:pStyle w:val="Heading1"/>
      </w:pPr>
      <w:r>
        <w:t>7 Evaluation method and frequency decision</w:t>
      </w:r>
    </w:p>
    <w:p>
      <w:pPr>
        <w:pStyle w:val="Heading2"/>
      </w:pPr>
      <w:r>
        <w:t>7.1 Risk-based method selection</w:t>
      </w:r>
    </w:p>
    <w:tbl>
      <w:tblPr>
        <w:tblStyle w:val="TableGrid"/>
        <w:tblW w:type="dxa" w:w="9360"/>
        <w:tblLayout w:type="fixed"/>
        <w:tblLook w:firstColumn="1" w:firstRow="1" w:lastColumn="0" w:lastRow="0" w:noHBand="0" w:noVBand="1" w:val="04A0"/>
        <w:tblInd w:w="120" w:type="dxa"/>
      </w:tblPr>
      <w:tblGrid>
        <w:gridCol w:w="2100"/>
        <w:gridCol w:w="2700"/>
        <w:gridCol w:w="4560"/>
      </w:tblGrid>
      <w:tr>
        <w:trPr>
          <w:tblHeader w:val="true"/>
          <w:cantSplit/>
        </w:trPr>
        <w:tc>
          <w:tcPr>
            <w:tcW w:type="dxa" w:w="21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Parameter</w:t>
            </w:r>
          </w:p>
        </w:tc>
        <w:tc>
          <w:tcPr>
            <w:tcW w:type="dxa" w:w="27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Working state</w:t>
            </w:r>
          </w:p>
        </w:tc>
        <w:tc>
          <w:tcPr>
            <w:tcW w:type="dxa" w:w="45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Decision effect</w:t>
            </w:r>
          </w:p>
        </w:tc>
      </w:tr>
      <w:tr>
        <w:trPr>
          <w:cantSplit/>
        </w:trPr>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GxP criticality</w:t>
            </w:r>
          </w:p>
        </w:tc>
        <w:tc>
          <w:tcPr>
            <w:tcW w:type="dxa" w:w="2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GxP</w:t>
            </w:r>
          </w:p>
        </w:tc>
        <w:tc>
          <w:tcPr>
            <w:tcW w:type="dxa" w:w="4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Points toward initial qualification audit.</w:t>
            </w:r>
          </w:p>
        </w:tc>
      </w:tr>
      <w:tr>
        <w:trPr>
          <w:cantSplit/>
        </w:trPr>
        <w:tc>
          <w:tcPr>
            <w:tcW w:type="dxa" w:w="2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Impact if supplier/product fails</w:t>
            </w:r>
          </w:p>
        </w:tc>
        <w:tc>
          <w:tcPr>
            <w:tcW w:type="dxa" w:w="2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High</w:t>
            </w:r>
          </w:p>
        </w:tc>
        <w:tc>
          <w:tcPr>
            <w:tcW w:type="dxa" w:w="4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Points toward formal evaluation and strong continuity/exit controls.</w:t>
            </w:r>
          </w:p>
        </w:tc>
      </w:tr>
      <w:tr>
        <w:trPr>
          <w:cantSplit/>
        </w:trPr>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Software category</w:t>
            </w:r>
          </w:p>
        </w:tc>
        <w:tc>
          <w:tcPr>
            <w:tcW w:type="dxa" w:w="2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Verify; configured product expected, custom code conditional</w:t>
            </w:r>
          </w:p>
        </w:tc>
        <w:tc>
          <w:tcPr>
            <w:tcW w:type="dxa" w:w="4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Cat. 5 elements would strengthen audit/evidence needs.</w:t>
            </w:r>
          </w:p>
        </w:tc>
      </w:tr>
      <w:tr>
        <w:trPr>
          <w:cantSplit/>
        </w:trPr>
        <w:tc>
          <w:tcPr>
            <w:tcW w:type="dxa" w:w="2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Level of Novo Life control</w:t>
            </w:r>
          </w:p>
        </w:tc>
        <w:tc>
          <w:tcPr>
            <w:tcW w:type="dxa" w:w="2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Mixed / potentially Low</w:t>
            </w:r>
          </w:p>
        </w:tc>
        <w:tc>
          <w:tcPr>
            <w:tcW w:type="dxa" w:w="4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controls product lifecycle, defects and evidence; hosting allocation is open.</w:t>
            </w:r>
          </w:p>
        </w:tc>
      </w:tr>
      <w:tr>
        <w:trPr>
          <w:cantSplit/>
        </w:trPr>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Supplier/product maturity</w:t>
            </w:r>
          </w:p>
        </w:tc>
        <w:tc>
          <w:tcPr>
            <w:tcW w:type="dxa" w:w="2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Not evidenced</w:t>
            </w:r>
          </w:p>
        </w:tc>
        <w:tc>
          <w:tcPr>
            <w:tcW w:type="dxa" w:w="4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Cannot reduce evaluation rigor without supported evidence.</w:t>
            </w:r>
          </w:p>
        </w:tc>
      </w:tr>
      <w:tr>
        <w:trPr>
          <w:cantSplit/>
        </w:trPr>
        <w:tc>
          <w:tcPr>
            <w:tcW w:type="dxa" w:w="2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Existing central assessment</w:t>
            </w:r>
          </w:p>
        </w:tc>
        <w:tc>
          <w:tcPr>
            <w:tcW w:type="dxa" w:w="2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Verify</w:t>
            </w:r>
          </w:p>
        </w:tc>
        <w:tc>
          <w:tcPr>
            <w:tcW w:type="dxa" w:w="4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May be leveraged only after scope, currency, applicability and gaps are reviewed.</w:t>
            </w:r>
          </w:p>
        </w:tc>
      </w:tr>
      <w:tr>
        <w:trPr>
          <w:cantSplit/>
        </w:trPr>
        <w:tc>
          <w:tcPr>
            <w:tcW w:type="dxa" w:w="2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Direct audit right</w:t>
            </w:r>
          </w:p>
        </w:tc>
        <w:tc>
          <w:tcPr>
            <w:tcW w:type="dxa" w:w="2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Verify</w:t>
            </w:r>
          </w:p>
        </w:tc>
        <w:tc>
          <w:tcPr>
            <w:tcW w:type="dxa" w:w="4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If unavailable, use an approved combination of SOC/equivalent, questionnaire, visit, analysis and compensating controls.</w:t>
            </w:r>
          </w:p>
        </w:tc>
      </w:tr>
    </w:tbl>
    <w:p>
      <w:pPr>
        <w:spacing w:after="40"/>
      </w:pPr>
    </w:p>
    <w:p>
      <w:pPr>
        <w:spacing w:before="80" w:after="120"/>
        <w:shd w:fill="E2F0D9"/>
        <w:pBdr>
          <w:left w:val="single" w:sz="18" w:space="5" w:color="548235"/>
        </w:pBdr>
      </w:pPr>
      <w:r>
        <w:rPr>
          <w:rFonts w:ascii="Calibri" w:hAnsi="Calibri"/>
          <w:b/>
          <w:color w:val="548235"/>
        </w:rPr>
        <w:t xml:space="preserve">Provisional method. </w:t>
      </w:r>
      <w:r>
        <w:rPr>
          <w:rFonts w:ascii="Calibri" w:hAnsi="Calibri"/>
        </w:rPr>
        <w:t>Request an initial qualification audit before GxP delivery. The accountable roles may approve another evaluation route only with documented rationale and evidence coverage. A supplier visit cannot substitute for a required qualification audit; SOC evidence may supplement or support an alternative where direct audit access is not available.</w:t>
      </w:r>
    </w:p>
    <w:p>
      <w:pPr>
        <w:pStyle w:val="Heading2"/>
      </w:pPr>
      <w:r>
        <w:t>7.2 Evaluation and reassessment schedule</w:t>
      </w:r>
    </w:p>
    <w:tbl>
      <w:tblPr>
        <w:tblStyle w:val="TableGrid"/>
        <w:tblW w:type="dxa" w:w="9360"/>
        <w:tblLayout w:type="fixed"/>
        <w:tblLook w:firstColumn="1" w:firstRow="1" w:lastColumn="0" w:lastRow="0" w:noHBand="0" w:noVBand="1" w:val="04A0"/>
        <w:tblInd w:w="120" w:type="dxa"/>
      </w:tblPr>
      <w:tblGrid>
        <w:gridCol w:w="1900"/>
        <w:gridCol w:w="3600"/>
        <w:gridCol w:w="2500"/>
        <w:gridCol w:w="13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Trigger / interval</w:t>
            </w:r>
          </w:p>
        </w:tc>
        <w:tc>
          <w:tcPr>
            <w:tcW w:type="dxa" w:w="3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Required activity</w:t>
            </w:r>
          </w:p>
        </w:tc>
        <w:tc>
          <w:tcPr>
            <w:tcW w:type="dxa" w:w="25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Decision owner</w:t>
            </w:r>
          </w:p>
        </w:tc>
        <w:tc>
          <w:tcPr>
            <w:tcW w:type="dxa" w:w="13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Current state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Before GxP delivery</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Qualification audit or approved alternative; close critical findings/actions.</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with QA and Supplier Audit role</w:t>
            </w:r>
          </w:p>
        </w:tc>
        <w:tc>
          <w:tcPr>
            <w:tcW w:type="dxa" w:w="1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Annually</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Re-attest validity of assessment; review scope, change, KPIs, incidents, risks, evidence and due dates.</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Manager with QA</w:t>
            </w:r>
          </w:p>
        </w:tc>
        <w:tc>
          <w:tcPr>
            <w:tcW w:type="dxa" w:w="1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Defined; not yet executed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Every 2 years - provisional</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Full routine evaluation for the conservative SaaS/PaaS/IaaS case until service model is confirmed.</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with QA</w:t>
            </w:r>
          </w:p>
        </w:tc>
        <w:tc>
          <w:tcPr>
            <w:tcW w:type="dxa" w:w="1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Verify against final hosting model</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Every 3 years - possible alternative</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Application-supplier audit/visit interval if the solution is confirmed in-house managed and risk supports it.</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with QA</w:t>
            </w:r>
          </w:p>
        </w:tc>
        <w:tc>
          <w:tcPr>
            <w:tcW w:type="dxa" w:w="1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selected unless justified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For cause</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Evaluate/audit following serious performance, security, quality, data, compliance, fraud, continuity or trust concern.</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with QA/Sourcing</w:t>
            </w:r>
          </w:p>
        </w:tc>
        <w:tc>
          <w:tcPr>
            <w:tcW w:type="dxa" w:w="1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Trigger-based</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After critical/low-compliance finding</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Evaluate and perform re-audit as required; track corrective action/effectiveness.</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with Supplier Audit role</w:t>
            </w:r>
          </w:p>
        </w:tc>
        <w:tc>
          <w:tcPr>
            <w:tcW w:type="dxa" w:w="1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Trigger-based</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Material change</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Reassess supplier/product/service, scope, ownership, hosting, subcontractor, support status or agreement.</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Supplier Manager</w:t>
            </w:r>
          </w:p>
        </w:tc>
        <w:tc>
          <w:tcPr>
            <w:tcW w:type="dxa" w:w="1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Trigger-based</w:t>
            </w:r>
          </w:p>
        </w:tc>
      </w:tr>
    </w:tbl>
    <w:p>
      <w:pPr>
        <w:spacing w:after="40"/>
      </w:pPr>
    </w:p>
    <w:p>
      <w:pPr>
        <w:pStyle w:val="Heading2"/>
      </w:pPr>
      <w:r>
        <w:t>7.3 SOC evidence decision</w:t>
      </w:r>
    </w:p>
    <w:p>
      <w:pPr>
        <w:keepLines w:val="0"/>
      </w:pPr>
      <w:r>
        <w:rPr>
          <w:rFonts w:ascii="Calibri" w:hAnsi="Calibri"/>
        </w:rPr>
        <w:t>No SOC report is supplied, so no assurance opinion, exception, CUEC or subservice conclusion exists in this report. If a SOC 1 Type II, SOC 2 Type II or equivalent report is later used, the review must cover the report period and any bridge letter, service/region scope, auditor opinion, control objectives and test exceptions, management response, applicable CUECs and subservice organisations. Any exception requires formal impact and mitigation assessment.</w:t>
      </w:r>
    </w:p>
    <w:p>
      <w:pPr>
        <w:pStyle w:val="Heading1"/>
      </w:pPr>
      <w:r>
        <w:t>8 Agreement and control obligations</w:t>
      </w:r>
    </w:p>
    <w:p>
      <w:pPr>
        <w:pStyle w:val="Heading2"/>
      </w:pPr>
      <w:r>
        <w:t>8.1 Mandatory agreement/control matrix</w:t>
      </w:r>
    </w:p>
    <w:tbl>
      <w:tblPr>
        <w:tblStyle w:val="TableGrid"/>
        <w:tblW w:type="dxa" w:w="9360"/>
        <w:tblLayout w:type="fixed"/>
        <w:tblLook w:firstColumn="1" w:firstRow="1" w:lastColumn="0" w:lastRow="0" w:noHBand="0" w:noVBand="1" w:val="04A0"/>
        <w:tblInd w:w="120" w:type="dxa"/>
      </w:tblPr>
      <w:tblGrid>
        <w:gridCol w:w="1700"/>
        <w:gridCol w:w="4300"/>
        <w:gridCol w:w="2200"/>
        <w:gridCol w:w="1160"/>
      </w:tblGrid>
      <w:tr>
        <w:trPr>
          <w:tblHeader w:val="true"/>
          <w:cantSplit/>
        </w:trPr>
        <w:tc>
          <w:tcPr>
            <w:tcW w:type="dxa" w:w="17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3"/>
              </w:rPr>
              <w:t>Control area</w:t>
            </w:r>
          </w:p>
        </w:tc>
        <w:tc>
          <w:tcPr>
            <w:tcW w:type="dxa" w:w="4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3"/>
              </w:rPr>
              <w:t>Required obligation</w:t>
            </w:r>
          </w:p>
        </w:tc>
        <w:tc>
          <w:tcPr>
            <w:tcW w:type="dxa" w:w="2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3"/>
              </w:rPr>
              <w:t>Risk / requirement link</w:t>
            </w:r>
          </w:p>
        </w:tc>
        <w:tc>
          <w:tcPr>
            <w:tcW w:type="dxa" w:w="11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3"/>
              </w:rPr>
              <w:t>State</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Roles and QMS interfaces</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Allocate quality, project, documentation, verification, operational and decision responsibilities; state which QMS applies.</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RSK-MES-020 / URS-MES-048</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Deliverables and evidence</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controlled specifications, configuration, release, test, defect and service evidence; require access and retention.</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RSK-MES-001 to 004; 007 to 010</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Audit and inspection access</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Permit Novo Life audits and health-authority access to relevant QMS/audit and system evidence.</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RSK-MES-020 / 024</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GxP data and records</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data managed, approved changes, backend-change reporting, location, retention, archive, access and exit availability.</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RSK-MES-004 / 010 / 026</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Security</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secure development, hardening, vulnerability, patch, monitoring, breach and serious-event escalation.</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RSK-MES-005 / 006 / 019</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Access and remote support</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named access, least privilege, service accounts, approval, monitoring, evidence and timely removal.</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RSK-MES-005 / 006 / 024</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Change and release</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Require timely notice, impact information, supported-version status, release/patch evidence and approval before use.</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RSK-MES-021 / 024</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Incident and problem</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Require timely notification, evidence preservation, GxP/data impact support, root cause, correction and status communication.</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RSK-MES-022 / 019</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Interfaces</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Allocate mapping, protocol, security, monitoring, retry/replay, reconciliation, change and support responsibilities.</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RSK-MES-011 to 015</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Availability / capacity</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service coverage, maintenance, monitoring, capacity, escalation and continuity commitments.</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RSK-MES-016 / 020</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Backup and recovery</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Allocate scope, frequency, retention, protection, monitoring, restore, exercise, objectives and post-recovery support.</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RSK-MES-017 / 018</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Verify allocation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Subcontractors / subservices</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Require disclosure, approval for high-risk arrangements, flow-down controls, evidence and material-change notice.</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RSK-MES-019 / 020 / 025</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Privacy</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processing purpose/categories, DPA, transfers, locations, subprocessors, incidents, retention and deletion where applicable.</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RSK-MES-025</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Applicability 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Competence and training</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Require qualified resources, regulated-process understanding, training, knowledge transfer and support transition.</w:t>
            </w:r>
          </w:p>
        </w:tc>
        <w:tc>
          <w:tcPr>
            <w:tcW w:type="dxa" w:w="2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RSK-MES-024 / URS-MES-050</w:t>
            </w:r>
          </w:p>
        </w:tc>
        <w:tc>
          <w:tcPr>
            <w:tcW w:type="dxa" w:w="11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Exit and phase-out</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Define data/documentation portability, knowledge transfer, access removal, asset return, retention and product/support discontinuation.</w:t>
            </w:r>
          </w:p>
        </w:tc>
        <w:tc>
          <w:tcPr>
            <w:tcW w:type="dxa" w:w="2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RSK-MES-016 / 018 / 020 / 024</w:t>
            </w:r>
          </w:p>
        </w:tc>
        <w:tc>
          <w:tcPr>
            <w:tcW w:type="dxa" w:w="11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3"/>
              </w:rPr>
              <w:t>Open</w:t>
            </w:r>
          </w:p>
        </w:tc>
      </w:tr>
    </w:tbl>
    <w:p>
      <w:pPr>
        <w:spacing w:after="40"/>
      </w:pPr>
    </w:p>
    <w:p>
      <w:pPr>
        <w:pStyle w:val="Heading2"/>
      </w:pPr>
      <w:r>
        <w:t>8.2 KPI and service-measure framework</w:t>
      </w:r>
    </w:p>
    <w:tbl>
      <w:tblPr>
        <w:tblStyle w:val="TableGrid"/>
        <w:tblW w:type="dxa" w:w="9360"/>
        <w:tblLayout w:type="fixed"/>
        <w:tblLook w:firstColumn="1" w:firstRow="1" w:lastColumn="0" w:lastRow="0" w:noHBand="0" w:noVBand="1" w:val="04A0"/>
        <w:tblInd w:w="120" w:type="dxa"/>
      </w:tblPr>
      <w:tblGrid>
        <w:gridCol w:w="1900"/>
        <w:gridCol w:w="3300"/>
        <w:gridCol w:w="2760"/>
        <w:gridCol w:w="140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Measure</w:t>
            </w:r>
          </w:p>
        </w:tc>
        <w:tc>
          <w:tcPr>
            <w:tcW w:type="dxa" w:w="3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Required definition</w:t>
            </w:r>
          </w:p>
        </w:tc>
        <w:tc>
          <w:tcPr>
            <w:tcW w:type="dxa" w:w="27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Evidence / review</w:t>
            </w:r>
          </w:p>
        </w:tc>
        <w:tc>
          <w:tcPr>
            <w:tcW w:type="dxa" w:w="14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Target state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Availability and performance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Scope, calculation, exclusions, planned maintenance and escalation.</w:t>
            </w:r>
          </w:p>
        </w:tc>
        <w:tc>
          <w:tcPr>
            <w:tcW w:type="dxa" w:w="2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report reconciled to monitoring.</w:t>
            </w:r>
          </w:p>
        </w:tc>
        <w:tc>
          <w:tcPr>
            <w:tcW w:type="dxa" w:w="1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Numeric target Verify</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Incident response/restoration</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Severity, response, update, restoration and root-cause timelines.</w:t>
            </w:r>
          </w:p>
        </w:tc>
        <w:tc>
          <w:tcPr>
            <w:tcW w:type="dxa" w:w="2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Ticket and communication evidence.</w:t>
            </w:r>
          </w:p>
        </w:tc>
        <w:tc>
          <w:tcPr>
            <w:tcW w:type="dxa" w:w="1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Targets Verify</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Security/vulnerability</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Notification, triage, remediation and exception timelines by severity.</w:t>
            </w:r>
          </w:p>
        </w:tc>
        <w:tc>
          <w:tcPr>
            <w:tcW w:type="dxa" w:w="2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review and patch/vulnerability evidence.</w:t>
            </w:r>
          </w:p>
        </w:tc>
        <w:tc>
          <w:tcPr>
            <w:tcW w:type="dxa" w:w="1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Targets Verify</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Release/change notice</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Minimum notice and required impact/evidence package.</w:t>
            </w:r>
          </w:p>
        </w:tc>
        <w:tc>
          <w:tcPr>
            <w:tcW w:type="dxa" w:w="2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Release/change register and Novo Life assessment.</w:t>
            </w:r>
          </w:p>
        </w:tc>
        <w:tc>
          <w:tcPr>
            <w:tcW w:type="dxa" w:w="1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 Verify</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Backup/recovery</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Success, failure alert, restore verification and recovery participation if allocated.</w:t>
            </w:r>
          </w:p>
        </w:tc>
        <w:tc>
          <w:tcPr>
            <w:tcW w:type="dxa" w:w="2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Backup/recovery evidence and exercises.</w:t>
            </w:r>
          </w:p>
        </w:tc>
        <w:tc>
          <w:tcPr>
            <w:tcW w:type="dxa" w:w="1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Applicability/targets Verify</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Defect correction</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Priority, containment, fix and supported-release expectations.</w:t>
            </w:r>
          </w:p>
        </w:tc>
        <w:tc>
          <w:tcPr>
            <w:tcW w:type="dxa" w:w="2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Defect and product-support trend.</w:t>
            </w:r>
          </w:p>
        </w:tc>
        <w:tc>
          <w:tcPr>
            <w:tcW w:type="dxa" w:w="1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Targets Verify</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Evidence delivery</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Currency, completeness, access and response for requested QMS/security/service evidence.</w:t>
            </w:r>
          </w:p>
        </w:tc>
        <w:tc>
          <w:tcPr>
            <w:tcW w:type="dxa" w:w="2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Evidence register and overdue actions.</w:t>
            </w:r>
          </w:p>
        </w:tc>
        <w:tc>
          <w:tcPr>
            <w:tcW w:type="dxa" w:w="1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 Verify</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Lifecycle support</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End-of-life/support notice, roadmap and transition assistance.</w:t>
            </w:r>
          </w:p>
        </w:tc>
        <w:tc>
          <w:tcPr>
            <w:tcW w:type="dxa" w:w="27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Lifecycle review and phase-out readiness.</w:t>
            </w:r>
          </w:p>
        </w:tc>
        <w:tc>
          <w:tcPr>
            <w:tcW w:type="dxa" w:w="1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Target Verify</w:t>
            </w:r>
          </w:p>
        </w:tc>
      </w:tr>
    </w:tbl>
    <w:p>
      <w:pPr>
        <w:spacing w:after="40"/>
      </w:pPr>
    </w:p>
    <w:p>
      <w:pPr>
        <w:pStyle w:val="Heading1"/>
        <w:pageBreakBefore/>
      </w:pPr>
      <w:r>
        <w:t>9 Shared master risk register update</w:t>
      </w:r>
    </w:p>
    <w:p>
      <w:pPr>
        <w:keepLines w:val="0"/>
      </w:pPr>
      <w:r>
        <w:rPr>
          <w:rFonts w:ascii="Calibri" w:hAnsi="Calibri"/>
        </w:rPr>
        <w:t>No new risk namespace is created. The assessment reuses the controlled RSK-MES-001 through RSK-MES-026 register. Supplier relevance is recorded for every risk because product capability, supplier evidence, maintenance or service obligations can influence control confidence. No risk is closed and no residual rating or acceptance is asserted.</w:t>
      </w:r>
    </w:p>
    <w:tbl>
      <w:tblPr>
        <w:tblStyle w:val="TableGrid"/>
        <w:tblW w:type="dxa" w:w="9360"/>
        <w:tblLayout w:type="fixed"/>
        <w:tblLook w:firstColumn="1" w:firstRow="1" w:lastColumn="0" w:lastRow="0" w:noHBand="0" w:noVBand="1" w:val="04A0"/>
        <w:tblInd w:w="120" w:type="dxa"/>
      </w:tblPr>
      <w:tblGrid>
        <w:gridCol w:w="850"/>
        <w:gridCol w:w="1050"/>
        <w:gridCol w:w="1900"/>
        <w:gridCol w:w="950"/>
        <w:gridCol w:w="1050"/>
        <w:gridCol w:w="2360"/>
        <w:gridCol w:w="1200"/>
      </w:tblGrid>
      <w:tr>
        <w:trPr>
          <w:tblHeader w:val="true"/>
          <w:cantSplit/>
        </w:trPr>
        <w:tc>
          <w:tcPr>
            <w:tcW w:type="dxa" w:w="8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2"/>
              </w:rPr>
              <w:t>Risk ID</w:t>
            </w:r>
          </w:p>
        </w:tc>
        <w:tc>
          <w:tcPr>
            <w:tcW w:type="dxa" w:w="105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2"/>
              </w:rPr>
              <w:t>Domain</w:t>
            </w:r>
          </w:p>
        </w:tc>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2"/>
              </w:rPr>
              <w:t>Scenario</w:t>
            </w:r>
          </w:p>
        </w:tc>
        <w:tc>
          <w:tcPr>
            <w:tcW w:type="dxa" w:w="9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2"/>
              </w:rPr>
              <w:t>ITRA gross</w:t>
            </w:r>
          </w:p>
        </w:tc>
        <w:tc>
          <w:tcPr>
            <w:tcW w:type="dxa" w:w="10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2"/>
              </w:rPr>
              <w:t>ITRRA req. max</w:t>
            </w:r>
          </w:p>
        </w:tc>
        <w:tc>
          <w:tcPr>
            <w:tcW w:type="dxa" w:w="23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2"/>
              </w:rPr>
              <w:t>Supplier-assessment effect</w:t>
            </w:r>
          </w:p>
        </w:tc>
        <w:tc>
          <w:tcPr>
            <w:tcW w:type="dxa" w:w="1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2"/>
              </w:rPr>
              <w:t>State after SUPA</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RSK-MES-001</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Manufacturing / product</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Unapproved order, recipe, or execution state</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Product/workflow capability and controlled configuration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RSK-MES-002</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Manufacturing / data</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Incorrect or incomplete execution data and calculations</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Execution-data capture, validation, calculation and product-test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RSK-MES-003</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Manufacturing / quality</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Incomplete batch completion, exception disposition, or review</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EBR completeness, exception and review capability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RSK-MES-004</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Records / retention</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Loss, unreadability, or incomplete copy of regulated records</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Retention, archive, retrieval, copy and continued-readability obligations.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RSK-MES-005</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Security / access</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Unauthorised or excessive access</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Authentication, authorisation and product security capability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RSK-MES-006</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Security / identity</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Credential, session, or service-account compromise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Privileged/service-account split, monitoring and support-access controls.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RSK-MES-007</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GxP evidence / signature</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Invalid or non-attributable electronic signature</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Electronic-signature design, linkage and verification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RSK-MES-008</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GxP evidence / audit trail</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Incomplete, alterable, or ineffective audit trail</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Audit-trail event, protection, search and review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RSK-MES-009</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Data integrity / time</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Inconsistent time and chronology</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Medium</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Medium</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Supported authoritative-time design and clock-dependency control.</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RSK-MES-010</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Data integrity</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Uncontrolled correction, deletion, or record lifecycle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Data-integrity QMS, correction, lifecycle and record-control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RSK-MES-011</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Integration / ERP</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ERP order/master-data or confirmation interface failure</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ERP adapter/mapping capability, support and defect-resolution obligations.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RSK-MES-012</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Integration / LIMS</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LIMS sample, result, or disposition interface failure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LIMS adapter/mapping capability, support and defect-resolution obligations.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RSK-MES-013</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Integration / automation</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Automation command, state, or measurement mismatch</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Automation interface sequencing, command/state and test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RSK-MES-014</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Integration / reporting</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Historian/reporting publication is incomplete or misleading</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Historian/reporting publication and provenance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RSK-MES-015</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Integration / common control</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Cross-interface integrity, monitoring, or reconciliation failure</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Common interface framework, monitoring, replay and reconciliation controls.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RSK-MES-016</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Continuity / availability</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Application or infrastructure unavailability and capacity exhaustion</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Capacity, availability, monitoring and support commitments.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RSK-MES-017</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Continuity / backup</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Backup is incomplete, corrupt, unavailable, or outside need</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Backup responsibility, scope, monitoring and restore evidence if allocated.</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RSK-MES-018</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Continuity / recovery</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Recovery fails objectives or creates inconsistent state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Recovery participation, dependency sequencing, support and exercise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RSK-MES-019</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Security / technology</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Cyber vulnerability, malware, or insecure component</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Secure-development, vulnerability, patch and security-notification controls.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RSK-MES-020</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Supplier / service</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Supplier or shared-service controls are unclear or ineffective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Primary supplier-assurance risk; assessment, agreement, KPI and evidence controls.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RSK-MES-021</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Lifecycle / change</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Uncontrolled change, configuration, or promotion</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Release/change notification, configuration control and promotion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RSK-MES-022</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Lifecycle / incident</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Incident or problem handling fails to protect GxP state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Incident/problem notification, investigation, evidence and corrective action.</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RSK-MES-023</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Reporting / evidence</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Controlled report or extract is misinterpreted or altered</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Medium</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Controlled report definition, output integrity and provenance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RSK-MES-024</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Lifecycle / maintained state</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Maintained-state controls, review, or training become ineffective</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Medium</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Training, support lifecycle, periodic review and maintained-state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RSK-MES-025</w:t>
            </w:r>
          </w:p>
        </w:tc>
        <w:tc>
          <w:tcPr>
            <w:tcW w:type="dxa" w:w="10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Privacy / personal data</w:t>
            </w:r>
          </w:p>
        </w:tc>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Personal data processing is excessive or insufficiently protected</w:t>
            </w:r>
          </w:p>
        </w:tc>
        <w:tc>
          <w:tcPr>
            <w:tcW w:type="dxa" w:w="9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Medium</w:t>
            </w:r>
          </w:p>
        </w:tc>
        <w:tc>
          <w:tcPr>
            <w:tcW w:type="dxa" w:w="10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Conditional personal-data/vendor due-diligence and contractual controls.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r>
        <w:trPr>
          <w:cantSplit/>
        </w:trPr>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RSK-MES-026</w:t>
            </w:r>
          </w:p>
        </w:tc>
        <w:tc>
          <w:tcPr>
            <w:tcW w:type="dxa" w:w="10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Data integrity / migration</w:t>
            </w:r>
          </w:p>
        </w:tc>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Initial load or migration loses content and meaning</w:t>
            </w:r>
          </w:p>
        </w:tc>
        <w:tc>
          <w:tcPr>
            <w:tcW w:type="dxa" w:w="9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 if applicable</w:t>
            </w:r>
          </w:p>
        </w:tc>
        <w:tc>
          <w:tcPr>
            <w:tcW w:type="dxa" w:w="10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2"/>
              </w:rPr>
              <w:t>Working High</w:t>
            </w:r>
          </w:p>
        </w:tc>
        <w:tc>
          <w:tcPr>
            <w:tcW w:type="dxa" w:w="23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Conditional migration tooling, mapping, reconciliation and rollback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2"/>
              </w:rPr>
              <w:t>Open; residual not rated; acceptance pending</w:t>
            </w:r>
          </w:p>
        </w:tc>
      </w:tr>
    </w:tbl>
    <w:p>
      <w:pPr>
        <w:spacing w:after="40"/>
      </w:pPr>
    </w:p>
    <w:p>
      <w:pPr>
        <w:spacing w:before="80" w:after="120"/>
        <w:shd w:fill="FCE8E6"/>
        <w:pBdr>
          <w:left w:val="single" w:sz="18" w:space="5" w:color="C00000"/>
        </w:pBdr>
      </w:pPr>
      <w:r>
        <w:rPr>
          <w:rFonts w:ascii="Calibri" w:hAnsi="Calibri"/>
          <w:b/>
          <w:color w:val="C00000"/>
        </w:rPr>
        <w:t xml:space="preserve">Risk decision. </w:t>
      </w:r>
      <w:r>
        <w:rPr>
          <w:rFonts w:ascii="Calibri" w:hAnsi="Calibri"/>
        </w:rPr>
        <w:t>RSK-MES-020 remains Working High and Open. This report defines treatment controls but does not demonstrate their implementation or effectiveness. Reassess ITRA/ITRRA likelihood and residual risk only after supplier evidence, approved agreements and verification/operational results exist.</w:t>
      </w:r>
    </w:p>
    <w:p>
      <w:pPr>
        <w:pStyle w:val="Heading1"/>
      </w:pPr>
      <w:r>
        <w:t>10 Requirement and live traceability update</w:t>
      </w:r>
    </w:p>
    <w:p>
      <w:pPr>
        <w:pStyle w:val="Heading2"/>
      </w:pPr>
      <w:r>
        <w:t>10.1 Sixteen-field register state</w:t>
      </w:r>
    </w:p>
    <w:tbl>
      <w:tblPr>
        <w:tblStyle w:val="TableGrid"/>
        <w:tblW w:type="dxa" w:w="9360"/>
        <w:tblLayout w:type="fixed"/>
        <w:tblLook w:firstColumn="1" w:firstRow="1" w:lastColumn="0" w:lastRow="0" w:noHBand="0" w:noVBand="1" w:val="04A0"/>
        <w:tblInd w:w="120" w:type="dxa"/>
      </w:tblPr>
      <w:tblGrid>
        <w:gridCol w:w="650"/>
        <w:gridCol w:w="2500"/>
        <w:gridCol w:w="3300"/>
        <w:gridCol w:w="2910"/>
      </w:tblGrid>
      <w:tr>
        <w:trPr>
          <w:tblHeader w:val="true"/>
          <w:cantSplit/>
        </w:trPr>
        <w:tc>
          <w:tcPr>
            <w:tcW w:type="dxa" w:w="6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No.</w:t>
            </w:r>
          </w:p>
        </w:tc>
        <w:tc>
          <w:tcPr>
            <w:tcW w:type="dxa" w:w="25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Traceability field</w:t>
            </w:r>
          </w:p>
        </w:tc>
        <w:tc>
          <w:tcPr>
            <w:tcW w:type="dxa" w:w="3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Current controlled value</w:t>
            </w:r>
          </w:p>
        </w:tc>
        <w:tc>
          <w:tcPr>
            <w:tcW w:type="dxa" w:w="291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State after SUPA</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Requirement ID</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URS-MES-001 to URS-MES-050</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Controlled; exactly 50</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2</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Requirement statement</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NL-MES-URS-001</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Controlled; unchanged</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3</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GxP relevance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NL-MES-URS-001</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Yes for all 50</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4</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Risk ID</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NL-MES-ITRA-001 / ITRRA-001</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RSK-MES-001 to 026 only</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5</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Risk level</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ITRA gross and ITRRA working requirement level</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49 High / 1 Medium requirement level</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6</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FS reference</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NL-MES-FS-001</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yet assigned</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7</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DS reference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NL-MES-DS-001</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yet assigned</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8</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CS reference</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NL-MES-CS-001</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yet assigned</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9</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Integration reference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NL-MES-IS-001</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Conceptual IDs only; design not yet assigned</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10</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Test case ID</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NL-MES-IQP/IQTC</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yet assigned</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11</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Test result</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Execution evidence</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Not run</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12</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Defect/deviation ID</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Execution logs</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N/A - verification not run</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13</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SOP/user guide reference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OMSOP/UG/AG</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Planned / Open</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14</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Operational control reference</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NL-MES-SUPA-001</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assessment input added; effectiveness open</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15</w:t>
            </w:r>
          </w:p>
        </w:tc>
        <w:tc>
          <w:tcPr>
            <w:tcW w:type="dxa" w:w="2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Change/incident/periodic review reference</w:t>
            </w:r>
          </w:p>
        </w:tc>
        <w:tc>
          <w:tcPr>
            <w:tcW w:type="dxa" w:w="3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Maintained-state records</w:t>
            </w:r>
          </w:p>
        </w:tc>
        <w:tc>
          <w:tcPr>
            <w:tcW w:type="dxa" w:w="291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Planned / Open</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16</w:t>
            </w:r>
          </w:p>
        </w:tc>
        <w:tc>
          <w:tcPr>
            <w:tcW w:type="dxa" w:w="2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Status</w:t>
            </w:r>
          </w:p>
        </w:tc>
        <w:tc>
          <w:tcPr>
            <w:tcW w:type="dxa" w:w="3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Live traceability owner</w:t>
            </w:r>
          </w:p>
        </w:tc>
        <w:tc>
          <w:tcPr>
            <w:tcW w:type="dxa" w:w="291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SUPA mapped; supplier evidence/agreement gates open</w:t>
            </w:r>
          </w:p>
        </w:tc>
      </w:tr>
    </w:tbl>
    <w:p>
      <w:pPr>
        <w:spacing w:after="40"/>
      </w:pPr>
    </w:p>
    <w:p>
      <w:pPr>
        <w:pStyle w:val="Heading2"/>
      </w:pPr>
      <w:r>
        <w:t>10.2 Fifty-requirement supplier trace view</w:t>
      </w:r>
    </w:p>
    <w:tbl>
      <w:tblPr>
        <w:tblStyle w:val="TableGrid"/>
        <w:tblW w:type="dxa" w:w="9360"/>
        <w:tblLayout w:type="fixed"/>
        <w:tblLook w:firstColumn="1" w:firstRow="1" w:lastColumn="0" w:lastRow="0" w:noHBand="0" w:noVBand="1" w:val="04A0"/>
        <w:tblInd w:w="120" w:type="dxa"/>
      </w:tblPr>
      <w:tblGrid>
        <w:gridCol w:w="800"/>
        <w:gridCol w:w="1450"/>
        <w:gridCol w:w="750"/>
        <w:gridCol w:w="1450"/>
        <w:gridCol w:w="850"/>
        <w:gridCol w:w="1200"/>
        <w:gridCol w:w="1660"/>
        <w:gridCol w:w="1200"/>
      </w:tblGrid>
      <w:tr>
        <w:trPr>
          <w:tblHeader w:val="true"/>
          <w:cantSplit/>
        </w:trPr>
        <w:tc>
          <w:tcPr>
            <w:tcW w:type="dxa" w:w="8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1"/>
              </w:rPr>
              <w:t>Requirement</w:t>
            </w:r>
          </w:p>
        </w:tc>
        <w:tc>
          <w:tcPr>
            <w:tcW w:type="dxa" w:w="145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1"/>
              </w:rPr>
              <w:t>Title</w:t>
            </w:r>
          </w:p>
        </w:tc>
        <w:tc>
          <w:tcPr>
            <w:tcW w:type="dxa" w:w="7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1"/>
              </w:rPr>
              <w:t>Class</w:t>
            </w:r>
          </w:p>
        </w:tc>
        <w:tc>
          <w:tcPr>
            <w:tcW w:type="dxa" w:w="145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1"/>
              </w:rPr>
              <w:t>Linked risk ID(s)</w:t>
            </w:r>
          </w:p>
        </w:tc>
        <w:tc>
          <w:tcPr>
            <w:tcW w:type="dxa" w:w="8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1"/>
              </w:rPr>
              <w:t>Working level</w:t>
            </w:r>
          </w:p>
        </w:tc>
        <w:tc>
          <w:tcPr>
            <w:tcW w:type="dxa" w:w="1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1"/>
              </w:rPr>
              <w:t>Supplier dependency</w:t>
            </w:r>
          </w:p>
        </w:tc>
        <w:tc>
          <w:tcPr>
            <w:tcW w:type="dxa" w:w="16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1"/>
              </w:rPr>
              <w:t>Required supplier evidence / obligation</w:t>
            </w:r>
          </w:p>
        </w:tc>
        <w:tc>
          <w:tcPr>
            <w:tcW w:type="dxa" w:w="12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1"/>
              </w:rPr>
              <w:t>SUPA trace state</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URS-MES-001</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Approved order and instruction selection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RSK-MES-001, RSK-MES-021</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URS-MES-002</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execution sequence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RSK-MES-001</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URS-MES-003</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Execution data and calculation capture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RSK-MES-002, RSK-MES-013</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URS-MES-004</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Material and equipment status verification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RSK-MES-001, RSK-MES-013</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URS-MES-005</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hold, resume, and termination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RSK-MES-001, RSK-MES-013</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URS-MES-006</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Exception and review-by-exception handling</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RSK-MES-003, RSK-MES-015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URS-MES-007</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Complete electronic batch record</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RSK-MES-002, RSK-MES-003, RSK-MES-007, RSK-MES-008</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URS-MES-008</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Batch-record completion control</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RSK-MES-003, RSK-MES-007</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URS-MES-009</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Authorised batch-record review</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RSK-MES-003, RSK-MES-007, RSK-MES-008</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URS-MES-010</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Record retention and retrieval</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RSK-MES-004, RSK-MES-010, RSK-MES-017</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URS-MES-011</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Complete and accurate record copies</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RSK-MES-004, RSK-MES-023</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Product capability / QMS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functional, configuration, validation and record-lifecycle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URS-MES-012</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Unique identity and authentication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RSK-MES-006, RSK-MES-019, RSK-MES-024</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and access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architecture, access model, privileged-support and vulnerability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URS-MES-013</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Role-based least-privilege access</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RSK-MES-019</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and access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architecture, access model, privileged-support and vulnerability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URS-MES-014</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access lifecycle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RSK-MES-024</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and access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architecture, access model, privileged-support and vulnerability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URS-MES-015</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Privileged and service-account control</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RSK-MES-006, RSK-MES-019</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and access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architecture, access model, privileged-support and vulnerability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URS-MES-016</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Segregation and periodic access review</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RSK-MES-024</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and access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Security architecture, access model, privileged-support and vulnerability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URS-MES-017</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Authorised electronic-signature application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RSK-MES-007</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Electronic signatures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Signature design, linkage, authentication and supplier verification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URS-MES-018</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Signature meaning and content</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RSK-MES-007</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Electronic signatures</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Signature design, linkage, authentication and supplier verification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URS-MES-019</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Permanent signature-to-record linkage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RSK-MES-007, RSK-MES-010</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Electronic signatures</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Signature design, linkage, authentication and supplier verification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URS-MES-020</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Automatic audit-trail capture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RSK-MES-008</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 trail</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Audit-event coverage, protection, retention, search and review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URS-MES-021</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Audit-trail protection and retention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RSK-MES-008, RSK-MES-010</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 trail</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Audit-event coverage, protection, retention, search and review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URS-MES-022</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Audit-trail search and review presentation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RSK-MES-008</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 trail</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Audit-event coverage, protection, retention, search and review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URS-MES-023</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Risk-based audit-trail review evidence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RSK-MES-008, RSK-MES-024</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 trail</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Audit-event coverage, protection, retention, search and review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URS-MES-024</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ALCOA+ data lifecycle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RSK-MES-002, RSK-MES-010, RSK-MES-026</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Data integrity / lifecycle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ALCOA+, time, correction, transfer, retention and migration control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URS-MES-025</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Authoritative and consistent time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RSK-MES-009</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Medium</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Data integrity / lifecycle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ALCOA+, time, correction, transfer, retention and migration control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URS-MES-026</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correction of GxP data</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RSK-MES-010</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Data integrity / lifecycle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ALCOA+, time, correction, transfer, retention and migration control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URS-MES-027</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Preservation through transfer, retention, and migration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RSK-MES-004, RSK-MES-010, RSK-MES-026</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Data integrity / lifecycle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ALCOA+, time, correction, transfer, retention and migration control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URS-MES-028</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ERP inbound orders and master data</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RSK-MES-011, RSK-MES-015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URS-MES-029</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ERP outbound manufacturing confirmation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RSK-MES-011, RSK-MES-015</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URS-MES-030</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LIMS sample request and status transfer</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RSK-MES-012, RSK-MES-015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URS-MES-031</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LIMS result and disposition receipt</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RSK-MES-012, RSK-MES-015</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URS-MES-032</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commands to automation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RSK-MES-013, RSK-MES-015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URS-MES-033</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Automation data receipt</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RSK-MES-013, RSK-MES-015</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URS-MES-034</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Historian and reporting publication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RSK-MES-014, RSK-MES-015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URS-MES-035</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Enterprise identity integration</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RSK-MES-006, RSK-MES-015</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URS-MES-036</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Common interface integrity and failure control</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RSK-MES-011, RSK-MES-012, RSK-MES-013, RSK-MES-014, RSK-MES-015, RSK-MES-019</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Integration</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Supported interface design, mapping, security, error, monitoring and reconciliation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URS-MES-037</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Risk-based backup coverage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RSK-MES-017, RSK-MES-020</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Continuity</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Backup/recovery allocation, procedure, monitoring, support and exercise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URS-MES-038</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Complete and accurate restoration</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RSK-MES-017, RSK-MES-018</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Continuity</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Backup/recovery allocation, procedure, monitoring, support and exercise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URS-MES-039</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Coordinated service recovery</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RSK-MES-016, RSK-MES-018</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Continuity</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Backup/recovery allocation, procedure, monitoring, support and exercise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URS-MES-040</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Backup and recovery verification and monitoring</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RSK-MES-017, RSK-MES-018, RSK-MES-024</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Continuity</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Backup/recovery allocation, procedure, monitoring, support and exercise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URS-MES-041</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Operational execution reporting</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RSK-MES-003, RSK-MES-014, RSK-MES-023</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Reporting</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report definition, source lineage, access and issued-output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URS-MES-042</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Quality and review-by-exception reporting</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RSK-MES-003, RSK-MES-008, RSK-MES-023</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Reporting</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report definition, source lineage, access and issued-output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URS-MES-043</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Interface and exception reconciliation reporting</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RSK-MES-015, RSK-MES-022, RSK-MES-023</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Reporting</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report definition, source lineage, access and issued-output evidence.</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URS-MES-044</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report and extract provenance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RSK-MES-004, RSK-MES-010, RSK-MES-014, RSK-MES-023</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Reporting</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report definition, source lineage, access and issued-output evidence.</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URS-MES-045</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Operational monitoring and alerting</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RSK-MES-006, RSK-MES-015, RSK-MES-016, RSK-MES-017, RSK-MES-019, RSK-MES-022</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Operations / change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Monitoring, incident, product change, release and configuration obligations.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URS-MES-046</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Incident and problem control</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RSK-MES-016, RSK-MES-018, RSK-MES-022</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Operations / change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Monitoring, incident, product change, release and configuration obligations.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URS-MES-047</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Controlled change and configuration baseline</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RSK-MES-001, RSK-MES-010, RSK-MES-019, RSK-MES-021, RSK-MES-022, RSK-MES-026</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Operations / change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Monitoring, incident, product change, release and configuration obligations.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SUPA mapped; evidence/agreement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URS-MES-048</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Supplier and service-provider assurance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RSK-MES-019, RSK-MES-020, RSK-MES-024, RSK-MES-025</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Supplier / maintained state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Agreement, KPI, notification, reassessment, training and evidence-access obligations.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Direct supplier requirement; assessment/control framework defined; evidence/agreement open</w:t>
            </w:r>
          </w:p>
        </w:tc>
      </w:tr>
      <w:tr>
        <w:trPr>
          <w:cantSplit/>
        </w:trPr>
        <w:tc>
          <w:tcPr>
            <w:tcW w:type="dxa" w:w="8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URS-MES-049</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Periodic evaluation of continued fitness</w:t>
            </w:r>
          </w:p>
        </w:tc>
        <w:tc>
          <w:tcPr>
            <w:tcW w:type="dxa" w:w="7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RSK-MES-019, RSK-MES-020, RSK-MES-021, RSK-MES-022, RSK-MES-024, RSK-MES-025</w:t>
            </w:r>
          </w:p>
        </w:tc>
        <w:tc>
          <w:tcPr>
            <w:tcW w:type="dxa" w:w="8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Supplier / maintained state</w:t>
            </w:r>
          </w:p>
        </w:tc>
        <w:tc>
          <w:tcPr>
            <w:tcW w:type="dxa" w:w="16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Agreement, KPI, notification, reassessment, training and evidence-access obligations.</w:t>
            </w:r>
          </w:p>
        </w:tc>
        <w:tc>
          <w:tcPr>
            <w:tcW w:type="dxa" w:w="12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Annual re-attestation and provisional full-evaluation cycle defined; execution open</w:t>
            </w:r>
          </w:p>
        </w:tc>
      </w:tr>
      <w:tr>
        <w:trPr>
          <w:cantSplit/>
        </w:trPr>
        <w:tc>
          <w:tcPr>
            <w:tcW w:type="dxa" w:w="80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URS-MES-050</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Role-based training and controlled guidance</w:t>
            </w:r>
          </w:p>
        </w:tc>
        <w:tc>
          <w:tcPr>
            <w:tcW w:type="dxa" w:w="7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Non-functional</w:t>
            </w:r>
          </w:p>
        </w:tc>
        <w:tc>
          <w:tcPr>
            <w:tcW w:type="dxa" w:w="145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RSK-MES-005, RSK-MES-024</w:t>
            </w:r>
          </w:p>
        </w:tc>
        <w:tc>
          <w:tcPr>
            <w:tcW w:type="dxa" w:w="8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1"/>
              </w:rPr>
              <w:t>Working High</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Supplier / maintained state</w:t>
            </w:r>
          </w:p>
        </w:tc>
        <w:tc>
          <w:tcPr>
            <w:tcW w:type="dxa" w:w="16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Agreement, KPI, notification, reassessment, training and evidence-access obligations.</w:t>
            </w:r>
          </w:p>
        </w:tc>
        <w:tc>
          <w:tcPr>
            <w:tcW w:type="dxa" w:w="12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1"/>
              </w:rPr>
              <w:t>Supplier competence/training obligations defined; onboarding evidence open</w:t>
            </w:r>
          </w:p>
        </w:tc>
      </w:tr>
    </w:tbl>
    <w:p>
      <w:pPr>
        <w:spacing w:after="40"/>
      </w:pPr>
    </w:p>
    <w:p>
      <w:pPr>
        <w:pStyle w:val="Heading2"/>
      </w:pPr>
      <w:r>
        <w:t>10.3 Downstream handoff</w:t>
      </w:r>
    </w:p>
    <w:tbl>
      <w:tblPr>
        <w:tblStyle w:val="TableGrid"/>
        <w:tblW w:type="dxa" w:w="9360"/>
        <w:tblLayout w:type="fixed"/>
        <w:tblLook w:firstColumn="1" w:firstRow="1" w:lastColumn="0" w:lastRow="0" w:noHBand="0" w:noVBand="1" w:val="04A0"/>
        <w:tblInd w:w="120" w:type="dxa"/>
      </w:tblPr>
      <w:tblGrid>
        <w:gridCol w:w="1700"/>
        <w:gridCol w:w="5100"/>
        <w:gridCol w:w="2560"/>
      </w:tblGrid>
      <w:tr>
        <w:trPr>
          <w:tblHeader w:val="true"/>
          <w:cantSplit/>
        </w:trPr>
        <w:tc>
          <w:tcPr>
            <w:tcW w:type="dxa" w:w="17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Document</w:t>
            </w:r>
          </w:p>
        </w:tc>
        <w:tc>
          <w:tcPr>
            <w:tcW w:type="dxa" w:w="51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Required supplier-assessment handoff</w:t>
            </w:r>
          </w:p>
        </w:tc>
        <w:tc>
          <w:tcPr>
            <w:tcW w:type="dxa" w:w="25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Gate impact</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NL-MES-FS-001</w:t>
            </w:r>
          </w:p>
        </w:tc>
        <w:tc>
          <w:tcPr>
            <w:tcW w:type="dxa" w:w="5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Translate capability responses, constraints and gaps into controlled functions mapped to URS.</w:t>
            </w:r>
          </w:p>
        </w:tc>
        <w:tc>
          <w:tcPr>
            <w:tcW w:type="dxa" w:w="2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 unsupported supplier claim may become a function baseline.</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NL-MES-IS-001</w:t>
            </w:r>
          </w:p>
        </w:tc>
        <w:tc>
          <w:tcPr>
            <w:tcW w:type="dxa" w:w="5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Define supplier-supported interfaces, protocols, mappings, error controls, monitoring and support split.</w:t>
            </w:r>
          </w:p>
        </w:tc>
        <w:tc>
          <w:tcPr>
            <w:tcW w:type="dxa" w:w="2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interface design if product/interface support is unclear.</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NL-MES-DS/CS-001</w:t>
            </w:r>
          </w:p>
        </w:tc>
        <w:tc>
          <w:tcPr>
            <w:tcW w:type="dxa" w:w="5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Apply approved product/release, responsibility split, security, configuration and evidence decisions.</w:t>
            </w:r>
          </w:p>
        </w:tc>
        <w:tc>
          <w:tcPr>
            <w:tcW w:type="dxa" w:w="2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design readiness if release/service model is open.</w:t>
            </w:r>
          </w:p>
        </w:tc>
      </w:tr>
      <w:tr>
        <w:trPr>
          <w:cantSplit/>
        </w:trPr>
        <w:tc>
          <w:tcPr>
            <w:tcW w:type="dxa" w:w="17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NL-MES-IQP/IQTC</w:t>
            </w:r>
          </w:p>
        </w:tc>
        <w:tc>
          <w:tcPr>
            <w:tcW w:type="dxa" w:w="5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Use supplier evidence only after gap review; add Novo Life challenge/negative/end-to-end tests.</w:t>
            </w:r>
          </w:p>
        </w:tc>
        <w:tc>
          <w:tcPr>
            <w:tcW w:type="dxa" w:w="2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verification readiness if reliance is unapproved.</w:t>
            </w:r>
          </w:p>
        </w:tc>
      </w:tr>
      <w:tr>
        <w:trPr>
          <w:cantSplit/>
        </w:trPr>
        <w:tc>
          <w:tcPr>
            <w:tcW w:type="dxa" w:w="17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NL-MES-SLA/OMSOP</w:t>
            </w:r>
          </w:p>
        </w:tc>
        <w:tc>
          <w:tcPr>
            <w:tcW w:type="dxa" w:w="5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Implement KPIs, notification, evidence review, access, incident/change, continuity and reassessment controls.</w:t>
            </w:r>
          </w:p>
        </w:tc>
        <w:tc>
          <w:tcPr>
            <w:tcW w:type="dxa" w:w="2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handover and release readiness.</w:t>
            </w:r>
          </w:p>
        </w:tc>
      </w:tr>
    </w:tbl>
    <w:p>
      <w:pPr>
        <w:spacing w:after="40"/>
      </w:pPr>
    </w:p>
    <w:p>
      <w:pPr>
        <w:pStyle w:val="Heading1"/>
      </w:pPr>
      <w:r>
        <w:t>11 Onboarding, monitoring and reassessment plan</w:t>
      </w:r>
    </w:p>
    <w:p>
      <w:pPr>
        <w:pStyle w:val="Heading2"/>
      </w:pPr>
      <w:r>
        <w:t>11.1 Controlled onboarding gates</w:t>
      </w:r>
    </w:p>
    <w:tbl>
      <w:tblPr>
        <w:tblStyle w:val="TableGrid"/>
        <w:tblW w:type="dxa" w:w="9360"/>
        <w:tblLayout w:type="fixed"/>
        <w:tblLook w:firstColumn="1" w:firstRow="1" w:lastColumn="0" w:lastRow="0" w:noHBand="0" w:noVBand="1" w:val="04A0"/>
        <w:tblInd w:w="120" w:type="dxa"/>
      </w:tblPr>
      <w:tblGrid>
        <w:gridCol w:w="1900"/>
        <w:gridCol w:w="4400"/>
        <w:gridCol w:w="2000"/>
        <w:gridCol w:w="1060"/>
      </w:tblGrid>
      <w:tr>
        <w:trPr>
          <w:tblHeader w:val="true"/>
          <w:cantSplit/>
        </w:trPr>
        <w:tc>
          <w:tcPr>
            <w:tcW w:type="dxa" w:w="19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Gate</w:t>
            </w:r>
          </w:p>
        </w:tc>
        <w:tc>
          <w:tcPr>
            <w:tcW w:type="dxa" w:w="44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Minimum evidence</w:t>
            </w:r>
          </w:p>
        </w:tc>
        <w:tc>
          <w:tcPr>
            <w:tcW w:type="dxa" w:w="20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Owner</w:t>
            </w:r>
          </w:p>
        </w:tc>
        <w:tc>
          <w:tcPr>
            <w:tcW w:type="dxa" w:w="10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Current state</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identity and scope</w:t>
            </w:r>
          </w:p>
        </w:tc>
        <w:tc>
          <w:tcPr>
            <w:tcW w:type="dxa" w:w="4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Legal entity, services, product/release, locations, subcontractors, ownership and contacts confirmed.</w:t>
            </w:r>
          </w:p>
        </w:tc>
        <w:tc>
          <w:tcPr>
            <w:tcW w:type="dxa" w:w="2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Supplier Manager</w:t>
            </w:r>
          </w:p>
        </w:tc>
        <w:tc>
          <w:tcPr>
            <w:tcW w:type="dxa" w:w="1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Assessment and risk</w:t>
            </w:r>
          </w:p>
        </w:tc>
        <w:tc>
          <w:tcPr>
            <w:tcW w:type="dxa" w:w="4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Applicable areas concluded; audit/alternative complete; actions controlled; ITRA/ITRRA updated.</w:t>
            </w:r>
          </w:p>
        </w:tc>
        <w:tc>
          <w:tcPr>
            <w:tcW w:type="dxa" w:w="2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Owner / QA</w:t>
            </w:r>
          </w:p>
        </w:tc>
        <w:tc>
          <w:tcPr>
            <w:tcW w:type="dxa" w:w="1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Agreements</w:t>
            </w:r>
          </w:p>
        </w:tc>
        <w:tc>
          <w:tcPr>
            <w:tcW w:type="dxa" w:w="4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Commercial/quality terms, responsibility matrix, SLA/KPIs, security/privacy, evidence, audit and exit clauses approved.</w:t>
            </w:r>
          </w:p>
        </w:tc>
        <w:tc>
          <w:tcPr>
            <w:tcW w:type="dxa" w:w="2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Sourcing / QA roles</w:t>
            </w:r>
          </w:p>
        </w:tc>
        <w:tc>
          <w:tcPr>
            <w:tcW w:type="dxa" w:w="1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Technical readiness</w:t>
            </w:r>
          </w:p>
        </w:tc>
        <w:tc>
          <w:tcPr>
            <w:tcW w:type="dxa" w:w="4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Supported release, architecture, configuration, interfaces, security, backup/recovery and environments approved.</w:t>
            </w:r>
          </w:p>
        </w:tc>
        <w:tc>
          <w:tcPr>
            <w:tcW w:type="dxa" w:w="2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Technical Lead</w:t>
            </w:r>
          </w:p>
        </w:tc>
        <w:tc>
          <w:tcPr>
            <w:tcW w:type="dxa" w:w="1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Evidence reliance</w:t>
            </w:r>
          </w:p>
        </w:tc>
        <w:tc>
          <w:tcPr>
            <w:tcW w:type="dxa" w:w="4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evidence inventoried, current, scoped, reviewed, gap-assessed and linked to verification.</w:t>
            </w:r>
          </w:p>
        </w:tc>
        <w:tc>
          <w:tcPr>
            <w:tcW w:type="dxa" w:w="2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Validation Lead</w:t>
            </w:r>
          </w:p>
        </w:tc>
        <w:tc>
          <w:tcPr>
            <w:tcW w:type="dxa" w:w="1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People and access</w:t>
            </w:r>
          </w:p>
        </w:tc>
        <w:tc>
          <w:tcPr>
            <w:tcW w:type="dxa" w:w="4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Qualified supplier resources, training, account approval, least privilege, monitoring and removal controls complete.</w:t>
            </w:r>
          </w:p>
        </w:tc>
        <w:tc>
          <w:tcPr>
            <w:tcW w:type="dxa" w:w="2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IT Solution Manager</w:t>
            </w:r>
          </w:p>
        </w:tc>
        <w:tc>
          <w:tcPr>
            <w:tcW w:type="dxa" w:w="1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r>
        <w:trPr>
          <w:cantSplit/>
        </w:trPr>
        <w:tc>
          <w:tcPr>
            <w:tcW w:type="dxa" w:w="19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Operational handover</w:t>
            </w:r>
          </w:p>
        </w:tc>
        <w:tc>
          <w:tcPr>
            <w:tcW w:type="dxa" w:w="4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Support, monitoring, incident/change, release, continuity, escalation, review calendar and repository access proven.</w:t>
            </w:r>
          </w:p>
        </w:tc>
        <w:tc>
          <w:tcPr>
            <w:tcW w:type="dxa" w:w="2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Fictional Service Manager</w:t>
            </w:r>
          </w:p>
        </w:tc>
        <w:tc>
          <w:tcPr>
            <w:tcW w:type="dxa" w:w="1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Open</w:t>
            </w:r>
          </w:p>
        </w:tc>
      </w:tr>
    </w:tbl>
    <w:p>
      <w:pPr>
        <w:spacing w:after="40"/>
      </w:pPr>
    </w:p>
    <w:p>
      <w:pPr>
        <w:pStyle w:val="Heading2"/>
      </w:pPr>
      <w:r>
        <w:t>11.2 Monitoring cadence and triggers</w:t>
      </w:r>
    </w:p>
    <w:p>
      <w:pPr>
        <w:pStyle w:val="ListBullet"/>
        <w:spacing w:after="40"/>
      </w:pPr>
      <w:r>
        <w:rPr>
          <w:rFonts w:ascii="Calibri" w:hAnsi="Calibri"/>
        </w:rPr>
        <w:t>Review KPIs, incidents/problems, vulnerabilities/patches, changes/releases, support status, audit/SOC evidence, subcontractors, continuity and overdue actions at the approved service-governance cadence.</w:t>
      </w:r>
    </w:p>
    <w:p>
      <w:pPr>
        <w:pStyle w:val="ListBullet"/>
        <w:spacing w:after="40"/>
      </w:pPr>
      <w:r>
        <w:rPr>
          <w:rFonts w:ascii="Calibri" w:hAnsi="Calibri"/>
        </w:rPr>
        <w:t>Perform annual re-attestation of the supplier assessment and initiate a reassessment whenever the scope, product, service model, ownership, location, subservice organisation, data processing, control evidence or risk changes.</w:t>
      </w:r>
    </w:p>
    <w:p>
      <w:pPr>
        <w:pStyle w:val="ListBullet"/>
        <w:spacing w:after="40"/>
      </w:pPr>
      <w:r>
        <w:rPr>
          <w:rFonts w:ascii="Calibri" w:hAnsi="Calibri"/>
        </w:rPr>
        <w:t>Escalate missed KPIs through agreed corrective actions and management routes; preserve warning/termination decisions in the applicable controlled process.</w:t>
      </w:r>
    </w:p>
    <w:p>
      <w:pPr>
        <w:pStyle w:val="ListBullet"/>
        <w:spacing w:after="40"/>
      </w:pPr>
      <w:r>
        <w:rPr>
          <w:rFonts w:ascii="Calibri" w:hAnsi="Calibri"/>
        </w:rPr>
        <w:t>Use for-cause audit/evaluation when serious quality, security, data, regulatory, continuity, performance or trust concerns arise.</w:t>
      </w:r>
    </w:p>
    <w:p>
      <w:pPr>
        <w:pStyle w:val="ListBullet"/>
        <w:spacing w:after="40"/>
      </w:pPr>
      <w:r>
        <w:rPr>
          <w:rFonts w:ascii="Calibri" w:hAnsi="Calibri"/>
        </w:rPr>
        <w:t>Plan phase-out early, including knowledge transfer, access removal, data/documentation availability, asset return, retention, service retirement and formal supplier communication.</w:t>
      </w:r>
    </w:p>
    <w:p>
      <w:pPr>
        <w:pStyle w:val="Heading2"/>
      </w:pPr>
      <w:r>
        <w:t>11.3 Open-action ownership</w:t>
      </w:r>
    </w:p>
    <w:tbl>
      <w:tblPr>
        <w:tblStyle w:val="TableGrid"/>
        <w:tblW w:type="dxa" w:w="9360"/>
        <w:tblLayout w:type="fixed"/>
        <w:tblLook w:firstColumn="1" w:firstRow="1" w:lastColumn="0" w:lastRow="0" w:noHBand="0" w:noVBand="1" w:val="04A0"/>
        <w:tblInd w:w="120" w:type="dxa"/>
      </w:tblPr>
      <w:tblGrid>
        <w:gridCol w:w="1800"/>
        <w:gridCol w:w="2400"/>
        <w:gridCol w:w="3600"/>
        <w:gridCol w:w="1560"/>
      </w:tblGrid>
      <w:tr>
        <w:trPr>
          <w:tblHeader w:val="true"/>
          <w:cantSplit/>
        </w:trPr>
        <w:tc>
          <w:tcPr>
            <w:tcW w:type="dxa" w:w="18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Action group</w:t>
            </w:r>
          </w:p>
        </w:tc>
        <w:tc>
          <w:tcPr>
            <w:tcW w:type="dxa" w:w="24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Accountable fictional role</w:t>
            </w:r>
          </w:p>
        </w:tc>
        <w:tc>
          <w:tcPr>
            <w:tcW w:type="dxa" w:w="36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Required closure evidence</w:t>
            </w:r>
          </w:p>
        </w:tc>
        <w:tc>
          <w:tcPr>
            <w:tcW w:type="dxa" w:w="15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Release effect</w:t>
            </w:r>
          </w:p>
        </w:tc>
      </w:tr>
      <w:tr>
        <w:trPr>
          <w:cantSplit/>
        </w:trPr>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and service identity</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Manager</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supplier/service profile and ownership record.</w:t>
            </w:r>
          </w:p>
        </w:tc>
        <w:tc>
          <w:tcPr>
            <w:tcW w:type="dxa" w:w="1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design/service baseline</w:t>
            </w:r>
          </w:p>
        </w:tc>
      </w:tr>
      <w:tr>
        <w:trPr>
          <w:cantSplit/>
        </w:trPr>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Qualification/QMS</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IT Solution Owner with QA</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Audit or approved alternative, actions and final QMS conclusion.</w:t>
            </w:r>
          </w:p>
        </w:tc>
        <w:tc>
          <w:tcPr>
            <w:tcW w:type="dxa" w:w="1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GxP delivery</w:t>
            </w:r>
          </w:p>
        </w:tc>
      </w:tr>
      <w:tr>
        <w:trPr>
          <w:cantSplit/>
        </w:trPr>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Security/SOC</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SME</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assessment and any completed SOC review/CUEC allocation.</w:t>
            </w:r>
          </w:p>
        </w:tc>
        <w:tc>
          <w:tcPr>
            <w:tcW w:type="dxa" w:w="1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residual risk acceptance</w:t>
            </w:r>
          </w:p>
        </w:tc>
      </w:tr>
      <w:tr>
        <w:trPr>
          <w:cantSplit/>
        </w:trPr>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Privacy/ethics</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Privacy and Sourcing roles</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Applicability, due diligence, contractual controls and actions.</w:t>
            </w:r>
          </w:p>
        </w:tc>
        <w:tc>
          <w:tcPr>
            <w:tcW w:type="dxa" w:w="1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relevant processing</w:t>
            </w:r>
          </w:p>
        </w:tc>
      </w:tr>
      <w:tr>
        <w:trPr>
          <w:cantSplit/>
        </w:trPr>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Financial/environmental</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Sourcing/Procurement roles</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assessments and conditions.</w:t>
            </w:r>
          </w:p>
        </w:tc>
        <w:tc>
          <w:tcPr>
            <w:tcW w:type="dxa" w:w="1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final selection where required</w:t>
            </w:r>
          </w:p>
        </w:tc>
      </w:tr>
      <w:tr>
        <w:trPr>
          <w:cantSplit/>
        </w:trPr>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Agreement/SLA/KPI</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IT Solution Owner with Sourcing/QA</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commercial/quality agreement, RACI and service measures.</w:t>
            </w:r>
          </w:p>
        </w:tc>
        <w:tc>
          <w:tcPr>
            <w:tcW w:type="dxa" w:w="1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service start</w:t>
            </w:r>
          </w:p>
        </w:tc>
      </w:tr>
      <w:tr>
        <w:trPr>
          <w:cantSplit/>
        </w:trPr>
        <w:tc>
          <w:tcPr>
            <w:tcW w:type="dxa" w:w="18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Evidence/verification</w:t>
            </w:r>
          </w:p>
        </w:tc>
        <w:tc>
          <w:tcPr>
            <w:tcW w:type="dxa" w:w="24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Validation Lead</w:t>
            </w:r>
          </w:p>
        </w:tc>
        <w:tc>
          <w:tcPr>
            <w:tcW w:type="dxa" w:w="36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Evidence gap assessment and approved verification strategy/results.</w:t>
            </w:r>
          </w:p>
        </w:tc>
        <w:tc>
          <w:tcPr>
            <w:tcW w:type="dxa" w:w="1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release</w:t>
            </w:r>
          </w:p>
        </w:tc>
      </w:tr>
      <w:tr>
        <w:trPr>
          <w:cantSplit/>
        </w:trPr>
        <w:tc>
          <w:tcPr>
            <w:tcW w:type="dxa" w:w="18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Onboarding/handover</w:t>
            </w:r>
          </w:p>
        </w:tc>
        <w:tc>
          <w:tcPr>
            <w:tcW w:type="dxa" w:w="24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IT Solution Manager</w:t>
            </w:r>
          </w:p>
        </w:tc>
        <w:tc>
          <w:tcPr>
            <w:tcW w:type="dxa" w:w="36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Training, access, support, monitoring and repository readiness.</w:t>
            </w:r>
          </w:p>
        </w:tc>
        <w:tc>
          <w:tcPr>
            <w:tcW w:type="dxa" w:w="1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Blocks handover</w:t>
            </w:r>
          </w:p>
        </w:tc>
      </w:tr>
    </w:tbl>
    <w:p>
      <w:pPr>
        <w:spacing w:after="40"/>
      </w:pPr>
    </w:p>
    <w:p>
      <w:pPr>
        <w:pStyle w:val="Heading1"/>
        <w:pageBreakBefore/>
      </w:pPr>
      <w:r>
        <w:t>12 Assumptions, Verify items and quality gate</w:t>
      </w:r>
    </w:p>
    <w:p>
      <w:pPr>
        <w:pStyle w:val="Heading2"/>
      </w:pPr>
      <w:r>
        <w:t>12.1 Controlled assumptions</w:t>
      </w:r>
    </w:p>
    <w:tbl>
      <w:tblPr>
        <w:tblStyle w:val="TableGrid"/>
        <w:tblW w:type="dxa" w:w="9360"/>
        <w:tblLayout w:type="fixed"/>
        <w:tblLook w:firstColumn="1" w:firstRow="1" w:lastColumn="0" w:lastRow="0" w:noHBand="0" w:noVBand="1" w:val="04A0"/>
        <w:tblInd w:w="120" w:type="dxa"/>
      </w:tblPr>
      <w:tblGrid>
        <w:gridCol w:w="1500"/>
        <w:gridCol w:w="4300"/>
        <w:gridCol w:w="3560"/>
      </w:tblGrid>
      <w:tr>
        <w:trPr>
          <w:tblHeader w:val="true"/>
          <w:cantSplit/>
        </w:trPr>
        <w:tc>
          <w:tcPr>
            <w:tcW w:type="dxa" w:w="15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Assumption ID</w:t>
            </w:r>
          </w:p>
        </w:tc>
        <w:tc>
          <w:tcPr>
            <w:tcW w:type="dxa" w:w="4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Assumption</w:t>
            </w:r>
          </w:p>
        </w:tc>
        <w:tc>
          <w:tcPr>
            <w:tcW w:type="dxa" w:w="35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Downstream handling</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ASM-SUPA-001</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Novo Life, Supplier Alpha, every person, review entry and decision are fictional.</w:t>
            </w:r>
          </w:p>
        </w:tc>
        <w:tc>
          <w:tcPr>
            <w:tcW w:type="dxa" w:w="3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Retain dummy status and never substitute real identity/signature without a controlled project process.</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ASM-SUPA-002</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Alpha is the candidate PAS-X product/support provider for the current conceptual scope.</w:t>
            </w:r>
          </w:p>
        </w:tc>
        <w:tc>
          <w:tcPr>
            <w:tcW w:type="dxa" w:w="3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Reassess if the supplier/service split or sourcing model changes.</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ASM-SUPA-003</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The current 50-requirement and 26-risk baselines are authoritative for this simulation.</w:t>
            </w:r>
          </w:p>
        </w:tc>
        <w:tc>
          <w:tcPr>
            <w:tcW w:type="dxa" w:w="3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New needs/risks must first update the controlled catalogues.</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ASM-SUPA-004</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 supplier evidence, agreement, audit, SOC report or KPI result is treated as existing.</w:t>
            </w:r>
          </w:p>
        </w:tc>
        <w:tc>
          <w:tcPr>
            <w:tcW w:type="dxa" w:w="3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All dependent conclusions remain conditional/open.</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ASM-SUPA-005</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The solution is GxP critical with high business/process impact.</w:t>
            </w:r>
          </w:p>
        </w:tc>
        <w:tc>
          <w:tcPr>
            <w:tcW w:type="dxa" w:w="3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Lower rigor only after an approved system/risk reassessment.</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ASM-SUPA-006</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Hosting, backup, monitoring, identity and personal-data allocations are not confirmed.</w:t>
            </w:r>
          </w:p>
        </w:tc>
        <w:tc>
          <w:tcPr>
            <w:tcW w:type="dxa" w:w="3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Use conditional controls until DS/service agreements resolve allocation.</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ASM-SUPA-007</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Annual re-attestation is required; a two-year full evaluation is the conservative provisional cycle.</w:t>
            </w:r>
          </w:p>
        </w:tc>
        <w:tc>
          <w:tcPr>
            <w:tcW w:type="dxa" w:w="35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final method/frequency after service model and evidence are approved.</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ASM-SUPA-008</w:t>
            </w:r>
          </w:p>
        </w:tc>
        <w:tc>
          <w:tcPr>
            <w:tcW w:type="dxa" w:w="4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This report approves only the simulated document and next-step planning.</w:t>
            </w:r>
          </w:p>
        </w:tc>
        <w:tc>
          <w:tcPr>
            <w:tcW w:type="dxa" w:w="35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Do not interpret as supplier qualification, release or risk acceptance.</w:t>
            </w:r>
          </w:p>
        </w:tc>
      </w:tr>
    </w:tbl>
    <w:p>
      <w:pPr>
        <w:spacing w:after="40"/>
      </w:pPr>
    </w:p>
    <w:p>
      <w:pPr>
        <w:pStyle w:val="Heading2"/>
      </w:pPr>
      <w:r>
        <w:t>12.2 Verify register</w:t>
      </w:r>
    </w:p>
    <w:tbl>
      <w:tblPr>
        <w:tblStyle w:val="TableGrid"/>
        <w:tblW w:type="dxa" w:w="9360"/>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Verify ID</w:t>
            </w:r>
          </w:p>
        </w:tc>
        <w:tc>
          <w:tcPr>
            <w:tcW w:type="dxa" w:w="50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Open item</w:t>
            </w:r>
          </w:p>
        </w:tc>
        <w:tc>
          <w:tcPr>
            <w:tcW w:type="dxa" w:w="28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Owner / closure evidence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VER-SUPA-001</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legal supplier entity, ownership, locations, service scope and authorised supplier owner.</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Manager / approved supplier profile</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VER-SUPA-002</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PAS-X release, modules, prerequisites, compatibility, supported versions, roadmap and known limitations.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Product baseline / supplier evidence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VER-SUPA-003</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deployment/hosting model and responsibility for infrastructure, database, middleware, backup, monitoring and identity.</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DS / service responsibility matrix</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VER-SUPA-004</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Complete supplier response against all 50 URS and record gaps/constraints.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RFP/requirement response and review</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VER-SUPA-005</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software categories and any custom code, scripts or bespoke interface components.</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DS/CS/IS and category assessment</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VER-SUPA-006</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Complete qualification audit or approve/document the alternative evaluation method and rationale.</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Audit/evaluation record with action disposition</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VER-SUPA-007</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Review QMS/SDLC, certifications, design/coding/test/change/release/records/training processes.</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QMS evidence and assessment conclusion</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VER-SUPA-008</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Complete security due diligence, secure-development, vulnerability, patch, access and incident controls.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Security assessment / approved actions</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VER-SUPA-009</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If SOC evidence is used, complete Q0791684 review of period, scope, opinion, exceptions, CUECs and subservices.</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SOC review; no ID assigned</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VER-SUPA-010</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personal-data processing, locations, transfers and subprocessors; complete applicable vendor due diligence and contract controls.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Privacy process evidence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VER-SUPA-011</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Complete business-ethics, environmental and financial assessments through responsible sourcing/procurement roles.</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assessment outcomes</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VER-SUPA-012</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 commercial and quality agreements with complete GxP, security, privacy, evidence, audit and exit clauses.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Executed agreements; no real identifier asserted</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VER-SUPA-013</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 SLA/KPIs, reporting, escalation, measurement method and review cadence.</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Approved SLA/KPI schedule</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VER-SUPA-014</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supplier/subservice change, release, vulnerability, incident and lifecycle notification routes.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Agreement and walkthrough evidence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VER-SUPA-015</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Define supplier evidence inventory, permitted reliance and Novo Life verification gaps.</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Validation/evidence gap assessment</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VER-SUPA-016</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backup/recovery scope, obligations, objectives, evidence and exercise participation where allocated.</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Recovery plan/SLA/verification</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VER-SUPA-017</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Complete onboarding, resource competence, training, access, knowledge transfer and support handover.</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Onboarding report/readiness evidence</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VER-SUPA-018</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Implement and verify supplier-related controls, update ITRA/ITRRA and rate/accept residual risks.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Risk/control/verification evidence</w:t>
            </w:r>
          </w:p>
        </w:tc>
      </w:tr>
      <w:tr>
        <w:trPr>
          <w:cantSplit/>
        </w:trPr>
        <w:tc>
          <w:tcPr>
            <w:tcW w:type="dxa" w:w="15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VER-SUPA-019</w:t>
            </w:r>
          </w:p>
        </w:tc>
        <w:tc>
          <w:tcPr>
            <w:tcW w:type="dxa" w:w="50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annual re-attestation and full-evaluation frequency in the controlled operational calendar.</w:t>
            </w:r>
          </w:p>
        </w:tc>
        <w:tc>
          <w:tcPr>
            <w:tcW w:type="dxa" w:w="28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O&amp;M / ITPSE / supplier review plan</w:t>
            </w:r>
          </w:p>
        </w:tc>
      </w:tr>
      <w:tr>
        <w:trPr>
          <w:cantSplit/>
        </w:trPr>
        <w:tc>
          <w:tcPr>
            <w:tcW w:type="dxa" w:w="15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VER-SUPA-020</w:t>
            </w:r>
          </w:p>
        </w:tc>
        <w:tc>
          <w:tcPr>
            <w:tcW w:type="dxa" w:w="50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Confirm document/repository ownership, access, retention, versioning and confidentiality controls.</w:t>
            </w:r>
          </w:p>
        </w:tc>
        <w:tc>
          <w:tcPr>
            <w:tcW w:type="dxa" w:w="28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Controlled repository and document owner</w:t>
            </w:r>
          </w:p>
        </w:tc>
      </w:tr>
    </w:tbl>
    <w:p>
      <w:pPr>
        <w:spacing w:after="40"/>
      </w:pPr>
    </w:p>
    <w:p>
      <w:pPr>
        <w:pStyle w:val="Heading2"/>
      </w:pPr>
      <w:r>
        <w:t>12.3 Quality gate</w:t>
      </w:r>
    </w:p>
    <w:tbl>
      <w:tblPr>
        <w:tblStyle w:val="TableGrid"/>
        <w:tblW w:type="dxa" w:w="9360"/>
        <w:tblLayout w:type="fixed"/>
        <w:tblLook w:firstColumn="1" w:firstRow="1" w:lastColumn="0" w:lastRow="0" w:noHBand="0" w:noVBand="1" w:val="04A0"/>
        <w:tblInd w:w="120" w:type="dxa"/>
      </w:tblPr>
      <w:tblGrid>
        <w:gridCol w:w="650"/>
        <w:gridCol w:w="7100"/>
        <w:gridCol w:w="1610"/>
      </w:tblGrid>
      <w:tr>
        <w:trPr>
          <w:tblHeader w:val="true"/>
          <w:cantSplit/>
        </w:trPr>
        <w:tc>
          <w:tcPr>
            <w:tcW w:type="dxa" w:w="65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No.</w:t>
            </w:r>
          </w:p>
        </w:tc>
        <w:tc>
          <w:tcPr>
            <w:tcW w:type="dxa" w:w="71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Quality gate</w:t>
            </w:r>
          </w:p>
        </w:tc>
        <w:tc>
          <w:tcPr>
            <w:tcW w:type="dxa" w:w="161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Result</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Aligned with NL-MES-MLGP-001 sequence and NL-MES-IPLAN-001 G1 supplier gate.</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2</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Q0744054 sections and Q187219/Q0807260/Q0744001 controls are represented.</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3</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name, roles, dates and approval entries are fictional/simulated.</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4</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No real supplier evidence, contract, audit, SOC, test, incident, change or signature is invented.</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5</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Exactly 50 valid URS IDs are mapped; no new requirement is created.</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6</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Only RSK-MES-001 through RSK-MES-026 are used; no parallel risk namespace is created.</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7</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RSK-MES-020 remains Open; residual risk is Not rated and acceptance Pending.</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8</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Supplier conclusion distinguishes planning permission from GxP delivery qualification.</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9</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Evaluation method, annual re-attestation, provisional frequency and trigger routes are defined.</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10</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Agreement, KPI, evidence, onboarding, monitoring and phase-out controls are covered.</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11</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All assumptions and source/method limitations are explicit.</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12</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Exact simulated status and footer disclaimer are present.</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13</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Requirement/risk/live traceability registers are updated without unsupported downstream IDs.</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Pass</w:t>
            </w:r>
          </w:p>
        </w:tc>
      </w:tr>
      <w:tr>
        <w:trPr>
          <w:cantSplit/>
        </w:trPr>
        <w:tc>
          <w:tcPr>
            <w:tcW w:type="dxa" w:w="65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14</w:t>
            </w:r>
          </w:p>
        </w:tc>
        <w:tc>
          <w:tcPr>
            <w:tcW w:type="dxa" w:w="71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Metadata/accessibility/heading/section/table audits complete before delivery.</w:t>
            </w:r>
          </w:p>
        </w:tc>
        <w:tc>
          <w:tcPr>
            <w:tcW w:type="dxa" w:w="1610"/>
            <w:shd w:fill="F3F7FA"/>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Pending final QA</w:t>
            </w:r>
          </w:p>
        </w:tc>
      </w:tr>
      <w:tr>
        <w:trPr>
          <w:cantSplit/>
        </w:trPr>
        <w:tc>
          <w:tcPr>
            <w:tcW w:type="dxa" w:w="65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15</w:t>
            </w:r>
          </w:p>
        </w:tc>
        <w:tc>
          <w:tcPr>
            <w:tcW w:type="dxa" w:w="71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Every rendered page visually inspected with no layout defect.</w:t>
            </w:r>
          </w:p>
        </w:tc>
        <w:tc>
          <w:tcPr>
            <w:tcW w:type="dxa" w:w="161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Pending final QA</w:t>
            </w:r>
          </w:p>
        </w:tc>
      </w:tr>
    </w:tbl>
    <w:p>
      <w:pPr>
        <w:spacing w:after="40"/>
      </w:pPr>
    </w:p>
    <w:p>
      <w:pPr>
        <w:pStyle w:val="Heading1"/>
      </w:pPr>
      <w:r>
        <w:t>13 Glossary, final status and change log</w:t>
      </w:r>
    </w:p>
    <w:p>
      <w:pPr>
        <w:pStyle w:val="Heading2"/>
      </w:pPr>
      <w:r>
        <w:t>13.1 Glossary</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trPr>
        <w:tc>
          <w:tcPr>
            <w:tcW w:type="dxa" w:w="2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Term</w:t>
            </w:r>
          </w:p>
        </w:tc>
        <w:tc>
          <w:tcPr>
            <w:tcW w:type="dxa" w:w="70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5"/>
              </w:rPr>
              <w:t>Meaning in this document</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CUEC</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Complementary User Entity Control that the customer must implement for a service control objective.</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GxP delivery</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service/product activity relied upon for the regulated solution; blocked until required gates are complete.</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Qualification audit</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Audit used to obtain factual input for evaluation and approval of a potential supplier.</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Re-attestation</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Annual confirmation that the supplier assessment remains valid; change initiates reassessment.</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SOC report</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Third-party assurance report; no report is supplied or assessed in this document.</w:t>
            </w:r>
          </w:p>
        </w:tc>
      </w:tr>
      <w:tr>
        <w:trPr>
          <w:cantSplit/>
        </w:trPr>
        <w:tc>
          <w:tcPr>
            <w:tcW w:type="dxa" w:w="230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Supplier Alpha</w:t>
            </w:r>
          </w:p>
        </w:tc>
        <w:tc>
          <w:tcPr>
            <w:tcW w:type="dxa" w:w="7060"/>
            <w:shd w:fill="F3F7FA"/>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Fictional supplier used only for this training simulation.</w:t>
            </w:r>
          </w:p>
        </w:tc>
      </w:tr>
      <w:tr>
        <w:trPr>
          <w:cantSplit/>
        </w:trPr>
        <w:tc>
          <w:tcPr>
            <w:tcW w:type="dxa" w:w="2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Working conclusion</w:t>
            </w:r>
          </w:p>
        </w:tc>
        <w:tc>
          <w:tcPr>
            <w:tcW w:type="dxa" w:w="70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5"/>
              </w:rPr>
              <w:t>Provisional decision for the dummy lifecycle step; not a real qualification or evidence of control effectiveness.</w:t>
            </w:r>
          </w:p>
        </w:tc>
      </w:tr>
    </w:tbl>
    <w:p>
      <w:pPr>
        <w:spacing w:after="40"/>
      </w:pPr>
    </w:p>
    <w:p>
      <w:pPr>
        <w:pStyle w:val="Heading2"/>
      </w:pPr>
      <w:r>
        <w:t>13.2 Final simulated status</w:t>
      </w:r>
    </w:p>
    <w:p>
      <w:pPr>
        <w:spacing w:before="80" w:after="120"/>
        <w:shd w:fill="E2F0D9"/>
        <w:pBdr>
          <w:left w:val="single" w:sz="18" w:space="5" w:color="548235"/>
        </w:pBdr>
      </w:pPr>
      <w:r>
        <w:rPr>
          <w:rFonts w:ascii="Calibri" w:hAnsi="Calibri"/>
          <w:b/>
          <w:color w:val="548235"/>
        </w:rPr>
        <w:t xml:space="preserve">Status. </w:t>
      </w:r>
      <w:r>
        <w:rPr>
          <w:rFonts w:ascii="Calibri" w:hAnsi="Calibri"/>
        </w:rPr>
        <w:t>Simulated Reviewed and Approved for Demo/Training Use Only. No handwritten or electronic signature has been applied. The simulated review entries have no operational or regulatory effect. Supplier Alpha remains conditionally fit for controlled selection and implementation planning only; GxP delivery, residual-risk acceptance and release remain blocked by the open evidence and agreement gates.</w:t>
      </w:r>
    </w:p>
    <w:p>
      <w:pPr>
        <w:pStyle w:val="Heading2"/>
      </w:pPr>
      <w:r>
        <w:t>13.3 Final change log</w:t>
      </w:r>
    </w:p>
    <w:tbl>
      <w:tblPr>
        <w:tblStyle w:val="TableGrid"/>
        <w:tblW w:type="dxa" w:w="9360"/>
        <w:tblLayout w:type="fixed"/>
        <w:tblLook w:firstColumn="1" w:firstRow="1" w:lastColumn="0" w:lastRow="0" w:noHBand="0" w:noVBand="1" w:val="04A0"/>
        <w:tblInd w:w="120" w:type="dxa"/>
      </w:tblPr>
      <w:tblGrid>
        <w:gridCol w:w="900"/>
        <w:gridCol w:w="1400"/>
        <w:gridCol w:w="4300"/>
        <w:gridCol w:w="2760"/>
      </w:tblGrid>
      <w:tr>
        <w:trPr>
          <w:tblHeader w:val="true"/>
          <w:cantSplit/>
        </w:trPr>
        <w:tc>
          <w:tcPr>
            <w:tcW w:type="dxa" w:w="9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Version</w:t>
            </w:r>
          </w:p>
        </w:tc>
        <w:tc>
          <w:tcPr>
            <w:tcW w:type="dxa" w:w="1400"/>
            <w:shd w:fill="0B2545"/>
            <w:tcMar>
              <w:top w:w="90" w:type="dxa"/>
              <w:start w:w="120" w:type="dxa"/>
              <w:bottom w:w="90" w:type="dxa"/>
              <w:end w:w="120" w:type="dxa"/>
            </w:tcMar>
            <w:vAlign w:val="center"/>
          </w:tcPr>
          <w:p>
            <w:pPr>
              <w:widowControl/>
              <w:spacing w:before="0" w:after="0" w:line="240" w:lineRule="auto"/>
              <w:jc w:val="center"/>
            </w:pPr>
            <w:r>
              <w:rPr>
                <w:rFonts w:ascii="Calibri" w:hAnsi="Calibri"/>
                <w:b/>
                <w:color w:val="FFFFFF"/>
                <w:sz w:val="14"/>
              </w:rPr>
              <w:t>Date</w:t>
            </w:r>
          </w:p>
        </w:tc>
        <w:tc>
          <w:tcPr>
            <w:tcW w:type="dxa" w:w="430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Change</w:t>
            </w:r>
          </w:p>
        </w:tc>
        <w:tc>
          <w:tcPr>
            <w:tcW w:type="dxa" w:w="2760"/>
            <w:shd w:fill="0B2545"/>
            <w:tcMar>
              <w:top w:w="90" w:type="dxa"/>
              <w:start w:w="120" w:type="dxa"/>
              <w:bottom w:w="90" w:type="dxa"/>
              <w:end w:w="120" w:type="dxa"/>
            </w:tcMar>
            <w:vAlign w:val="center"/>
          </w:tcPr>
          <w:p>
            <w:pPr>
              <w:widowControl/>
              <w:spacing w:before="0" w:after="0" w:line="240" w:lineRule="auto"/>
              <w:jc w:val="left"/>
            </w:pPr>
            <w:r>
              <w:rPr>
                <w:rFonts w:ascii="Calibri" w:hAnsi="Calibri"/>
                <w:b/>
                <w:color w:val="FFFFFF"/>
                <w:sz w:val="14"/>
              </w:rPr>
              <w:t>Simulated status</w:t>
            </w:r>
          </w:p>
        </w:tc>
      </w:tr>
      <w:tr>
        <w:trPr>
          <w:cantSplit/>
        </w:trPr>
        <w:tc>
          <w:tcPr>
            <w:tcW w:type="dxa" w:w="9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0.1</w:t>
            </w:r>
          </w:p>
        </w:tc>
        <w:tc>
          <w:tcPr>
            <w:tcW w:type="dxa" w:w="1400"/>
            <w:tcMar>
              <w:top w:w="90" w:type="dxa"/>
              <w:start w:w="120" w:type="dxa"/>
              <w:bottom w:w="90" w:type="dxa"/>
              <w:end w:w="120" w:type="dxa"/>
            </w:tcMar>
            <w:vAlign w:val="center"/>
          </w:tcPr>
          <w:p>
            <w:pPr>
              <w:widowControl/>
              <w:spacing w:before="0" w:after="0" w:line="240" w:lineRule="auto"/>
              <w:jc w:val="center"/>
            </w:pPr>
            <w:r>
              <w:rPr>
                <w:rFonts w:ascii="Calibri" w:hAnsi="Calibri"/>
                <w:b w:val="0"/>
                <w:color w:val="000000"/>
                <w:sz w:val="14"/>
              </w:rPr>
              <w:t>10 Aug 2026</w:t>
            </w:r>
          </w:p>
        </w:tc>
        <w:tc>
          <w:tcPr>
            <w:tcW w:type="dxa" w:w="430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Initial Supplier Assessment Report using Q0744054 structure; source selection, conditional conclusion, seven assessment areas, evaluation method/frequency, agreement controls, 26-risk update and 50-requirement trace update.</w:t>
            </w:r>
          </w:p>
        </w:tc>
        <w:tc>
          <w:tcPr>
            <w:tcW w:type="dxa" w:w="2760"/>
            <w:tcMar>
              <w:top w:w="90" w:type="dxa"/>
              <w:start w:w="120" w:type="dxa"/>
              <w:bottom w:w="90" w:type="dxa"/>
              <w:end w:w="120" w:type="dxa"/>
            </w:tcMar>
            <w:vAlign w:val="center"/>
          </w:tcPr>
          <w:p>
            <w:pPr>
              <w:widowControl/>
              <w:spacing w:before="0" w:after="0" w:line="240" w:lineRule="auto"/>
              <w:jc w:val="left"/>
            </w:pPr>
            <w:r>
              <w:rPr>
                <w:rFonts w:ascii="Calibri" w:hAnsi="Calibri"/>
                <w:b w:val="0"/>
                <w:color w:val="000000"/>
                <w:sz w:val="14"/>
              </w:rPr>
              <w:t>Simulated Reviewed and Approved for Demo/Training Use Only.</w:t>
            </w:r>
          </w:p>
        </w:tc>
      </w:tr>
    </w:tbl>
    <w:p>
      <w:pPr>
        <w:spacing w:after="40"/>
      </w:pPr>
    </w:p>
    <w:p>
      <w:pPr>
        <w:keepLines w:val="0"/>
      </w:pPr>
      <w:r>
        <w:rPr>
          <w:rFonts w:ascii="Calibri" w:hAnsi="Calibri"/>
        </w:rPr>
        <w:t>Next controlled lifecycle step: NL-MES-FS-001 - Functional Specification.</w:t>
      </w: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NL-MES-SUPA-001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