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pPr>
      <w:r>
        <w:rPr>
          <w:rFonts w:ascii="Calibri" w:hAnsi="Calibri" w:eastAsia="Calibri"/>
          <w:b/>
          <w:i w:val="0"/>
          <w:color w:val="2E74B5"/>
          <w:sz w:val="17"/>
        </w:rPr>
        <w:t>DUMMY AUDIT SIMULATION PACKAGE | SYSTEM DEFINITION</w:t>
      </w:r>
    </w:p>
    <w:p>
      <w:pPr>
        <w:pStyle w:val="Title"/>
        <w:spacing w:after="40"/>
      </w:pPr>
      <w:r>
        <w:rPr>
          <w:rFonts w:ascii="Calibri" w:hAnsi="Calibri" w:eastAsia="Calibri"/>
          <w:b/>
          <w:i w:val="0"/>
          <w:color w:val="1F4D78"/>
          <w:sz w:val="48"/>
        </w:rPr>
        <w:t>System Overview and Description</w:t>
      </w:r>
    </w:p>
    <w:p>
      <w:pPr>
        <w:pStyle w:val="Subtitle"/>
        <w:spacing w:after="160"/>
      </w:pPr>
      <w:r>
        <w:rPr>
          <w:rFonts w:ascii="Calibri" w:hAnsi="Calibri" w:eastAsia="Calibri"/>
          <w:b w:val="0"/>
          <w:i w:val="0"/>
          <w:color w:val="5B6573"/>
          <w:sz w:val="26"/>
        </w:rPr>
        <w:t>MES PAS-X New Implementation | Novo Life</w:t>
      </w:r>
    </w:p>
    <w:tbl>
      <w:tblPr>
        <w:tblW w:type="dxa" w:w="9360"/>
        <w:jc w:val="center"/>
        <w:tblLook w:firstColumn="1" w:firstRow="1" w:lastColumn="0" w:lastRow="0" w:noHBand="0" w:noVBand="1" w:val="04A0"/>
        <w:tblLayout w:type="fixed"/>
        <w:tblInd w:w="120" w:type="dxa"/>
      </w:tblPr>
      <w:tblGrid>
        <w:gridCol w:w="2600"/>
        <w:gridCol w:w="6760"/>
      </w:tblGrid>
      <w:tr>
        <w:trPr>
          <w:cantSplit/>
          <w:tblHeader w:val="true"/>
        </w:trPr>
        <w:tc>
          <w:tcPr>
            <w:tcW w:type="dxa" w:w="260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6"/>
              </w:rPr>
            </w:r>
            <w:r>
              <w:rPr>
                <w:rFonts w:ascii="Calibri" w:hAnsi="Calibri" w:eastAsia="Calibri"/>
                <w:b/>
                <w:i w:val="0"/>
                <w:color w:val="FFFFFF"/>
                <w:sz w:val="16"/>
              </w:rPr>
              <w:t>Control field</w:t>
            </w:r>
          </w:p>
        </w:tc>
        <w:tc>
          <w:tcPr>
            <w:tcW w:type="dxa" w:w="676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6"/>
              </w:rPr>
            </w:r>
            <w:r>
              <w:rPr>
                <w:rFonts w:ascii="Calibri" w:hAnsi="Calibri" w:eastAsia="Calibri"/>
                <w:b/>
                <w:i w:val="0"/>
                <w:color w:val="FFFFFF"/>
                <w:sz w:val="16"/>
              </w:rPr>
              <w:t>Value</w:t>
            </w:r>
          </w:p>
        </w:tc>
      </w:tr>
      <w:tr>
        <w:trPr>
          <w:cantSplit/>
        </w:trPr>
        <w:tc>
          <w:tcPr>
            <w:tcW w:type="dxa" w:w="26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Document ID</w:t>
            </w:r>
          </w:p>
        </w:tc>
        <w:tc>
          <w:tcPr>
            <w:tcW w:type="dxa" w:w="67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NL-MES-SYS-001</w:t>
            </w:r>
          </w:p>
        </w:tc>
      </w:tr>
      <w:tr>
        <w:trPr>
          <w:cantSplit/>
        </w:trPr>
        <w:tc>
          <w:tcPr>
            <w:tcW w:type="dxa" w:w="26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Version</w:t>
            </w:r>
          </w:p>
        </w:tc>
        <w:tc>
          <w:tcPr>
            <w:tcW w:type="dxa" w:w="67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0.1</w:t>
            </w:r>
          </w:p>
        </w:tc>
      </w:tr>
      <w:tr>
        <w:trPr>
          <w:cantSplit/>
        </w:trPr>
        <w:tc>
          <w:tcPr>
            <w:tcW w:type="dxa" w:w="26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Package classification</w:t>
            </w:r>
          </w:p>
        </w:tc>
        <w:tc>
          <w:tcPr>
            <w:tcW w:type="dxa" w:w="67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DUMMY - HACKATHON / TRAINING / DEMO ONLY</w:t>
            </w:r>
          </w:p>
        </w:tc>
      </w:tr>
      <w:tr>
        <w:trPr>
          <w:cantSplit/>
        </w:trPr>
        <w:tc>
          <w:tcPr>
            <w:tcW w:type="dxa" w:w="26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Lifecycle status</w:t>
            </w:r>
          </w:p>
        </w:tc>
        <w:tc>
          <w:tcPr>
            <w:tcW w:type="dxa" w:w="67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Simulated Reviewed and Approved for Demo/Training Use Only.</w:t>
            </w:r>
          </w:p>
        </w:tc>
      </w:tr>
      <w:tr>
        <w:trPr>
          <w:cantSplit/>
        </w:trPr>
        <w:tc>
          <w:tcPr>
            <w:tcW w:type="dxa" w:w="26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System</w:t>
            </w:r>
          </w:p>
        </w:tc>
        <w:tc>
          <w:tcPr>
            <w:tcW w:type="dxa" w:w="67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MES PAS-X</w:t>
            </w:r>
          </w:p>
        </w:tc>
      </w:tr>
      <w:tr>
        <w:trPr>
          <w:cantSplit/>
        </w:trPr>
        <w:tc>
          <w:tcPr>
            <w:tcW w:type="dxa" w:w="26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Company</w:t>
            </w:r>
          </w:p>
        </w:tc>
        <w:tc>
          <w:tcPr>
            <w:tcW w:type="dxa" w:w="67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Novo Life (fictional pharmaceutical organisation)</w:t>
            </w:r>
          </w:p>
        </w:tc>
      </w:tr>
      <w:tr>
        <w:trPr>
          <w:cantSplit/>
        </w:trPr>
        <w:tc>
          <w:tcPr>
            <w:tcW w:type="dxa" w:w="26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Lifecycle phase</w:t>
            </w:r>
          </w:p>
        </w:tc>
        <w:tc>
          <w:tcPr>
            <w:tcW w:type="dxa" w:w="67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Definition - new implementation</w:t>
            </w:r>
          </w:p>
        </w:tc>
      </w:tr>
      <w:tr>
        <w:trPr>
          <w:cantSplit/>
        </w:trPr>
        <w:tc>
          <w:tcPr>
            <w:tcW w:type="dxa" w:w="26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GxP impact</w:t>
            </w:r>
          </w:p>
        </w:tc>
        <w:tc>
          <w:tcPr>
            <w:tcW w:type="dxa" w:w="67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Yes - planned GxP-critical business application</w:t>
            </w:r>
          </w:p>
        </w:tc>
      </w:tr>
      <w:tr>
        <w:trPr>
          <w:cantSplit/>
        </w:trPr>
        <w:tc>
          <w:tcPr>
            <w:tcW w:type="dxa" w:w="26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Prepared date</w:t>
            </w:r>
          </w:p>
        </w:tc>
        <w:tc>
          <w:tcPr>
            <w:tcW w:type="dxa" w:w="67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10 Aug 2026</w:t>
            </w:r>
          </w:p>
        </w:tc>
      </w:tr>
      <w:tr>
        <w:trPr>
          <w:cantSplit/>
        </w:trPr>
        <w:tc>
          <w:tcPr>
            <w:tcW w:type="dxa" w:w="26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Document owner</w:t>
            </w:r>
          </w:p>
        </w:tc>
        <w:tc>
          <w:tcPr>
            <w:tcW w:type="dxa" w:w="67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Fictional IT Solution Owner role</w:t>
            </w:r>
          </w:p>
        </w:tc>
      </w:tr>
    </w:tbl>
    <w:p>
      <w:pPr>
        <w:spacing w:after="0"/>
      </w:pPr>
    </w:p>
    <w:tbl>
      <w:tblPr>
        <w:tblW w:type="dxa" w:w="9360"/>
        <w:tblLook w:firstColumn="1" w:firstRow="1" w:lastColumn="0" w:lastRow="0" w:noHBand="0" w:noVBand="1" w:val="04A0"/>
        <w:tblLayout w:type="fixed"/>
        <w:tblInd w:w="120" w:type="dxa"/>
      </w:tblPr>
      <w:tblGrid>
        <w:gridCol w:w="9360"/>
      </w:tblGrid>
      <w:tr>
        <w:trPr>
          <w:cantSplit/>
        </w:trPr>
        <w:tc>
          <w:tcPr>
            <w:tcW w:type="dxa" w:w="9360"/>
            <w:shd w:fill="D9EAF7"/>
          </w:tcPr>
          <w:p>
            <w:pPr>
              <w:spacing w:before="0" w:after="0" w:line="240" w:lineRule="auto"/>
            </w:pPr>
            <w:r/>
            <w:r>
              <w:rPr>
                <w:rFonts w:ascii="Calibri" w:hAnsi="Calibri" w:eastAsia="Calibri"/>
                <w:b w:val="0"/>
                <w:i w:val="0"/>
                <w:color w:val="243746"/>
                <w:sz w:val="18"/>
              </w:rPr>
              <w:t>Controlled status: Simulated Reviewed and Approved for Demo/Training Use Only. This wording confirms only a simulated review state and is not a real approval, validation conclusion or release decision.</w:t>
            </w:r>
          </w:p>
        </w:tc>
      </w:tr>
    </w:tbl>
    <w:p>
      <w:pPr>
        <w:spacing w:after="0"/>
      </w:pPr>
    </w:p>
    <w:p>
      <w:pPr>
        <w:pStyle w:val="Heading2"/>
        <w:keepNext/>
      </w:pPr>
      <w:r>
        <w:t>Document control</w:t>
      </w:r>
    </w:p>
    <w:tbl>
      <w:tblPr>
        <w:tblW w:type="dxa" w:w="9360"/>
        <w:jc w:val="center"/>
        <w:tblLook w:firstColumn="1" w:firstRow="1" w:lastColumn="0" w:lastRow="0" w:noHBand="0" w:noVBand="1" w:val="04A0"/>
        <w:tblLayout w:type="fixed"/>
        <w:tblInd w:w="120" w:type="dxa"/>
      </w:tblPr>
      <w:tblGrid>
        <w:gridCol w:w="1100"/>
        <w:gridCol w:w="1650"/>
        <w:gridCol w:w="2500"/>
        <w:gridCol w:w="4110"/>
      </w:tblGrid>
      <w:tr>
        <w:trPr>
          <w:cantSplit/>
          <w:tblHeader w:val="true"/>
        </w:trPr>
        <w:tc>
          <w:tcPr>
            <w:tcW w:type="dxa" w:w="110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6"/>
              </w:rPr>
            </w:r>
            <w:r>
              <w:rPr>
                <w:rFonts w:ascii="Calibri" w:hAnsi="Calibri" w:eastAsia="Calibri"/>
                <w:b/>
                <w:i w:val="0"/>
                <w:color w:val="FFFFFF"/>
                <w:sz w:val="16"/>
              </w:rPr>
              <w:t>Version</w:t>
            </w:r>
          </w:p>
        </w:tc>
        <w:tc>
          <w:tcPr>
            <w:tcW w:type="dxa" w:w="165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6"/>
              </w:rPr>
            </w:r>
            <w:r>
              <w:rPr>
                <w:rFonts w:ascii="Calibri" w:hAnsi="Calibri" w:eastAsia="Calibri"/>
                <w:b/>
                <w:i w:val="0"/>
                <w:color w:val="FFFFFF"/>
                <w:sz w:val="16"/>
              </w:rPr>
              <w:t>Date</w:t>
            </w:r>
          </w:p>
        </w:tc>
        <w:tc>
          <w:tcPr>
            <w:tcW w:type="dxa" w:w="250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6"/>
              </w:rPr>
            </w:r>
            <w:r>
              <w:rPr>
                <w:rFonts w:ascii="Calibri" w:hAnsi="Calibri" w:eastAsia="Calibri"/>
                <w:b/>
                <w:i w:val="0"/>
                <w:color w:val="FFFFFF"/>
                <w:sz w:val="16"/>
              </w:rPr>
              <w:t>Authoring role</w:t>
            </w:r>
          </w:p>
        </w:tc>
        <w:tc>
          <w:tcPr>
            <w:tcW w:type="dxa" w:w="411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6"/>
              </w:rPr>
            </w:r>
            <w:r>
              <w:rPr>
                <w:rFonts w:ascii="Calibri" w:hAnsi="Calibri" w:eastAsia="Calibri"/>
                <w:b/>
                <w:i w:val="0"/>
                <w:color w:val="FFFFFF"/>
                <w:sz w:val="16"/>
              </w:rPr>
              <w:t>Change description</w:t>
            </w:r>
          </w:p>
        </w:tc>
      </w:tr>
      <w:tr>
        <w:trPr>
          <w:cantSplit/>
        </w:trPr>
        <w:tc>
          <w:tcPr>
            <w:tcW w:type="dxa" w:w="110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0.1</w:t>
            </w:r>
          </w:p>
        </w:tc>
        <w:tc>
          <w:tcPr>
            <w:tcW w:type="dxa" w:w="165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10 Aug 2026</w:t>
            </w:r>
          </w:p>
        </w:tc>
        <w:tc>
          <w:tcPr>
            <w:tcW w:type="dxa" w:w="250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Fictional Validation Lead</w:t>
            </w:r>
          </w:p>
        </w:tc>
        <w:tc>
          <w:tcPr>
            <w:tcW w:type="dxa" w:w="411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Initial dummy system overview and description for audit simulation.</w:t>
            </w:r>
          </w:p>
        </w:tc>
      </w:tr>
    </w:tbl>
    <w:p>
      <w:pPr>
        <w:spacing w:after="0"/>
      </w:pPr>
    </w:p>
    <w:p>
      <w:pPr>
        <w:pStyle w:val="Heading2"/>
        <w:keepNext/>
      </w:pPr>
      <w:r>
        <w:t>Simulated review and approval</w:t>
      </w:r>
    </w:p>
    <w:tbl>
      <w:tblPr>
        <w:tblW w:type="dxa" w:w="9360"/>
        <w:jc w:val="center"/>
        <w:tblLook w:firstColumn="1" w:firstRow="1" w:lastColumn="0" w:lastRow="0" w:noHBand="0" w:noVBand="1" w:val="04A0"/>
        <w:tblLayout w:type="fixed"/>
        <w:tblInd w:w="120" w:type="dxa"/>
      </w:tblPr>
      <w:tblGrid>
        <w:gridCol w:w="2350"/>
        <w:gridCol w:w="3000"/>
        <w:gridCol w:w="2100"/>
        <w:gridCol w:w="1910"/>
      </w:tblGrid>
      <w:tr>
        <w:trPr>
          <w:cantSplit/>
          <w:tblHeader w:val="true"/>
        </w:trPr>
        <w:tc>
          <w:tcPr>
            <w:tcW w:type="dxa" w:w="235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Role</w:t>
            </w:r>
          </w:p>
        </w:tc>
        <w:tc>
          <w:tcPr>
            <w:tcW w:type="dxa" w:w="300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Review / approval purpose</w:t>
            </w:r>
          </w:p>
        </w:tc>
        <w:tc>
          <w:tcPr>
            <w:tcW w:type="dxa" w:w="210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Simulation evidence</w:t>
            </w:r>
          </w:p>
        </w:tc>
        <w:tc>
          <w:tcPr>
            <w:tcW w:type="dxa" w:w="191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Status</w:t>
            </w:r>
          </w:p>
        </w:tc>
      </w:tr>
      <w:tr>
        <w:trPr>
          <w:cantSplit/>
        </w:trPr>
        <w:tc>
          <w:tcPr>
            <w:tcW w:type="dxa" w:w="23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Fictional Business Process Owner</w:t>
            </w:r>
          </w:p>
        </w:tc>
        <w:tc>
          <w:tcPr>
            <w:tcW w:type="dxa" w:w="30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Intended use, process scope and business boundaries</w:t>
            </w:r>
          </w:p>
        </w:tc>
        <w:tc>
          <w:tcPr>
            <w:tcW w:type="dxa" w:w="21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Not applicable - simulated</w:t>
            </w:r>
          </w:p>
        </w:tc>
        <w:tc>
          <w:tcPr>
            <w:tcW w:type="dxa" w:w="19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Simulated approved</w:t>
            </w:r>
          </w:p>
        </w:tc>
      </w:tr>
      <w:tr>
        <w:trPr>
          <w:cantSplit/>
        </w:trPr>
        <w:tc>
          <w:tcPr>
            <w:tcW w:type="dxa" w:w="23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Fictional IT Solution Owner</w:t>
            </w:r>
          </w:p>
        </w:tc>
        <w:tc>
          <w:tcPr>
            <w:tcW w:type="dxa" w:w="30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System accountability, architecture and lifecycle controls</w:t>
            </w:r>
          </w:p>
        </w:tc>
        <w:tc>
          <w:tcPr>
            <w:tcW w:type="dxa" w:w="21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Not applicable - simulated</w:t>
            </w:r>
          </w:p>
        </w:tc>
        <w:tc>
          <w:tcPr>
            <w:tcW w:type="dxa" w:w="19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Simulated approved</w:t>
            </w:r>
          </w:p>
        </w:tc>
      </w:tr>
      <w:tr>
        <w:trPr>
          <w:cantSplit/>
        </w:trPr>
        <w:tc>
          <w:tcPr>
            <w:tcW w:type="dxa" w:w="23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Fictional Quality Assurance</w:t>
            </w:r>
          </w:p>
        </w:tc>
        <w:tc>
          <w:tcPr>
            <w:tcW w:type="dxa" w:w="30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Independent GxP quality oversight</w:t>
            </w:r>
          </w:p>
        </w:tc>
        <w:tc>
          <w:tcPr>
            <w:tcW w:type="dxa" w:w="21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Not applicable - simulated</w:t>
            </w:r>
          </w:p>
        </w:tc>
        <w:tc>
          <w:tcPr>
            <w:tcW w:type="dxa" w:w="19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Simulated approved</w:t>
            </w:r>
          </w:p>
        </w:tc>
      </w:tr>
    </w:tbl>
    <w:p>
      <w:pPr>
        <w:spacing w:after="0"/>
      </w:pPr>
    </w:p>
    <w:p>
      <w:pPr>
        <w:pStyle w:val="Heading1"/>
        <w:keepNext/>
        <w:pageBreakBefore/>
      </w:pPr>
      <w:r>
        <w:t>Contents</w:t>
      </w:r>
    </w:p>
    <w:tbl>
      <w:tblPr>
        <w:tblW w:type="dxa" w:w="9360"/>
        <w:jc w:val="center"/>
        <w:tblLook w:firstColumn="1" w:firstRow="1" w:lastColumn="0" w:lastRow="0" w:noHBand="0" w:noVBand="1" w:val="04A0"/>
        <w:tblLayout w:type="fixed"/>
        <w:tblInd w:w="120" w:type="dxa"/>
      </w:tblPr>
      <w:tblGrid>
        <w:gridCol w:w="1250"/>
        <w:gridCol w:w="8110"/>
      </w:tblGrid>
      <w:tr>
        <w:trPr>
          <w:cantSplit/>
          <w:tblHeader w:val="true"/>
        </w:trPr>
        <w:tc>
          <w:tcPr>
            <w:tcW w:type="dxa" w:w="125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7"/>
              </w:rPr>
            </w:r>
            <w:r>
              <w:rPr>
                <w:rFonts w:ascii="Calibri" w:hAnsi="Calibri" w:eastAsia="Calibri"/>
                <w:b/>
                <w:i w:val="0"/>
                <w:color w:val="FFFFFF"/>
                <w:sz w:val="17"/>
              </w:rPr>
              <w:t>Section</w:t>
            </w:r>
          </w:p>
        </w:tc>
        <w:tc>
          <w:tcPr>
            <w:tcW w:type="dxa" w:w="811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7"/>
              </w:rPr>
            </w:r>
            <w:r>
              <w:rPr>
                <w:rFonts w:ascii="Calibri" w:hAnsi="Calibri" w:eastAsia="Calibri"/>
                <w:b/>
                <w:i w:val="0"/>
                <w:color w:val="FFFFFF"/>
                <w:sz w:val="17"/>
              </w:rPr>
              <w:t>Title</w:t>
            </w:r>
          </w:p>
        </w:tc>
      </w:tr>
      <w:tr>
        <w:trPr>
          <w:cantSplit/>
        </w:trPr>
        <w:tc>
          <w:tcPr>
            <w:tcW w:type="dxa" w:w="125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1</w:t>
            </w:r>
          </w:p>
        </w:tc>
        <w:tc>
          <w:tcPr>
            <w:tcW w:type="dxa" w:w="811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Purpose, intended use and audience</w:t>
            </w:r>
          </w:p>
        </w:tc>
      </w:tr>
      <w:tr>
        <w:trPr>
          <w:cantSplit/>
        </w:trPr>
        <w:tc>
          <w:tcPr>
            <w:tcW w:type="dxa" w:w="125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2</w:t>
            </w:r>
          </w:p>
        </w:tc>
        <w:tc>
          <w:tcPr>
            <w:tcW w:type="dxa" w:w="811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Source references and template selection</w:t>
            </w:r>
          </w:p>
        </w:tc>
      </w:tr>
      <w:tr>
        <w:trPr>
          <w:cantSplit/>
        </w:trPr>
        <w:tc>
          <w:tcPr>
            <w:tcW w:type="dxa" w:w="125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3</w:t>
            </w:r>
          </w:p>
        </w:tc>
        <w:tc>
          <w:tcPr>
            <w:tcW w:type="dxa" w:w="811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Business and system context</w:t>
            </w:r>
          </w:p>
        </w:tc>
      </w:tr>
      <w:tr>
        <w:trPr>
          <w:cantSplit/>
        </w:trPr>
        <w:tc>
          <w:tcPr>
            <w:tcW w:type="dxa" w:w="125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4</w:t>
            </w:r>
          </w:p>
        </w:tc>
        <w:tc>
          <w:tcPr>
            <w:tcW w:type="dxa" w:w="811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Scope and boundaries</w:t>
            </w:r>
          </w:p>
        </w:tc>
      </w:tr>
      <w:tr>
        <w:trPr>
          <w:cantSplit/>
        </w:trPr>
        <w:tc>
          <w:tcPr>
            <w:tcW w:type="dxa" w:w="125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5</w:t>
            </w:r>
          </w:p>
        </w:tc>
        <w:tc>
          <w:tcPr>
            <w:tcW w:type="dxa" w:w="811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High-level architecture and environments</w:t>
            </w:r>
          </w:p>
        </w:tc>
      </w:tr>
      <w:tr>
        <w:trPr>
          <w:cantSplit/>
        </w:trPr>
        <w:tc>
          <w:tcPr>
            <w:tcW w:type="dxa" w:w="125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6</w:t>
            </w:r>
          </w:p>
        </w:tc>
        <w:tc>
          <w:tcPr>
            <w:tcW w:type="dxa" w:w="811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System components and prerequisites</w:t>
            </w:r>
          </w:p>
        </w:tc>
      </w:tr>
      <w:tr>
        <w:trPr>
          <w:cantSplit/>
        </w:trPr>
        <w:tc>
          <w:tcPr>
            <w:tcW w:type="dxa" w:w="125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7</w:t>
            </w:r>
          </w:p>
        </w:tc>
        <w:tc>
          <w:tcPr>
            <w:tcW w:type="dxa" w:w="811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Business process and capability overview</w:t>
            </w:r>
          </w:p>
        </w:tc>
      </w:tr>
      <w:tr>
        <w:trPr>
          <w:cantSplit/>
        </w:trPr>
        <w:tc>
          <w:tcPr>
            <w:tcW w:type="dxa" w:w="125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8</w:t>
            </w:r>
          </w:p>
        </w:tc>
        <w:tc>
          <w:tcPr>
            <w:tcW w:type="dxa" w:w="811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Integration landscape</w:t>
            </w:r>
          </w:p>
        </w:tc>
      </w:tr>
      <w:tr>
        <w:trPr>
          <w:cantSplit/>
        </w:trPr>
        <w:tc>
          <w:tcPr>
            <w:tcW w:type="dxa" w:w="125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9</w:t>
            </w:r>
          </w:p>
        </w:tc>
        <w:tc>
          <w:tcPr>
            <w:tcW w:type="dxa" w:w="811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Data, records and data flow</w:t>
            </w:r>
          </w:p>
        </w:tc>
      </w:tr>
      <w:tr>
        <w:trPr>
          <w:cantSplit/>
        </w:trPr>
        <w:tc>
          <w:tcPr>
            <w:tcW w:type="dxa" w:w="125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10</w:t>
            </w:r>
          </w:p>
        </w:tc>
        <w:tc>
          <w:tcPr>
            <w:tcW w:type="dxa" w:w="811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Security, access, e-signatures and audit trail</w:t>
            </w:r>
          </w:p>
        </w:tc>
      </w:tr>
      <w:tr>
        <w:trPr>
          <w:cantSplit/>
        </w:trPr>
        <w:tc>
          <w:tcPr>
            <w:tcW w:type="dxa" w:w="125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11</w:t>
            </w:r>
          </w:p>
        </w:tc>
        <w:tc>
          <w:tcPr>
            <w:tcW w:type="dxa" w:w="811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Infrastructure, operations and continuity</w:t>
            </w:r>
          </w:p>
        </w:tc>
      </w:tr>
      <w:tr>
        <w:trPr>
          <w:cantSplit/>
        </w:trPr>
        <w:tc>
          <w:tcPr>
            <w:tcW w:type="dxa" w:w="125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12</w:t>
            </w:r>
          </w:p>
        </w:tc>
        <w:tc>
          <w:tcPr>
            <w:tcW w:type="dxa" w:w="811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Ownership, roles and supplier responsibilities</w:t>
            </w:r>
          </w:p>
        </w:tc>
      </w:tr>
      <w:tr>
        <w:trPr>
          <w:cantSplit/>
        </w:trPr>
        <w:tc>
          <w:tcPr>
            <w:tcW w:type="dxa" w:w="125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13</w:t>
            </w:r>
          </w:p>
        </w:tc>
        <w:tc>
          <w:tcPr>
            <w:tcW w:type="dxa" w:w="811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GxP and validation implications</w:t>
            </w:r>
          </w:p>
        </w:tc>
      </w:tr>
      <w:tr>
        <w:trPr>
          <w:cantSplit/>
        </w:trPr>
        <w:tc>
          <w:tcPr>
            <w:tcW w:type="dxa" w:w="125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14</w:t>
            </w:r>
          </w:p>
        </w:tc>
        <w:tc>
          <w:tcPr>
            <w:tcW w:type="dxa" w:w="811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Assumptions and Verify register</w:t>
            </w:r>
          </w:p>
        </w:tc>
      </w:tr>
      <w:tr>
        <w:trPr>
          <w:cantSplit/>
        </w:trPr>
        <w:tc>
          <w:tcPr>
            <w:tcW w:type="dxa" w:w="125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15</w:t>
            </w:r>
          </w:p>
        </w:tc>
        <w:tc>
          <w:tcPr>
            <w:tcW w:type="dxa" w:w="811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Glossary and maintenance</w:t>
            </w:r>
          </w:p>
        </w:tc>
      </w:tr>
    </w:tbl>
    <w:p>
      <w:pPr>
        <w:spacing w:after="0"/>
      </w:pPr>
    </w:p>
    <w:p>
      <w:pPr>
        <w:pStyle w:val="Heading1"/>
        <w:keepNext/>
      </w:pPr>
      <w:r>
        <w:t>Executive summary</w:t>
      </w:r>
    </w:p>
    <w:p>
      <w:pPr>
        <w:keepNext w:val="0"/>
        <w:keepLines/>
        <w:spacing w:after="120" w:line="264" w:lineRule="auto"/>
      </w:pPr>
      <w:r>
        <w:rPr>
          <w:rFonts w:ascii="Calibri" w:hAnsi="Calibri" w:eastAsia="Calibri"/>
          <w:b w:val="0"/>
          <w:i w:val="0"/>
          <w:sz w:val="22"/>
        </w:rPr>
        <w:t>This document defines the intended use, business context, scope, boundaries, logical and proposed physical arrangements, environments, components, prerequisites, interfaces, data flows, security measures and lifecycle ownership for a fictional new MES PAS-X implementation at Novo Life. It is the system-definition baseline for downstream user requirements, risk assessments, specifications, interface documents, verification and operational controls.</w:t>
      </w:r>
    </w:p>
    <w:p>
      <w:pPr>
        <w:keepNext w:val="0"/>
        <w:keepLines/>
        <w:spacing w:after="120" w:line="264" w:lineRule="auto"/>
      </w:pPr>
      <w:r>
        <w:rPr>
          <w:rFonts w:ascii="Calibri" w:hAnsi="Calibri" w:eastAsia="Calibri"/>
          <w:b w:val="0"/>
          <w:i w:val="0"/>
          <w:sz w:val="22"/>
        </w:rPr>
        <w:t>The implementation is considered GxP-impacting because planned MES functions create, process, approve, retain and exchange electronic manufacturing records used to execute and reconstruct regulated activities. Exact PAS-X release, hosting model, site topology, equipment list, protocols, retention periods, recovery objectives and record-authority decisions are intentionally not invented; each appears in the Verify register for confirmation in a real project.</w:t>
      </w:r>
    </w:p>
    <w:tbl>
      <w:tblPr>
        <w:tblW w:type="dxa" w:w="9360"/>
        <w:tblLook w:firstColumn="1" w:firstRow="1" w:lastColumn="0" w:lastRow="0" w:noHBand="0" w:noVBand="1" w:val="04A0"/>
        <w:tblLayout w:type="fixed"/>
        <w:tblInd w:w="120" w:type="dxa"/>
      </w:tblPr>
      <w:tblGrid>
        <w:gridCol w:w="9360"/>
      </w:tblGrid>
      <w:tr>
        <w:trPr>
          <w:cantSplit/>
        </w:trPr>
        <w:tc>
          <w:tcPr>
            <w:tcW w:type="dxa" w:w="9360"/>
            <w:shd w:fill="FFF2CC"/>
          </w:tcPr>
          <w:p>
            <w:pPr>
              <w:spacing w:before="0" w:after="0" w:line="240" w:lineRule="auto"/>
            </w:pPr>
            <w:r/>
            <w:r>
              <w:rPr>
                <w:rFonts w:ascii="Calibri" w:hAnsi="Calibri" w:eastAsia="Calibri"/>
                <w:b/>
                <w:i w:val="0"/>
                <w:color w:val="1F4D78"/>
                <w:sz w:val="18"/>
              </w:rPr>
              <w:t xml:space="preserve">Use limitation: </w:t>
            </w:r>
            <w:r>
              <w:rPr>
                <w:rFonts w:ascii="Calibri" w:hAnsi="Calibri" w:eastAsia="Calibri"/>
                <w:b w:val="0"/>
                <w:i w:val="0"/>
                <w:color w:val="243746"/>
                <w:sz w:val="18"/>
              </w:rPr>
              <w:t>This document is a controlled dummy baseline. All stated controls describe planned or expected lifecycle behaviour and do not constitute evidence that a live system has been configured, tested, validated, released or operated.</w:t>
            </w:r>
          </w:p>
        </w:tc>
      </w:tr>
    </w:tbl>
    <w:p>
      <w:pPr>
        <w:spacing w:after="0"/>
      </w:pPr>
    </w:p>
    <w:p>
      <w:pPr>
        <w:pStyle w:val="Heading1"/>
        <w:keepNext/>
      </w:pPr>
      <w:r>
        <w:t>1 Purpose, intended use and audience</w:t>
      </w:r>
    </w:p>
    <w:p>
      <w:pPr>
        <w:pStyle w:val="Heading2"/>
        <w:keepNext/>
      </w:pPr>
      <w:r>
        <w:t>1.1 Purpose</w:t>
      </w:r>
    </w:p>
    <w:p>
      <w:pPr>
        <w:keepNext w:val="0"/>
        <w:keepLines/>
        <w:spacing w:after="120" w:line="264" w:lineRule="auto"/>
      </w:pPr>
      <w:r>
        <w:rPr>
          <w:rFonts w:ascii="Calibri" w:hAnsi="Calibri" w:eastAsia="Calibri"/>
          <w:b w:val="0"/>
          <w:i w:val="0"/>
          <w:sz w:val="22"/>
        </w:rPr>
        <w:t>The purpose of this System Overview and Description is to provide one maintained, human-readable definition of MES PAS-X sufficient to establish context for requirements, risk assessment, solution design, verification planning, release readiness and subsequent system management. It also records which facts are confirmed package assumptions and which details require verification.</w:t>
      </w:r>
    </w:p>
    <w:p>
      <w:pPr>
        <w:pStyle w:val="Heading2"/>
        <w:keepNext/>
      </w:pPr>
      <w:r>
        <w:t>1.2 Intended use</w:t>
      </w:r>
    </w:p>
    <w:p>
      <w:pPr>
        <w:keepNext w:val="0"/>
        <w:keepLines/>
        <w:spacing w:after="120" w:line="264" w:lineRule="auto"/>
      </w:pPr>
      <w:r>
        <w:rPr>
          <w:rFonts w:ascii="Calibri" w:hAnsi="Calibri" w:eastAsia="Calibri"/>
          <w:b w:val="0"/>
          <w:i w:val="0"/>
          <w:sz w:val="22"/>
        </w:rPr>
        <w:t>MES PAS-X is intended to support controlled electronic execution and documentation of pharmaceutical manufacturing at Novo Life. The planned solution receives production orders and relevant master data, presents approved manufacturing instructions, guides authorised users through configured workflows, captures execution data and approvals contemporaneously, manages exceptions and electronic records, and exchanges manufacturing status and results with connected systems.</w:t>
      </w:r>
    </w:p>
    <w:p>
      <w:pPr>
        <w:keepNext w:val="0"/>
        <w:keepLines/>
        <w:spacing w:after="120" w:line="264" w:lineRule="auto"/>
      </w:pPr>
      <w:r>
        <w:rPr>
          <w:rFonts w:ascii="Calibri" w:hAnsi="Calibri" w:eastAsia="Calibri"/>
          <w:b w:val="0"/>
          <w:i w:val="0"/>
          <w:sz w:val="22"/>
        </w:rPr>
        <w:t>The intended use includes supporting complete and traceable electronic batch records and providing information for review and disposition activities. Final product disposition, process validation decisions and release authority remain governed by the applicable business process and authorised roles; this system description does not assign those decisions to the software.</w:t>
      </w:r>
    </w:p>
    <w:tbl>
      <w:tblPr>
        <w:tblW w:type="dxa" w:w="9360"/>
        <w:jc w:val="center"/>
        <w:tblLook w:firstColumn="1" w:firstRow="1" w:lastColumn="0" w:lastRow="0" w:noHBand="0" w:noVBand="1" w:val="04A0"/>
        <w:tblLayout w:type="fixed"/>
        <w:tblInd w:w="120" w:type="dxa"/>
      </w:tblPr>
      <w:tblGrid>
        <w:gridCol w:w="2600"/>
        <w:gridCol w:w="6760"/>
      </w:tblGrid>
      <w:tr>
        <w:trPr>
          <w:cantSplit/>
          <w:tblHeader w:val="true"/>
        </w:trPr>
        <w:tc>
          <w:tcPr>
            <w:tcW w:type="dxa" w:w="260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7"/>
              </w:rPr>
            </w:r>
            <w:r>
              <w:rPr>
                <w:rFonts w:ascii="Calibri" w:hAnsi="Calibri" w:eastAsia="Calibri"/>
                <w:b/>
                <w:i w:val="0"/>
                <w:color w:val="FFFFFF"/>
                <w:sz w:val="17"/>
              </w:rPr>
              <w:t>Intended-use dimension</w:t>
            </w:r>
          </w:p>
        </w:tc>
        <w:tc>
          <w:tcPr>
            <w:tcW w:type="dxa" w:w="676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7"/>
              </w:rPr>
            </w:r>
            <w:r>
              <w:rPr>
                <w:rFonts w:ascii="Calibri" w:hAnsi="Calibri" w:eastAsia="Calibri"/>
                <w:b/>
                <w:i w:val="0"/>
                <w:color w:val="FFFFFF"/>
                <w:sz w:val="17"/>
              </w:rPr>
              <w:t>Planned basis</w:t>
            </w:r>
          </w:p>
        </w:tc>
      </w:tr>
      <w:tr>
        <w:trPr>
          <w:cantSplit/>
        </w:trPr>
        <w:tc>
          <w:tcPr>
            <w:tcW w:type="dxa" w:w="2600"/>
            <w:vAlign w:val="center"/>
            <w:tcMar>
              <w:top w:w="80" w:type="dxa"/>
              <w:start w:w="120" w:type="dxa"/>
              <w:bottom w:w="80" w:type="dxa"/>
              <w:end w:w="120" w:type="dxa"/>
            </w:tcMar>
          </w:tcPr>
          <w:p>
            <w:pPr>
              <w:spacing w:before="0" w:after="0" w:line="240" w:lineRule="auto"/>
            </w:pPr>
            <w:r>
              <w:rPr>
                <w:rFonts w:ascii="Calibri" w:hAnsi="Calibri" w:eastAsia="Calibri"/>
                <w:b/>
                <w:i w:val="0"/>
                <w:sz w:val="17"/>
              </w:rPr>
            </w:r>
            <w:r>
              <w:rPr>
                <w:rFonts w:ascii="Calibri" w:hAnsi="Calibri" w:eastAsia="Calibri"/>
                <w:b/>
                <w:i w:val="0"/>
                <w:sz w:val="17"/>
              </w:rPr>
              <w:t>Primary users</w:t>
            </w:r>
          </w:p>
        </w:tc>
        <w:tc>
          <w:tcPr>
            <w:tcW w:type="dxa" w:w="676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Manufacturing operators, supervisors, production support, quality reviewers, system administrators and authorised support roles.</w:t>
            </w:r>
          </w:p>
        </w:tc>
      </w:tr>
      <w:tr>
        <w:trPr>
          <w:cantSplit/>
        </w:trPr>
        <w:tc>
          <w:tcPr>
            <w:tcW w:type="dxa" w:w="2600"/>
            <w:vAlign w:val="center"/>
            <w:tcMar>
              <w:top w:w="80" w:type="dxa"/>
              <w:start w:w="120" w:type="dxa"/>
              <w:bottom w:w="80" w:type="dxa"/>
              <w:end w:w="120" w:type="dxa"/>
            </w:tcMar>
          </w:tcPr>
          <w:p>
            <w:pPr>
              <w:spacing w:before="0" w:after="0" w:line="240" w:lineRule="auto"/>
            </w:pPr>
            <w:r>
              <w:rPr>
                <w:rFonts w:ascii="Calibri" w:hAnsi="Calibri" w:eastAsia="Calibri"/>
                <w:b/>
                <w:i w:val="0"/>
                <w:sz w:val="17"/>
              </w:rPr>
            </w:r>
            <w:r>
              <w:rPr>
                <w:rFonts w:ascii="Calibri" w:hAnsi="Calibri" w:eastAsia="Calibri"/>
                <w:b/>
                <w:i w:val="0"/>
                <w:sz w:val="17"/>
              </w:rPr>
              <w:t>Primary process</w:t>
            </w:r>
          </w:p>
        </w:tc>
        <w:tc>
          <w:tcPr>
            <w:tcW w:type="dxa" w:w="676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Execution and documentation of approved pharmaceutical manufacturing instructions and related review activities.</w:t>
            </w:r>
          </w:p>
        </w:tc>
      </w:tr>
      <w:tr>
        <w:trPr>
          <w:cantSplit/>
        </w:trPr>
        <w:tc>
          <w:tcPr>
            <w:tcW w:type="dxa" w:w="2600"/>
            <w:vAlign w:val="center"/>
            <w:tcMar>
              <w:top w:w="80" w:type="dxa"/>
              <w:start w:w="120" w:type="dxa"/>
              <w:bottom w:w="80" w:type="dxa"/>
              <w:end w:w="120" w:type="dxa"/>
            </w:tcMar>
          </w:tcPr>
          <w:p>
            <w:pPr>
              <w:spacing w:before="0" w:after="0" w:line="240" w:lineRule="auto"/>
            </w:pPr>
            <w:r>
              <w:rPr>
                <w:rFonts w:ascii="Calibri" w:hAnsi="Calibri" w:eastAsia="Calibri"/>
                <w:b/>
                <w:i w:val="0"/>
                <w:sz w:val="17"/>
              </w:rPr>
            </w:r>
            <w:r>
              <w:rPr>
                <w:rFonts w:ascii="Calibri" w:hAnsi="Calibri" w:eastAsia="Calibri"/>
                <w:b/>
                <w:i w:val="0"/>
                <w:sz w:val="17"/>
              </w:rPr>
              <w:t>Primary records</w:t>
            </w:r>
          </w:p>
        </w:tc>
        <w:tc>
          <w:tcPr>
            <w:tcW w:type="dxa" w:w="676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Electronic batch execution data, workflow events, electronic signatures, audit trail entries, exceptions and interface messages.</w:t>
            </w:r>
          </w:p>
        </w:tc>
      </w:tr>
      <w:tr>
        <w:trPr>
          <w:cantSplit/>
        </w:trPr>
        <w:tc>
          <w:tcPr>
            <w:tcW w:type="dxa" w:w="2600"/>
            <w:vAlign w:val="center"/>
            <w:tcMar>
              <w:top w:w="80" w:type="dxa"/>
              <w:start w:w="120" w:type="dxa"/>
              <w:bottom w:w="80" w:type="dxa"/>
              <w:end w:w="120" w:type="dxa"/>
            </w:tcMar>
          </w:tcPr>
          <w:p>
            <w:pPr>
              <w:spacing w:before="0" w:after="0" w:line="240" w:lineRule="auto"/>
            </w:pPr>
            <w:r>
              <w:rPr>
                <w:rFonts w:ascii="Calibri" w:hAnsi="Calibri" w:eastAsia="Calibri"/>
                <w:b/>
                <w:i w:val="0"/>
                <w:sz w:val="17"/>
              </w:rPr>
            </w:r>
            <w:r>
              <w:rPr>
                <w:rFonts w:ascii="Calibri" w:hAnsi="Calibri" w:eastAsia="Calibri"/>
                <w:b/>
                <w:i w:val="0"/>
                <w:sz w:val="17"/>
              </w:rPr>
              <w:t>Decision support</w:t>
            </w:r>
          </w:p>
        </w:tc>
        <w:tc>
          <w:tcPr>
            <w:tcW w:type="dxa" w:w="676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Provides controlled records and status information for review; does not independently make final product release decisions.</w:t>
            </w:r>
          </w:p>
        </w:tc>
      </w:tr>
      <w:tr>
        <w:trPr>
          <w:cantSplit/>
        </w:trPr>
        <w:tc>
          <w:tcPr>
            <w:tcW w:type="dxa" w:w="2600"/>
            <w:vAlign w:val="center"/>
            <w:tcMar>
              <w:top w:w="80" w:type="dxa"/>
              <w:start w:w="120" w:type="dxa"/>
              <w:bottom w:w="80" w:type="dxa"/>
              <w:end w:w="120" w:type="dxa"/>
            </w:tcMar>
          </w:tcPr>
          <w:p>
            <w:pPr>
              <w:spacing w:before="0" w:after="0" w:line="240" w:lineRule="auto"/>
            </w:pPr>
            <w:r>
              <w:rPr>
                <w:rFonts w:ascii="Calibri" w:hAnsi="Calibri" w:eastAsia="Calibri"/>
                <w:b/>
                <w:i w:val="0"/>
                <w:sz w:val="17"/>
              </w:rPr>
            </w:r>
            <w:r>
              <w:rPr>
                <w:rFonts w:ascii="Calibri" w:hAnsi="Calibri" w:eastAsia="Calibri"/>
                <w:b/>
                <w:i w:val="0"/>
                <w:sz w:val="17"/>
              </w:rPr>
              <w:t>Use locations</w:t>
            </w:r>
          </w:p>
        </w:tc>
        <w:tc>
          <w:tcPr>
            <w:tcW w:type="dxa" w:w="676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Fictional Novo Life manufacturing environment and authorised remote/support contexts subject to approved access controls.</w:t>
            </w:r>
          </w:p>
        </w:tc>
      </w:tr>
    </w:tbl>
    <w:p>
      <w:pPr>
        <w:spacing w:after="0"/>
      </w:pPr>
    </w:p>
    <w:p>
      <w:pPr>
        <w:pStyle w:val="Heading2"/>
        <w:keepNext/>
      </w:pPr>
      <w:r>
        <w:t>1.3 Audience and document use</w:t>
      </w:r>
    </w:p>
    <w:p>
      <w:pPr>
        <w:pStyle w:val="ListBullet"/>
        <w:keepLines/>
        <w:spacing w:after="100"/>
      </w:pPr>
      <w:r>
        <w:rPr>
          <w:rFonts w:ascii="Calibri" w:hAnsi="Calibri" w:eastAsia="Calibri"/>
          <w:b w:val="0"/>
          <w:i w:val="0"/>
          <w:sz w:val="22"/>
        </w:rPr>
        <w:t>Business Process Owner and process SMEs use it to confirm intended use and operational boundaries.</w:t>
      </w:r>
    </w:p>
    <w:p>
      <w:pPr>
        <w:pStyle w:val="ListBullet"/>
        <w:keepLines/>
        <w:spacing w:after="100"/>
      </w:pPr>
      <w:r>
        <w:rPr>
          <w:rFonts w:ascii="Calibri" w:hAnsi="Calibri" w:eastAsia="Calibri"/>
          <w:b w:val="0"/>
          <w:i w:val="0"/>
          <w:sz w:val="22"/>
        </w:rPr>
        <w:t>IT Solution Owner, IT System Manager and technical SMEs use it to define components, interfaces, prerequisites and service dependencies.</w:t>
      </w:r>
    </w:p>
    <w:p>
      <w:pPr>
        <w:pStyle w:val="ListBullet"/>
        <w:keepLines/>
        <w:spacing w:after="100"/>
      </w:pPr>
      <w:r>
        <w:rPr>
          <w:rFonts w:ascii="Calibri" w:hAnsi="Calibri" w:eastAsia="Calibri"/>
          <w:b w:val="0"/>
          <w:i w:val="0"/>
          <w:sz w:val="22"/>
        </w:rPr>
        <w:t>Validation Lead and QA use it to scale lifecycle documents and identify critical aspects requiring traceability and verification.</w:t>
      </w:r>
    </w:p>
    <w:p>
      <w:pPr>
        <w:pStyle w:val="ListBullet"/>
        <w:keepLines/>
        <w:spacing w:after="100"/>
      </w:pPr>
      <w:r>
        <w:rPr>
          <w:rFonts w:ascii="Calibri" w:hAnsi="Calibri" w:eastAsia="Calibri"/>
          <w:b w:val="0"/>
          <w:i w:val="0"/>
          <w:sz w:val="22"/>
        </w:rPr>
        <w:t>Security, data integrity and integration SMEs use it to identify risk-assessment scope and required control ownership.</w:t>
      </w:r>
    </w:p>
    <w:p>
      <w:pPr>
        <w:pStyle w:val="ListBullet"/>
        <w:keepLines/>
        <w:spacing w:after="100"/>
      </w:pPr>
      <w:r>
        <w:rPr>
          <w:rFonts w:ascii="Calibri" w:hAnsi="Calibri" w:eastAsia="Calibri"/>
          <w:b w:val="0"/>
          <w:i w:val="0"/>
          <w:sz w:val="22"/>
        </w:rPr>
        <w:t>Suppliers use the approved downstream specifications and agreements derived from this baseline; this document alone is not an executable supplier specification.</w:t>
      </w:r>
    </w:p>
    <w:p>
      <w:pPr>
        <w:pStyle w:val="Heading1"/>
        <w:keepNext/>
      </w:pPr>
      <w:r>
        <w:t>2 Source references and template selection</w:t>
      </w:r>
    </w:p>
    <w:p>
      <w:pPr>
        <w:keepNext w:val="0"/>
        <w:keepLines/>
        <w:spacing w:after="120" w:line="264" w:lineRule="auto"/>
      </w:pPr>
      <w:r>
        <w:rPr>
          <w:rFonts w:ascii="Calibri" w:hAnsi="Calibri" w:eastAsia="Calibri"/>
          <w:b w:val="0"/>
          <w:i w:val="0"/>
          <w:sz w:val="22"/>
        </w:rPr>
        <w:t>The following documents were retrieved from the user-supplied SharePoint folder. Identifiers, versions and status are reproduced only where visible in the supplied copy. Source status must be rechecked if this dummy package is adapted for real use.</w:t>
      </w:r>
    </w:p>
    <w:tbl>
      <w:tblPr>
        <w:tblW w:type="dxa" w:w="9360"/>
        <w:jc w:val="center"/>
        <w:tblLook w:firstColumn="1" w:firstRow="1" w:lastColumn="0" w:lastRow="0" w:noHBand="0" w:noVBand="1" w:val="04A0"/>
        <w:tblLayout w:type="fixed"/>
        <w:tblInd w:w="120" w:type="dxa"/>
      </w:tblPr>
      <w:tblGrid>
        <w:gridCol w:w="650"/>
        <w:gridCol w:w="2500"/>
        <w:gridCol w:w="2450"/>
        <w:gridCol w:w="3760"/>
      </w:tblGrid>
      <w:tr>
        <w:trPr>
          <w:cantSplit/>
          <w:tblHeader w:val="true"/>
        </w:trPr>
        <w:tc>
          <w:tcPr>
            <w:tcW w:type="dxa" w:w="65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Ref.</w:t>
            </w:r>
          </w:p>
        </w:tc>
        <w:tc>
          <w:tcPr>
            <w:tcW w:type="dxa" w:w="250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Source document</w:t>
            </w:r>
          </w:p>
        </w:tc>
        <w:tc>
          <w:tcPr>
            <w:tcW w:type="dxa" w:w="245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Control information visible in supplied copy</w:t>
            </w:r>
          </w:p>
        </w:tc>
        <w:tc>
          <w:tcPr>
            <w:tcW w:type="dxa" w:w="376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Application in this document</w:t>
            </w:r>
          </w:p>
        </w:tc>
      </w:tr>
      <w:tr>
        <w:trPr>
          <w:cantSplit/>
        </w:trPr>
        <w:tc>
          <w:tcPr>
            <w:tcW w:type="dxa" w:w="6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S-01</w:t>
            </w:r>
          </w:p>
        </w:tc>
        <w:tc>
          <w:tcPr>
            <w:tcW w:type="dxa" w:w="25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Manage IT systems including digital solutions</w:t>
            </w:r>
          </w:p>
        </w:tc>
        <w:tc>
          <w:tcPr>
            <w:tcW w:type="dxa" w:w="24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Q187219, Ver. 12.0, Effective 20 Aug 2025</w:t>
            </w:r>
          </w:p>
        </w:tc>
        <w:tc>
          <w:tcPr>
            <w:tcW w:type="dxa" w:w="37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System description content: physical/logical arrangements, data flows, interfaces, prerequisites, security and lifecycle control.</w:t>
            </w:r>
          </w:p>
        </w:tc>
      </w:tr>
      <w:tr>
        <w:trPr>
          <w:cantSplit/>
        </w:trPr>
        <w:tc>
          <w:tcPr>
            <w:tcW w:type="dxa" w:w="6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S-02</w:t>
            </w:r>
          </w:p>
        </w:tc>
        <w:tc>
          <w:tcPr>
            <w:tcW w:type="dxa" w:w="25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Manage documentation for IT solutions</w:t>
            </w:r>
          </w:p>
        </w:tc>
        <w:tc>
          <w:tcPr>
            <w:tcW w:type="dxa" w:w="24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Q0359339, Ver. 4.0, Approved 18 Nov 2024</w:t>
            </w:r>
          </w:p>
        </w:tc>
        <w:tc>
          <w:tcPr>
            <w:tcW w:type="dxa" w:w="37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Documentation scaling, review/approval, maintenance, storage mapping and system-description expectation.</w:t>
            </w:r>
          </w:p>
        </w:tc>
      </w:tr>
      <w:tr>
        <w:trPr>
          <w:cantSplit/>
        </w:trPr>
        <w:tc>
          <w:tcPr>
            <w:tcW w:type="dxa" w:w="6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S-03</w:t>
            </w:r>
          </w:p>
        </w:tc>
        <w:tc>
          <w:tcPr>
            <w:tcW w:type="dxa" w:w="25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Ownership of IT systems and IT infrastructure</w:t>
            </w:r>
          </w:p>
        </w:tc>
        <w:tc>
          <w:tcPr>
            <w:tcW w:type="dxa" w:w="24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Q187218, Ver. 6.0, Effective 01 Oct 2024</w:t>
            </w:r>
          </w:p>
        </w:tc>
        <w:tc>
          <w:tcPr>
            <w:tcW w:type="dxa" w:w="37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Owner accountability, delegation, trained resources, intended use and continuity responsibilities.</w:t>
            </w:r>
          </w:p>
        </w:tc>
      </w:tr>
      <w:tr>
        <w:trPr>
          <w:cantSplit/>
        </w:trPr>
        <w:tc>
          <w:tcPr>
            <w:tcW w:type="dxa" w:w="6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S-04</w:t>
            </w:r>
          </w:p>
        </w:tc>
        <w:tc>
          <w:tcPr>
            <w:tcW w:type="dxa" w:w="25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Manage IT interfaces</w:t>
            </w:r>
          </w:p>
        </w:tc>
        <w:tc>
          <w:tcPr>
            <w:tcW w:type="dxa" w:w="24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Q0873805, Ver. 1.0, Approved 03 Apr 2024</w:t>
            </w:r>
          </w:p>
        </w:tc>
        <w:tc>
          <w:tcPr>
            <w:tcW w:type="dxa" w:w="37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Interface lifecycle, ownership, terms of service, architecture/data-flow and monitoring considerations.</w:t>
            </w:r>
          </w:p>
        </w:tc>
      </w:tr>
      <w:tr>
        <w:trPr>
          <w:cantSplit/>
        </w:trPr>
        <w:tc>
          <w:tcPr>
            <w:tcW w:type="dxa" w:w="6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S-05</w:t>
            </w:r>
          </w:p>
        </w:tc>
        <w:tc>
          <w:tcPr>
            <w:tcW w:type="dxa" w:w="25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Manage data integrity in IT solutions</w:t>
            </w:r>
          </w:p>
        </w:tc>
        <w:tc>
          <w:tcPr>
            <w:tcW w:type="dxa" w:w="24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Q204010, Ver. 8.0, Issued; supplied copy marked Training Copy</w:t>
            </w:r>
          </w:p>
        </w:tc>
        <w:tc>
          <w:tcPr>
            <w:tcW w:type="dxa" w:w="37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Risk-based data-flow assessment; readability/retrievability of GxP data, metadata, audit trails and signatures.</w:t>
            </w:r>
          </w:p>
        </w:tc>
      </w:tr>
      <w:tr>
        <w:trPr>
          <w:cantSplit/>
        </w:trPr>
        <w:tc>
          <w:tcPr>
            <w:tcW w:type="dxa" w:w="6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S-06</w:t>
            </w:r>
          </w:p>
        </w:tc>
        <w:tc>
          <w:tcPr>
            <w:tcW w:type="dxa" w:w="25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Manage Information Security in IT Solutions</w:t>
            </w:r>
          </w:p>
        </w:tc>
        <w:tc>
          <w:tcPr>
            <w:tcW w:type="dxa" w:w="24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Q187655, Ver. 3.0, Effective 02 Oct 2023</w:t>
            </w:r>
          </w:p>
        </w:tc>
        <w:tc>
          <w:tcPr>
            <w:tcW w:type="dxa" w:w="37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Security boundary, component/interface overview and risk-based security-control ownership.</w:t>
            </w:r>
          </w:p>
        </w:tc>
      </w:tr>
      <w:tr>
        <w:trPr>
          <w:cantSplit/>
        </w:trPr>
        <w:tc>
          <w:tcPr>
            <w:tcW w:type="dxa" w:w="6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S-07</w:t>
            </w:r>
          </w:p>
        </w:tc>
        <w:tc>
          <w:tcPr>
            <w:tcW w:type="dxa" w:w="25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IT Operation and Maintenance Description (GxP critical IT system) Template</w:t>
            </w:r>
          </w:p>
        </w:tc>
        <w:tc>
          <w:tcPr>
            <w:tcW w:type="dxa" w:w="24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Q0693715, Ver. 6.0, Approved</w:t>
            </w:r>
          </w:p>
        </w:tc>
        <w:tc>
          <w:tcPr>
            <w:tcW w:type="dxa" w:w="37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Closest accessible template structure for system information, architectural overview and operational dependencies.</w:t>
            </w:r>
          </w:p>
        </w:tc>
      </w:tr>
      <w:tr>
        <w:trPr>
          <w:cantSplit/>
        </w:trPr>
        <w:tc>
          <w:tcPr>
            <w:tcW w:type="dxa" w:w="6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S-08</w:t>
            </w:r>
          </w:p>
        </w:tc>
        <w:tc>
          <w:tcPr>
            <w:tcW w:type="dxa" w:w="25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Master Lifecycle Generation Plan</w:t>
            </w:r>
          </w:p>
        </w:tc>
        <w:tc>
          <w:tcPr>
            <w:tcW w:type="dxa" w:w="24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NL-MES-MLGP-001, Ver. 0.1, dummy package baseline</w:t>
            </w:r>
          </w:p>
        </w:tc>
        <w:tc>
          <w:tcPr>
            <w:tcW w:type="dxa" w:w="37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Approved package sequence, common assumptions, identifiers, integration landscape, roles and quality gate.</w:t>
            </w:r>
          </w:p>
        </w:tc>
      </w:tr>
      <w:tr>
        <w:trPr>
          <w:cantSplit/>
        </w:trPr>
        <w:tc>
          <w:tcPr>
            <w:tcW w:type="dxa" w:w="6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S-09</w:t>
            </w:r>
          </w:p>
        </w:tc>
        <w:tc>
          <w:tcPr>
            <w:tcW w:type="dxa" w:w="25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GxP Data Flow</w:t>
            </w:r>
          </w:p>
        </w:tc>
        <w:tc>
          <w:tcPr>
            <w:tcW w:type="dxa" w:w="24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F-01083073, Ver. 0.1, In Approval</w:t>
            </w:r>
          </w:p>
        </w:tc>
        <w:tc>
          <w:tcPr>
            <w:tcW w:type="dxa" w:w="37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Conceptual integration context only; not treated as an effective controlled instruction.</w:t>
            </w:r>
          </w:p>
        </w:tc>
      </w:tr>
    </w:tbl>
    <w:p>
      <w:pPr>
        <w:spacing w:after="0"/>
      </w:pPr>
    </w:p>
    <w:p>
      <w:pPr>
        <w:pStyle w:val="Heading2"/>
        <w:keepNext/>
      </w:pPr>
      <w:r>
        <w:t>2.1 Template selection rationale</w:t>
      </w:r>
    </w:p>
    <w:tbl>
      <w:tblPr>
        <w:tblW w:type="dxa" w:w="9360"/>
        <w:jc w:val="center"/>
        <w:tblLook w:firstColumn="1" w:firstRow="1" w:lastColumn="0" w:lastRow="0" w:noHBand="0" w:noVBand="1" w:val="04A0"/>
        <w:tblLayout w:type="fixed"/>
        <w:tblInd w:w="120" w:type="dxa"/>
      </w:tblPr>
      <w:tblGrid>
        <w:gridCol w:w="2700"/>
        <w:gridCol w:w="6660"/>
      </w:tblGrid>
      <w:tr>
        <w:trPr>
          <w:cantSplit/>
          <w:tblHeader w:val="true"/>
        </w:trPr>
        <w:tc>
          <w:tcPr>
            <w:tcW w:type="dxa" w:w="270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7"/>
              </w:rPr>
            </w:r>
            <w:r>
              <w:rPr>
                <w:rFonts w:ascii="Calibri" w:hAnsi="Calibri" w:eastAsia="Calibri"/>
                <w:b/>
                <w:i w:val="0"/>
                <w:color w:val="FFFFFF"/>
                <w:sz w:val="17"/>
              </w:rPr>
              <w:t>Decision</w:t>
            </w:r>
          </w:p>
        </w:tc>
        <w:tc>
          <w:tcPr>
            <w:tcW w:type="dxa" w:w="666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7"/>
              </w:rPr>
            </w:r>
            <w:r>
              <w:rPr>
                <w:rFonts w:ascii="Calibri" w:hAnsi="Calibri" w:eastAsia="Calibri"/>
                <w:b/>
                <w:i w:val="0"/>
                <w:color w:val="FFFFFF"/>
                <w:sz w:val="17"/>
              </w:rPr>
              <w:t>Recorded rationale</w:t>
            </w:r>
          </w:p>
        </w:tc>
      </w:tr>
      <w:tr>
        <w:trPr>
          <w:cantSplit/>
        </w:trPr>
        <w:tc>
          <w:tcPr>
            <w:tcW w:type="dxa" w:w="2700"/>
            <w:vAlign w:val="center"/>
            <w:tcMar>
              <w:top w:w="80" w:type="dxa"/>
              <w:start w:w="120" w:type="dxa"/>
              <w:bottom w:w="80" w:type="dxa"/>
              <w:end w:w="120" w:type="dxa"/>
            </w:tcMar>
          </w:tcPr>
          <w:p>
            <w:pPr>
              <w:spacing w:before="0" w:after="0" w:line="240" w:lineRule="auto"/>
            </w:pPr>
            <w:r>
              <w:rPr>
                <w:rFonts w:ascii="Calibri" w:hAnsi="Calibri" w:eastAsia="Calibri"/>
                <w:b/>
                <w:i w:val="0"/>
                <w:sz w:val="17"/>
              </w:rPr>
            </w:r>
            <w:r>
              <w:rPr>
                <w:rFonts w:ascii="Calibri" w:hAnsi="Calibri" w:eastAsia="Calibri"/>
                <w:b/>
                <w:i w:val="0"/>
                <w:sz w:val="17"/>
              </w:rPr>
              <w:t>Exact standalone template</w:t>
            </w:r>
          </w:p>
        </w:tc>
        <w:tc>
          <w:tcPr>
            <w:tcW w:type="dxa" w:w="666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No exact standalone System Overview / System Description Word template was found in the supplied source folder.</w:t>
            </w:r>
          </w:p>
        </w:tc>
      </w:tr>
      <w:tr>
        <w:trPr>
          <w:cantSplit/>
        </w:trPr>
        <w:tc>
          <w:tcPr>
            <w:tcW w:type="dxa" w:w="2700"/>
            <w:vAlign w:val="center"/>
            <w:tcMar>
              <w:top w:w="80" w:type="dxa"/>
              <w:start w:w="120" w:type="dxa"/>
              <w:bottom w:w="80" w:type="dxa"/>
              <w:end w:w="120" w:type="dxa"/>
            </w:tcMar>
          </w:tcPr>
          <w:p>
            <w:pPr>
              <w:spacing w:before="0" w:after="0" w:line="240" w:lineRule="auto"/>
            </w:pPr>
            <w:r>
              <w:rPr>
                <w:rFonts w:ascii="Calibri" w:hAnsi="Calibri" w:eastAsia="Calibri"/>
                <w:b/>
                <w:i w:val="0"/>
                <w:sz w:val="17"/>
              </w:rPr>
            </w:r>
            <w:r>
              <w:rPr>
                <w:rFonts w:ascii="Calibri" w:hAnsi="Calibri" w:eastAsia="Calibri"/>
                <w:b/>
                <w:i w:val="0"/>
                <w:sz w:val="17"/>
              </w:rPr>
              <w:t>Selected structural basis</w:t>
            </w:r>
          </w:p>
        </w:tc>
        <w:tc>
          <w:tcPr>
            <w:tcW w:type="dxa" w:w="666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The approved dummy package business-document style was retained. System-information and architectural-overview coverage was adapted from template Q0693715.</w:t>
            </w:r>
          </w:p>
        </w:tc>
      </w:tr>
      <w:tr>
        <w:trPr>
          <w:cantSplit/>
        </w:trPr>
        <w:tc>
          <w:tcPr>
            <w:tcW w:type="dxa" w:w="2700"/>
            <w:vAlign w:val="center"/>
            <w:tcMar>
              <w:top w:w="80" w:type="dxa"/>
              <w:start w:w="120" w:type="dxa"/>
              <w:bottom w:w="80" w:type="dxa"/>
              <w:end w:w="120" w:type="dxa"/>
            </w:tcMar>
          </w:tcPr>
          <w:p>
            <w:pPr>
              <w:spacing w:before="0" w:after="0" w:line="240" w:lineRule="auto"/>
            </w:pPr>
            <w:r>
              <w:rPr>
                <w:rFonts w:ascii="Calibri" w:hAnsi="Calibri" w:eastAsia="Calibri"/>
                <w:b/>
                <w:i w:val="0"/>
                <w:sz w:val="17"/>
              </w:rPr>
            </w:r>
            <w:r>
              <w:rPr>
                <w:rFonts w:ascii="Calibri" w:hAnsi="Calibri" w:eastAsia="Calibri"/>
                <w:b/>
                <w:i w:val="0"/>
                <w:sz w:val="17"/>
              </w:rPr>
              <w:t>Why this is appropriate</w:t>
            </w:r>
          </w:p>
        </w:tc>
        <w:tc>
          <w:tcPr>
            <w:tcW w:type="dxa" w:w="666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Q0359339 states that a system description is normally part of the business application record rather than a separate document; the user explicitly requested a separate lifecycle deliverable, so this document consolidates that required information without claiming to replace ServiceNow ITOM.</w:t>
            </w:r>
          </w:p>
        </w:tc>
      </w:tr>
      <w:tr>
        <w:trPr>
          <w:cantSplit/>
        </w:trPr>
        <w:tc>
          <w:tcPr>
            <w:tcW w:type="dxa" w:w="2700"/>
            <w:vAlign w:val="center"/>
            <w:tcMar>
              <w:top w:w="80" w:type="dxa"/>
              <w:start w:w="120" w:type="dxa"/>
              <w:bottom w:w="80" w:type="dxa"/>
              <w:end w:w="120" w:type="dxa"/>
            </w:tcMar>
          </w:tcPr>
          <w:p>
            <w:pPr>
              <w:spacing w:before="0" w:after="0" w:line="240" w:lineRule="auto"/>
            </w:pPr>
            <w:r>
              <w:rPr>
                <w:rFonts w:ascii="Calibri" w:hAnsi="Calibri" w:eastAsia="Calibri"/>
                <w:b/>
                <w:i w:val="0"/>
                <w:sz w:val="17"/>
              </w:rPr>
            </w:r>
            <w:r>
              <w:rPr>
                <w:rFonts w:ascii="Calibri" w:hAnsi="Calibri" w:eastAsia="Calibri"/>
                <w:b/>
                <w:i w:val="0"/>
                <w:sz w:val="17"/>
              </w:rPr>
              <w:t>Template hierarchy</w:t>
            </w:r>
          </w:p>
        </w:tc>
        <w:tc>
          <w:tcPr>
            <w:tcW w:type="dxa" w:w="666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The supplied controlled instructions and template content take precedence over package formatting. Where no verified detail exists, the document uses an explicit Verify item.</w:t>
            </w:r>
          </w:p>
        </w:tc>
      </w:tr>
    </w:tbl>
    <w:p>
      <w:pPr>
        <w:spacing w:after="0"/>
      </w:pPr>
    </w:p>
    <w:tbl>
      <w:tblPr>
        <w:tblW w:type="dxa" w:w="9360"/>
        <w:tblLook w:firstColumn="1" w:firstRow="1" w:lastColumn="0" w:lastRow="0" w:noHBand="0" w:noVBand="1" w:val="04A0"/>
        <w:tblLayout w:type="fixed"/>
        <w:tblInd w:w="120" w:type="dxa"/>
      </w:tblPr>
      <w:tblGrid>
        <w:gridCol w:w="9360"/>
      </w:tblGrid>
      <w:tr>
        <w:trPr>
          <w:cantSplit/>
        </w:trPr>
        <w:tc>
          <w:tcPr>
            <w:tcW w:type="dxa" w:w="9360"/>
            <w:shd w:fill="FFF2CC"/>
          </w:tcPr>
          <w:p>
            <w:pPr>
              <w:spacing w:before="0" w:after="0" w:line="240" w:lineRule="auto"/>
            </w:pPr>
            <w:r/>
            <w:r>
              <w:rPr>
                <w:rFonts w:ascii="Calibri" w:hAnsi="Calibri" w:eastAsia="Calibri"/>
                <w:b w:val="0"/>
                <w:i w:val="0"/>
                <w:color w:val="243746"/>
                <w:sz w:val="18"/>
              </w:rPr>
              <w:t>⚠ Verify: The exact current controlled template, applicability decision and source status must be confirmed before any non-training use. This dummy document must not be uploaded as a controlled system record.</w:t>
            </w:r>
          </w:p>
        </w:tc>
      </w:tr>
    </w:tbl>
    <w:p>
      <w:pPr>
        <w:spacing w:after="0"/>
      </w:pPr>
    </w:p>
    <w:p>
      <w:pPr>
        <w:pStyle w:val="Heading1"/>
        <w:keepNext/>
      </w:pPr>
      <w:r>
        <w:t>3 Business and system context</w:t>
      </w:r>
    </w:p>
    <w:p>
      <w:pPr>
        <w:pStyle w:val="Heading2"/>
        <w:keepNext/>
      </w:pPr>
      <w:r>
        <w:t>3.1 Business context</w:t>
      </w:r>
    </w:p>
    <w:p>
      <w:pPr>
        <w:keepNext w:val="0"/>
        <w:keepLines/>
        <w:spacing w:after="120" w:line="264" w:lineRule="auto"/>
      </w:pPr>
      <w:r>
        <w:rPr>
          <w:rFonts w:ascii="Calibri" w:hAnsi="Calibri" w:eastAsia="Calibri"/>
          <w:b w:val="0"/>
          <w:i w:val="0"/>
          <w:sz w:val="22"/>
        </w:rPr>
        <w:t>Novo Life is a fictional pharmaceutical manufacturing organisation created solely for this audit simulation. The planned MES supports shop-floor execution between enterprise planning/laboratory systems and automation/equipment layers, with retained manufacturing records available to authorised review and reporting users.</w:t>
      </w:r>
    </w:p>
    <w:tbl>
      <w:tblPr>
        <w:tblW w:type="dxa" w:w="9360"/>
        <w:jc w:val="center"/>
        <w:tblLook w:firstColumn="1" w:firstRow="1" w:lastColumn="0" w:lastRow="0" w:noHBand="0" w:noVBand="1" w:val="04A0"/>
        <w:tblLayout w:type="fixed"/>
        <w:tblInd w:w="120" w:type="dxa"/>
      </w:tblPr>
      <w:tblGrid>
        <w:gridCol w:w="2750"/>
        <w:gridCol w:w="6610"/>
      </w:tblGrid>
      <w:tr>
        <w:trPr>
          <w:cantSplit/>
          <w:tblHeader w:val="true"/>
        </w:trPr>
        <w:tc>
          <w:tcPr>
            <w:tcW w:type="dxa" w:w="275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7"/>
              </w:rPr>
            </w:r>
            <w:r>
              <w:rPr>
                <w:rFonts w:ascii="Calibri" w:hAnsi="Calibri" w:eastAsia="Calibri"/>
                <w:b/>
                <w:i w:val="0"/>
                <w:color w:val="FFFFFF"/>
                <w:sz w:val="17"/>
              </w:rPr>
              <w:t>Context field</w:t>
            </w:r>
          </w:p>
        </w:tc>
        <w:tc>
          <w:tcPr>
            <w:tcW w:type="dxa" w:w="661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7"/>
              </w:rPr>
            </w:r>
            <w:r>
              <w:rPr>
                <w:rFonts w:ascii="Calibri" w:hAnsi="Calibri" w:eastAsia="Calibri"/>
                <w:b/>
                <w:i w:val="0"/>
                <w:color w:val="FFFFFF"/>
                <w:sz w:val="17"/>
              </w:rPr>
              <w:t>Defined package basis</w:t>
            </w:r>
          </w:p>
        </w:tc>
      </w:tr>
      <w:tr>
        <w:trPr>
          <w:cantSplit/>
        </w:trPr>
        <w:tc>
          <w:tcPr>
            <w:tcW w:type="dxa" w:w="2750"/>
            <w:vAlign w:val="center"/>
            <w:tcMar>
              <w:top w:w="80" w:type="dxa"/>
              <w:start w:w="120" w:type="dxa"/>
              <w:bottom w:w="80" w:type="dxa"/>
              <w:end w:w="120" w:type="dxa"/>
            </w:tcMar>
          </w:tcPr>
          <w:p>
            <w:pPr>
              <w:spacing w:before="0" w:after="0" w:line="240" w:lineRule="auto"/>
            </w:pPr>
            <w:r>
              <w:rPr>
                <w:rFonts w:ascii="Calibri" w:hAnsi="Calibri" w:eastAsia="Calibri"/>
                <w:b/>
                <w:i w:val="0"/>
                <w:sz w:val="17"/>
              </w:rPr>
            </w:r>
            <w:r>
              <w:rPr>
                <w:rFonts w:ascii="Calibri" w:hAnsi="Calibri" w:eastAsia="Calibri"/>
                <w:b/>
                <w:i w:val="0"/>
                <w:sz w:val="17"/>
              </w:rPr>
              <w:t>System name / type</w:t>
            </w:r>
          </w:p>
        </w:tc>
        <w:tc>
          <w:tcPr>
            <w:tcW w:type="dxa" w:w="661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MES PAS-X / Manufacturing Execution System</w:t>
            </w:r>
          </w:p>
        </w:tc>
      </w:tr>
      <w:tr>
        <w:trPr>
          <w:cantSplit/>
        </w:trPr>
        <w:tc>
          <w:tcPr>
            <w:tcW w:type="dxa" w:w="2750"/>
            <w:vAlign w:val="center"/>
            <w:tcMar>
              <w:top w:w="80" w:type="dxa"/>
              <w:start w:w="120" w:type="dxa"/>
              <w:bottom w:w="80" w:type="dxa"/>
              <w:end w:w="120" w:type="dxa"/>
            </w:tcMar>
          </w:tcPr>
          <w:p>
            <w:pPr>
              <w:spacing w:before="0" w:after="0" w:line="240" w:lineRule="auto"/>
            </w:pPr>
            <w:r>
              <w:rPr>
                <w:rFonts w:ascii="Calibri" w:hAnsi="Calibri" w:eastAsia="Calibri"/>
                <w:b/>
                <w:i w:val="0"/>
                <w:sz w:val="17"/>
              </w:rPr>
            </w:r>
            <w:r>
              <w:rPr>
                <w:rFonts w:ascii="Calibri" w:hAnsi="Calibri" w:eastAsia="Calibri"/>
                <w:b/>
                <w:i w:val="0"/>
                <w:sz w:val="17"/>
              </w:rPr>
              <w:t>Implementation type</w:t>
            </w:r>
          </w:p>
        </w:tc>
        <w:tc>
          <w:tcPr>
            <w:tcW w:type="dxa" w:w="661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New implementation with multiple integrations</w:t>
            </w:r>
          </w:p>
        </w:tc>
      </w:tr>
      <w:tr>
        <w:trPr>
          <w:cantSplit/>
        </w:trPr>
        <w:tc>
          <w:tcPr>
            <w:tcW w:type="dxa" w:w="2750"/>
            <w:vAlign w:val="center"/>
            <w:tcMar>
              <w:top w:w="80" w:type="dxa"/>
              <w:start w:w="120" w:type="dxa"/>
              <w:bottom w:w="80" w:type="dxa"/>
              <w:end w:w="120" w:type="dxa"/>
            </w:tcMar>
          </w:tcPr>
          <w:p>
            <w:pPr>
              <w:spacing w:before="0" w:after="0" w:line="240" w:lineRule="auto"/>
            </w:pPr>
            <w:r>
              <w:rPr>
                <w:rFonts w:ascii="Calibri" w:hAnsi="Calibri" w:eastAsia="Calibri"/>
                <w:b/>
                <w:i w:val="0"/>
                <w:sz w:val="17"/>
              </w:rPr>
            </w:r>
            <w:r>
              <w:rPr>
                <w:rFonts w:ascii="Calibri" w:hAnsi="Calibri" w:eastAsia="Calibri"/>
                <w:b/>
                <w:i w:val="0"/>
                <w:sz w:val="17"/>
              </w:rPr>
              <w:t>Business domain</w:t>
            </w:r>
          </w:p>
        </w:tc>
        <w:tc>
          <w:tcPr>
            <w:tcW w:type="dxa" w:w="661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Pharmaceutical manufacturing</w:t>
            </w:r>
          </w:p>
        </w:tc>
      </w:tr>
      <w:tr>
        <w:trPr>
          <w:cantSplit/>
        </w:trPr>
        <w:tc>
          <w:tcPr>
            <w:tcW w:type="dxa" w:w="2750"/>
            <w:vAlign w:val="center"/>
            <w:tcMar>
              <w:top w:w="80" w:type="dxa"/>
              <w:start w:w="120" w:type="dxa"/>
              <w:bottom w:w="80" w:type="dxa"/>
              <w:end w:w="120" w:type="dxa"/>
            </w:tcMar>
          </w:tcPr>
          <w:p>
            <w:pPr>
              <w:spacing w:before="0" w:after="0" w:line="240" w:lineRule="auto"/>
            </w:pPr>
            <w:r>
              <w:rPr>
                <w:rFonts w:ascii="Calibri" w:hAnsi="Calibri" w:eastAsia="Calibri"/>
                <w:b/>
                <w:i w:val="0"/>
                <w:sz w:val="17"/>
              </w:rPr>
            </w:r>
            <w:r>
              <w:rPr>
                <w:rFonts w:ascii="Calibri" w:hAnsi="Calibri" w:eastAsia="Calibri"/>
                <w:b/>
                <w:i w:val="0"/>
                <w:sz w:val="17"/>
              </w:rPr>
              <w:t>GxP impact</w:t>
            </w:r>
          </w:p>
        </w:tc>
        <w:tc>
          <w:tcPr>
            <w:tcW w:type="dxa" w:w="661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Yes - potential impact on product quality, patient safety and documentation thereof</w:t>
            </w:r>
          </w:p>
        </w:tc>
      </w:tr>
      <w:tr>
        <w:trPr>
          <w:cantSplit/>
        </w:trPr>
        <w:tc>
          <w:tcPr>
            <w:tcW w:type="dxa" w:w="2750"/>
            <w:vAlign w:val="center"/>
            <w:tcMar>
              <w:top w:w="80" w:type="dxa"/>
              <w:start w:w="120" w:type="dxa"/>
              <w:bottom w:w="80" w:type="dxa"/>
              <w:end w:w="120" w:type="dxa"/>
            </w:tcMar>
          </w:tcPr>
          <w:p>
            <w:pPr>
              <w:spacing w:before="0" w:after="0" w:line="240" w:lineRule="auto"/>
            </w:pPr>
            <w:r>
              <w:rPr>
                <w:rFonts w:ascii="Calibri" w:hAnsi="Calibri" w:eastAsia="Calibri"/>
                <w:b/>
                <w:i w:val="0"/>
                <w:sz w:val="17"/>
              </w:rPr>
            </w:r>
            <w:r>
              <w:rPr>
                <w:rFonts w:ascii="Calibri" w:hAnsi="Calibri" w:eastAsia="Calibri"/>
                <w:b/>
                <w:i w:val="0"/>
                <w:sz w:val="17"/>
              </w:rPr>
              <w:t>Lifecycle model</w:t>
            </w:r>
          </w:p>
        </w:tc>
        <w:tc>
          <w:tcPr>
            <w:tcW w:type="dxa" w:w="661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Science- and risk-based CSV / CSA-aligned lifecycle</w:t>
            </w:r>
          </w:p>
        </w:tc>
      </w:tr>
      <w:tr>
        <w:trPr>
          <w:cantSplit/>
        </w:trPr>
        <w:tc>
          <w:tcPr>
            <w:tcW w:type="dxa" w:w="2750"/>
            <w:vAlign w:val="center"/>
            <w:tcMar>
              <w:top w:w="80" w:type="dxa"/>
              <w:start w:w="120" w:type="dxa"/>
              <w:bottom w:w="80" w:type="dxa"/>
              <w:end w:w="120" w:type="dxa"/>
            </w:tcMar>
          </w:tcPr>
          <w:p>
            <w:pPr>
              <w:spacing w:before="0" w:after="0" w:line="240" w:lineRule="auto"/>
            </w:pPr>
            <w:r>
              <w:rPr>
                <w:rFonts w:ascii="Calibri" w:hAnsi="Calibri" w:eastAsia="Calibri"/>
                <w:b/>
                <w:i w:val="0"/>
                <w:sz w:val="17"/>
              </w:rPr>
            </w:r>
            <w:r>
              <w:rPr>
                <w:rFonts w:ascii="Calibri" w:hAnsi="Calibri" w:eastAsia="Calibri"/>
                <w:b/>
                <w:i w:val="0"/>
                <w:sz w:val="17"/>
              </w:rPr>
              <w:t>Requirement model</w:t>
            </w:r>
          </w:p>
        </w:tc>
        <w:tc>
          <w:tcPr>
            <w:tcW w:type="dxa" w:w="661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Maximum 50 user requirements governed by the Master Lifecycle Generation Plan</w:t>
            </w:r>
          </w:p>
        </w:tc>
      </w:tr>
      <w:tr>
        <w:trPr>
          <w:cantSplit/>
        </w:trPr>
        <w:tc>
          <w:tcPr>
            <w:tcW w:type="dxa" w:w="2750"/>
            <w:vAlign w:val="center"/>
            <w:tcMar>
              <w:top w:w="80" w:type="dxa"/>
              <w:start w:w="120" w:type="dxa"/>
              <w:bottom w:w="80" w:type="dxa"/>
              <w:end w:w="120" w:type="dxa"/>
            </w:tcMar>
          </w:tcPr>
          <w:p>
            <w:pPr>
              <w:spacing w:before="0" w:after="0" w:line="240" w:lineRule="auto"/>
            </w:pPr>
            <w:r>
              <w:rPr>
                <w:rFonts w:ascii="Calibri" w:hAnsi="Calibri" w:eastAsia="Calibri"/>
                <w:b/>
                <w:i w:val="0"/>
                <w:sz w:val="17"/>
              </w:rPr>
            </w:r>
            <w:r>
              <w:rPr>
                <w:rFonts w:ascii="Calibri" w:hAnsi="Calibri" w:eastAsia="Calibri"/>
                <w:b/>
                <w:i w:val="0"/>
                <w:sz w:val="17"/>
              </w:rPr>
              <w:t>Current lifecycle phase</w:t>
            </w:r>
          </w:p>
        </w:tc>
        <w:tc>
          <w:tcPr>
            <w:tcW w:type="dxa" w:w="661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Definition; before approved URS, design baseline, verification and release</w:t>
            </w:r>
          </w:p>
        </w:tc>
      </w:tr>
      <w:tr>
        <w:trPr>
          <w:cantSplit/>
        </w:trPr>
        <w:tc>
          <w:tcPr>
            <w:tcW w:type="dxa" w:w="2750"/>
            <w:vAlign w:val="center"/>
            <w:tcMar>
              <w:top w:w="80" w:type="dxa"/>
              <w:start w:w="120" w:type="dxa"/>
              <w:bottom w:w="80" w:type="dxa"/>
              <w:end w:w="120" w:type="dxa"/>
            </w:tcMar>
          </w:tcPr>
          <w:p>
            <w:pPr>
              <w:spacing w:before="0" w:after="0" w:line="240" w:lineRule="auto"/>
            </w:pPr>
            <w:r>
              <w:rPr>
                <w:rFonts w:ascii="Calibri" w:hAnsi="Calibri" w:eastAsia="Calibri"/>
                <w:b/>
                <w:i w:val="0"/>
                <w:sz w:val="17"/>
              </w:rPr>
            </w:r>
            <w:r>
              <w:rPr>
                <w:rFonts w:ascii="Calibri" w:hAnsi="Calibri" w:eastAsia="Calibri"/>
                <w:b/>
                <w:i w:val="0"/>
                <w:sz w:val="17"/>
              </w:rPr>
              <w:t>System-of-record position</w:t>
            </w:r>
          </w:p>
        </w:tc>
        <w:tc>
          <w:tcPr>
            <w:tcW w:type="dxa" w:w="6610"/>
            <w:vAlign w:val="center"/>
            <w:tcMar>
              <w:top w:w="80" w:type="dxa"/>
              <w:start w:w="120" w:type="dxa"/>
              <w:bottom w:w="80" w:type="dxa"/>
              <w:end w:w="120" w:type="dxa"/>
            </w:tcMar>
          </w:tcPr>
          <w:p>
            <w:pPr>
              <w:spacing w:before="0" w:after="0" w:line="240" w:lineRule="auto"/>
            </w:pPr>
            <w:r>
              <w:rPr>
                <w:rFonts w:ascii="Calibri" w:hAnsi="Calibri" w:eastAsia="Calibri"/>
                <w:b w:val="0"/>
                <w:i w:val="0"/>
                <w:sz w:val="17"/>
              </w:rPr>
            </w:r>
            <w:r>
              <w:rPr>
                <w:rFonts w:ascii="Calibri" w:hAnsi="Calibri" w:eastAsia="Calibri"/>
                <w:b w:val="0"/>
                <w:i w:val="0"/>
                <w:sz w:val="17"/>
              </w:rPr>
              <w:t>Planned authoritative record for MES execution data within its defined boundary; cross-system authority requires confirmation by data object.</w:t>
            </w:r>
          </w:p>
        </w:tc>
      </w:tr>
    </w:tbl>
    <w:p>
      <w:pPr>
        <w:spacing w:after="0"/>
      </w:pPr>
    </w:p>
    <w:p>
      <w:pPr>
        <w:pStyle w:val="Heading2"/>
        <w:keepNext/>
      </w:pPr>
      <w:r>
        <w:t>3.2 Lifecycle state</w:t>
      </w:r>
    </w:p>
    <w:tbl>
      <w:tblPr>
        <w:tblW w:type="dxa" w:w="9360"/>
        <w:tblLook w:firstColumn="1" w:firstRow="1" w:lastColumn="0" w:lastRow="0" w:noHBand="0" w:noVBand="1" w:val="04A0"/>
        <w:tblLayout w:type="fixed"/>
        <w:tblInd w:w="120" w:type="dxa"/>
      </w:tblPr>
      <w:tblGrid>
        <w:gridCol w:w="9360"/>
      </w:tblGrid>
      <w:tr>
        <w:trPr>
          <w:cantSplit/>
        </w:trPr>
        <w:tc>
          <w:tcPr>
            <w:tcW w:type="dxa" w:w="9360"/>
            <w:shd w:fill="D9EAF7"/>
          </w:tcPr>
          <w:p>
            <w:pPr>
              <w:spacing w:before="0" w:after="0" w:line="240" w:lineRule="auto"/>
            </w:pPr>
            <w:r/>
            <w:r>
              <w:rPr>
                <w:rFonts w:ascii="Calibri" w:hAnsi="Calibri" w:eastAsia="Calibri"/>
                <w:b/>
                <w:i w:val="0"/>
                <w:color w:val="1F4D78"/>
                <w:sz w:val="18"/>
              </w:rPr>
              <w:t xml:space="preserve">Lifecycle context: </w:t>
            </w:r>
            <w:r>
              <w:rPr>
                <w:rFonts w:ascii="Calibri" w:hAnsi="Calibri" w:eastAsia="Calibri"/>
                <w:b w:val="0"/>
                <w:i w:val="0"/>
                <w:color w:val="243746"/>
                <w:sz w:val="18"/>
              </w:rPr>
              <w:t>Definition → Requirements → Risk &amp; Design → Configuration / Build → Verification → Release → Operation &amp; Maintenance → Periodic Evaluation / Change → Retirement</w:t>
            </w:r>
          </w:p>
        </w:tc>
      </w:tr>
    </w:tbl>
    <w:p>
      <w:pPr>
        <w:spacing w:after="0"/>
      </w:pPr>
    </w:p>
    <w:p>
      <w:pPr>
        <w:keepNext w:val="0"/>
        <w:keepLines/>
        <w:spacing w:after="120" w:line="264" w:lineRule="auto"/>
      </w:pPr>
      <w:r>
        <w:rPr>
          <w:rFonts w:ascii="Calibri" w:hAnsi="Calibri" w:eastAsia="Calibri"/>
          <w:b w:val="0"/>
          <w:i w:val="0"/>
          <w:sz w:val="22"/>
        </w:rPr>
        <w:t>This document sits immediately downstream of NL-MES-MLGP-001 and upstream of all requirements and risk documents. It describes the planned system but is not evidence of configuration, installation, testing, validation or production readiness.</w:t>
      </w:r>
    </w:p>
    <w:p>
      <w:pPr>
        <w:pStyle w:val="Heading1"/>
        <w:keepNext/>
      </w:pPr>
      <w:r>
        <w:t>4 Scope and boundaries</w:t>
      </w:r>
    </w:p>
    <w:p>
      <w:pPr>
        <w:pStyle w:val="Heading2"/>
        <w:keepNext/>
      </w:pPr>
      <w:r>
        <w:t>4.1 In-scope capabilities</w:t>
      </w:r>
    </w:p>
    <w:tbl>
      <w:tblPr>
        <w:tblW w:type="dxa" w:w="9360"/>
        <w:jc w:val="center"/>
        <w:tblLook w:firstColumn="1" w:firstRow="1" w:lastColumn="0" w:lastRow="0" w:noHBand="0" w:noVBand="1" w:val="04A0"/>
        <w:tblLayout w:type="fixed"/>
        <w:tblInd w:w="120" w:type="dxa"/>
      </w:tblPr>
      <w:tblGrid>
        <w:gridCol w:w="2800"/>
        <w:gridCol w:w="6560"/>
      </w:tblGrid>
      <w:tr>
        <w:trPr>
          <w:cantSplit/>
          <w:tblHeader w:val="true"/>
        </w:trPr>
        <w:tc>
          <w:tcPr>
            <w:tcW w:type="dxa" w:w="280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6"/>
              </w:rPr>
            </w:r>
            <w:r>
              <w:rPr>
                <w:rFonts w:ascii="Calibri" w:hAnsi="Calibri" w:eastAsia="Calibri"/>
                <w:b/>
                <w:i w:val="0"/>
                <w:color w:val="FFFFFF"/>
                <w:sz w:val="16"/>
              </w:rPr>
              <w:t>Capability area</w:t>
            </w:r>
          </w:p>
        </w:tc>
        <w:tc>
          <w:tcPr>
            <w:tcW w:type="dxa" w:w="656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6"/>
              </w:rPr>
            </w:r>
            <w:r>
              <w:rPr>
                <w:rFonts w:ascii="Calibri" w:hAnsi="Calibri" w:eastAsia="Calibri"/>
                <w:b/>
                <w:i w:val="0"/>
                <w:color w:val="FFFFFF"/>
                <w:sz w:val="16"/>
              </w:rPr>
              <w:t>In-scope overview</w:t>
            </w:r>
          </w:p>
        </w:tc>
      </w:tr>
      <w:tr>
        <w:trPr>
          <w:cantSplit/>
        </w:trPr>
        <w:tc>
          <w:tcPr>
            <w:tcW w:type="dxa" w:w="28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Production order handling</w:t>
            </w:r>
          </w:p>
        </w:tc>
        <w:tc>
          <w:tcPr>
            <w:tcW w:type="dxa" w:w="65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Receive, validate, stage and manage relevant production-order information from the planned ERP interface.</w:t>
            </w:r>
          </w:p>
        </w:tc>
      </w:tr>
      <w:tr>
        <w:trPr>
          <w:cantSplit/>
        </w:trPr>
        <w:tc>
          <w:tcPr>
            <w:tcW w:type="dxa" w:w="28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Master data and master batch records</w:t>
            </w:r>
          </w:p>
        </w:tc>
        <w:tc>
          <w:tcPr>
            <w:tcW w:type="dxa" w:w="65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Use controlled production master data, recipes/MBRs and configuration needed for executable manufacturing instructions.</w:t>
            </w:r>
          </w:p>
        </w:tc>
      </w:tr>
      <w:tr>
        <w:trPr>
          <w:cantSplit/>
        </w:trPr>
        <w:tc>
          <w:tcPr>
            <w:tcW w:type="dxa" w:w="28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Electronic batch execution</w:t>
            </w:r>
          </w:p>
        </w:tc>
        <w:tc>
          <w:tcPr>
            <w:tcW w:type="dxa" w:w="65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Guide authorised users through configured steps, checks, data entry, calculations, holds and completion rules.</w:t>
            </w:r>
          </w:p>
        </w:tc>
      </w:tr>
      <w:tr>
        <w:trPr>
          <w:cantSplit/>
        </w:trPr>
        <w:tc>
          <w:tcPr>
            <w:tcW w:type="dxa" w:w="28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Materials and equipment</w:t>
            </w:r>
          </w:p>
        </w:tc>
        <w:tc>
          <w:tcPr>
            <w:tcW w:type="dxa" w:w="65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Record or consume material/equipment status, identity and use data within the approved process boundary.</w:t>
            </w:r>
          </w:p>
        </w:tc>
      </w:tr>
      <w:tr>
        <w:trPr>
          <w:cantSplit/>
        </w:trPr>
        <w:tc>
          <w:tcPr>
            <w:tcW w:type="dxa" w:w="28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Quality and sampling interactions</w:t>
            </w:r>
          </w:p>
        </w:tc>
        <w:tc>
          <w:tcPr>
            <w:tcW w:type="dxa" w:w="65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Generate or exchange sample requests, status and results with the planned LIMS integration.</w:t>
            </w:r>
          </w:p>
        </w:tc>
      </w:tr>
      <w:tr>
        <w:trPr>
          <w:cantSplit/>
        </w:trPr>
        <w:tc>
          <w:tcPr>
            <w:tcW w:type="dxa" w:w="28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Exceptions and deviations</w:t>
            </w:r>
          </w:p>
        </w:tc>
        <w:tc>
          <w:tcPr>
            <w:tcW w:type="dxa" w:w="65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Capture execution exceptions and support controlled assessment/escalation to the applicable quality process.</w:t>
            </w:r>
          </w:p>
        </w:tc>
      </w:tr>
      <w:tr>
        <w:trPr>
          <w:cantSplit/>
        </w:trPr>
        <w:tc>
          <w:tcPr>
            <w:tcW w:type="dxa" w:w="28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Electronic signatures</w:t>
            </w:r>
          </w:p>
        </w:tc>
        <w:tc>
          <w:tcPr>
            <w:tcW w:type="dxa" w:w="65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Apply attributable electronic approvals with defined meaning and record linkage where required.</w:t>
            </w:r>
          </w:p>
        </w:tc>
      </w:tr>
      <w:tr>
        <w:trPr>
          <w:cantSplit/>
        </w:trPr>
        <w:tc>
          <w:tcPr>
            <w:tcW w:type="dxa" w:w="28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Audit trail and data integrity</w:t>
            </w:r>
          </w:p>
        </w:tc>
        <w:tc>
          <w:tcPr>
            <w:tcW w:type="dxa" w:w="65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Create and retain metadata needed to reconstruct critical actions and changes.</w:t>
            </w:r>
          </w:p>
        </w:tc>
      </w:tr>
      <w:tr>
        <w:trPr>
          <w:cantSplit/>
        </w:trPr>
        <w:tc>
          <w:tcPr>
            <w:tcW w:type="dxa" w:w="28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Review and reporting</w:t>
            </w:r>
          </w:p>
        </w:tc>
        <w:tc>
          <w:tcPr>
            <w:tcW w:type="dxa" w:w="65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Provide authorised review of EBR content, exceptions, audit information and planned reports.</w:t>
            </w:r>
          </w:p>
        </w:tc>
      </w:tr>
      <w:tr>
        <w:trPr>
          <w:cantSplit/>
        </w:trPr>
        <w:tc>
          <w:tcPr>
            <w:tcW w:type="dxa" w:w="28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Interfaces</w:t>
            </w:r>
          </w:p>
        </w:tc>
        <w:tc>
          <w:tcPr>
            <w:tcW w:type="dxa" w:w="65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Exchange data with ERP, LIMS, automation, historian/reporting and enterprise services.</w:t>
            </w:r>
          </w:p>
        </w:tc>
      </w:tr>
      <w:tr>
        <w:trPr>
          <w:cantSplit/>
        </w:trPr>
        <w:tc>
          <w:tcPr>
            <w:tcW w:type="dxa" w:w="28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System administration</w:t>
            </w:r>
          </w:p>
        </w:tc>
        <w:tc>
          <w:tcPr>
            <w:tcW w:type="dxa" w:w="65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Manage controlled configuration, access roles, service accounts, monitoring and support activities.</w:t>
            </w:r>
          </w:p>
        </w:tc>
      </w:tr>
      <w:tr>
        <w:trPr>
          <w:cantSplit/>
        </w:trPr>
        <w:tc>
          <w:tcPr>
            <w:tcW w:type="dxa" w:w="28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Continuity</w:t>
            </w:r>
          </w:p>
        </w:tc>
        <w:tc>
          <w:tcPr>
            <w:tcW w:type="dxa" w:w="65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Support backup, recovery, incident response and continuity arrangements proportionate to business/GxP risk.</w:t>
            </w:r>
          </w:p>
        </w:tc>
      </w:tr>
    </w:tbl>
    <w:p>
      <w:pPr>
        <w:spacing w:after="0"/>
      </w:pPr>
    </w:p>
    <w:p>
      <w:pPr>
        <w:pStyle w:val="Heading2"/>
        <w:keepNext/>
      </w:pPr>
      <w:r>
        <w:t>4.2 Out-of-scope boundaries</w:t>
      </w:r>
    </w:p>
    <w:tbl>
      <w:tblPr>
        <w:tblW w:type="dxa" w:w="9360"/>
        <w:jc w:val="center"/>
        <w:tblLook w:firstColumn="1" w:firstRow="1" w:lastColumn="0" w:lastRow="0" w:noHBand="0" w:noVBand="1" w:val="04A0"/>
        <w:tblLayout w:type="fixed"/>
        <w:tblInd w:w="120" w:type="dxa"/>
      </w:tblPr>
      <w:tblGrid>
        <w:gridCol w:w="2800"/>
        <w:gridCol w:w="6560"/>
      </w:tblGrid>
      <w:tr>
        <w:trPr>
          <w:cantSplit/>
          <w:tblHeader w:val="true"/>
        </w:trPr>
        <w:tc>
          <w:tcPr>
            <w:tcW w:type="dxa" w:w="280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6"/>
              </w:rPr>
            </w:r>
            <w:r>
              <w:rPr>
                <w:rFonts w:ascii="Calibri" w:hAnsi="Calibri" w:eastAsia="Calibri"/>
                <w:b/>
                <w:i w:val="0"/>
                <w:color w:val="FFFFFF"/>
                <w:sz w:val="16"/>
              </w:rPr>
              <w:t>Excluded area</w:t>
            </w:r>
          </w:p>
        </w:tc>
        <w:tc>
          <w:tcPr>
            <w:tcW w:type="dxa" w:w="656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6"/>
              </w:rPr>
            </w:r>
            <w:r>
              <w:rPr>
                <w:rFonts w:ascii="Calibri" w:hAnsi="Calibri" w:eastAsia="Calibri"/>
                <w:b/>
                <w:i w:val="0"/>
                <w:color w:val="FFFFFF"/>
                <w:sz w:val="16"/>
              </w:rPr>
              <w:t>Boundary statement</w:t>
            </w:r>
          </w:p>
        </w:tc>
      </w:tr>
      <w:tr>
        <w:trPr>
          <w:cantSplit/>
        </w:trPr>
        <w:tc>
          <w:tcPr>
            <w:tcW w:type="dxa" w:w="28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ERP and LIMS internal lifecycle</w:t>
            </w:r>
          </w:p>
        </w:tc>
        <w:tc>
          <w:tcPr>
            <w:tcW w:type="dxa" w:w="65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Their internal configuration, validation and records are owned by those systems; only MES-facing data exchange is in this document.</w:t>
            </w:r>
          </w:p>
        </w:tc>
      </w:tr>
      <w:tr>
        <w:trPr>
          <w:cantSplit/>
        </w:trPr>
        <w:tc>
          <w:tcPr>
            <w:tcW w:type="dxa" w:w="28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Automation control logic</w:t>
            </w:r>
          </w:p>
        </w:tc>
        <w:tc>
          <w:tcPr>
            <w:tcW w:type="dxa" w:w="65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PLC/SCADA/equipment control logic, safety functions and qualification are outside the MES boundary except for defined commands, statuses and records at the interface.</w:t>
            </w:r>
          </w:p>
        </w:tc>
      </w:tr>
      <w:tr>
        <w:trPr>
          <w:cantSplit/>
        </w:trPr>
        <w:tc>
          <w:tcPr>
            <w:tcW w:type="dxa" w:w="28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Manufacturing process validation</w:t>
            </w:r>
          </w:p>
        </w:tc>
        <w:tc>
          <w:tcPr>
            <w:tcW w:type="dxa" w:w="65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Process performance qualification and scientific process-validation conclusions are not replaced by MES verification.</w:t>
            </w:r>
          </w:p>
        </w:tc>
      </w:tr>
      <w:tr>
        <w:trPr>
          <w:cantSplit/>
        </w:trPr>
        <w:tc>
          <w:tcPr>
            <w:tcW w:type="dxa" w:w="28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Infrastructure platform qualification</w:t>
            </w:r>
          </w:p>
        </w:tc>
        <w:tc>
          <w:tcPr>
            <w:tcW w:type="dxa" w:w="65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Shared hosting, network, database platform or enterprise services may have separate qualification/assurance; MES relies on approved services and agreements.</w:t>
            </w:r>
          </w:p>
        </w:tc>
      </w:tr>
      <w:tr>
        <w:trPr>
          <w:cantSplit/>
        </w:trPr>
        <w:tc>
          <w:tcPr>
            <w:tcW w:type="dxa" w:w="28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Final product disposition</w:t>
            </w:r>
          </w:p>
        </w:tc>
        <w:tc>
          <w:tcPr>
            <w:tcW w:type="dxa" w:w="65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Final disposition authority remains with authorised quality/business roles and the applicable quality process.</w:t>
            </w:r>
          </w:p>
        </w:tc>
      </w:tr>
      <w:tr>
        <w:trPr>
          <w:cantSplit/>
        </w:trPr>
        <w:tc>
          <w:tcPr>
            <w:tcW w:type="dxa" w:w="28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Physical equipment maintenance</w:t>
            </w:r>
          </w:p>
        </w:tc>
        <w:tc>
          <w:tcPr>
            <w:tcW w:type="dxa" w:w="65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Equipment calibration, maintenance and metrology are outside MES unless the system consumes approved status or records related execution use.</w:t>
            </w:r>
          </w:p>
        </w:tc>
      </w:tr>
      <w:tr>
        <w:trPr>
          <w:cantSplit/>
        </w:trPr>
        <w:tc>
          <w:tcPr>
            <w:tcW w:type="dxa" w:w="28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Real organisation records</w:t>
            </w:r>
          </w:p>
        </w:tc>
        <w:tc>
          <w:tcPr>
            <w:tcW w:type="dxa" w:w="65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No real names, approvals, configuration identifiers, hostnames, supplier commitments or production data are included.</w:t>
            </w:r>
          </w:p>
        </w:tc>
      </w:tr>
    </w:tbl>
    <w:p>
      <w:pPr>
        <w:spacing w:after="0"/>
      </w:pPr>
    </w:p>
    <w:p>
      <w:pPr>
        <w:pStyle w:val="Heading2"/>
        <w:keepNext/>
      </w:pPr>
      <w:r>
        <w:t>4.3 Boundary conditions</w:t>
      </w:r>
    </w:p>
    <w:p>
      <w:pPr>
        <w:pStyle w:val="ListBullet"/>
        <w:keepLines/>
        <w:spacing w:after="100"/>
      </w:pPr>
      <w:r>
        <w:rPr>
          <w:rFonts w:ascii="Calibri" w:hAnsi="Calibri" w:eastAsia="Calibri"/>
          <w:b w:val="0"/>
          <w:i w:val="0"/>
          <w:sz w:val="22"/>
        </w:rPr>
        <w:t>MES responsibility begins when authorised data is accepted at a defined inbound interface or entered by an authorised user and ends when an acknowledged outbound transfer or controlled record hand-off is completed.</w:t>
      </w:r>
    </w:p>
    <w:p>
      <w:pPr>
        <w:pStyle w:val="ListBullet"/>
        <w:keepLines/>
        <w:spacing w:after="100"/>
      </w:pPr>
      <w:r>
        <w:rPr>
          <w:rFonts w:ascii="Calibri" w:hAnsi="Calibri" w:eastAsia="Calibri"/>
          <w:b w:val="0"/>
          <w:i w:val="0"/>
          <w:sz w:val="22"/>
        </w:rPr>
        <w:t>A connected system does not automatically become part of the MES validation boundary; shared controls and responsibilities must be allocated by system and interface owner.</w:t>
      </w:r>
    </w:p>
    <w:p>
      <w:pPr>
        <w:pStyle w:val="ListBullet"/>
        <w:keepLines/>
        <w:spacing w:after="100"/>
      </w:pPr>
      <w:r>
        <w:rPr>
          <w:rFonts w:ascii="Calibri" w:hAnsi="Calibri" w:eastAsia="Calibri"/>
          <w:b w:val="0"/>
          <w:i w:val="0"/>
          <w:sz w:val="22"/>
        </w:rPr>
        <w:t>Enterprise services such as identity, time synchronisation, backup and monitoring are dependencies. Their control evidence may be leveraged through qualified services and formal agreements.</w:t>
      </w:r>
    </w:p>
    <w:p>
      <w:pPr>
        <w:pStyle w:val="ListBullet"/>
        <w:keepLines/>
        <w:spacing w:after="100"/>
      </w:pPr>
      <w:r>
        <w:rPr>
          <w:rFonts w:ascii="Calibri" w:hAnsi="Calibri" w:eastAsia="Calibri"/>
          <w:b w:val="0"/>
          <w:i w:val="0"/>
          <w:sz w:val="22"/>
        </w:rPr>
        <w:t>The exact physical boundary, network zones, hosting responsibility and data residency are Verify items pending approved architecture records.</w:t>
      </w:r>
    </w:p>
    <w:p>
      <w:pPr>
        <w:pStyle w:val="Heading1"/>
        <w:keepNext/>
      </w:pPr>
      <w:r>
        <w:t>5 High-level architecture and environments</w:t>
      </w:r>
    </w:p>
    <w:p>
      <w:pPr>
        <w:pStyle w:val="Heading2"/>
        <w:keepNext/>
      </w:pPr>
      <w:r>
        <w:t>5.1 Logical architecture</w:t>
      </w:r>
    </w:p>
    <w:tbl>
      <w:tblPr>
        <w:tblW w:type="dxa" w:w="9360"/>
        <w:jc w:val="center"/>
        <w:tblLook w:firstColumn="1" w:firstRow="1" w:lastColumn="0" w:lastRow="0" w:noHBand="0" w:noVBand="1" w:val="04A0"/>
        <w:tblLayout w:type="fixed"/>
        <w:tblInd w:w="120" w:type="dxa"/>
      </w:tblPr>
      <w:tblGrid>
        <w:gridCol w:w="1850"/>
        <w:gridCol w:w="3650"/>
        <w:gridCol w:w="3860"/>
      </w:tblGrid>
      <w:tr>
        <w:trPr>
          <w:cantSplit/>
          <w:tblHeader w:val="true"/>
        </w:trPr>
        <w:tc>
          <w:tcPr>
            <w:tcW w:type="dxa" w:w="185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Layer</w:t>
            </w:r>
          </w:p>
        </w:tc>
        <w:tc>
          <w:tcPr>
            <w:tcW w:type="dxa" w:w="365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Planned logical function</w:t>
            </w:r>
          </w:p>
        </w:tc>
        <w:tc>
          <w:tcPr>
            <w:tcW w:type="dxa" w:w="386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Boundary / control relevance</w:t>
            </w:r>
          </w:p>
        </w:tc>
      </w:tr>
      <w:tr>
        <w:trPr>
          <w:cantSplit/>
        </w:trPr>
        <w:tc>
          <w:tcPr>
            <w:tcW w:type="dxa" w:w="18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User interaction</w:t>
            </w:r>
          </w:p>
        </w:tc>
        <w:tc>
          <w:tcPr>
            <w:tcW w:type="dxa" w:w="36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Authorised operator, supervisor, quality review and administration clients/terminals.</w:t>
            </w:r>
          </w:p>
        </w:tc>
        <w:tc>
          <w:tcPr>
            <w:tcW w:type="dxa" w:w="38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Authentication, role enforcement, session control, display of approved instructions and data capture.</w:t>
            </w:r>
          </w:p>
        </w:tc>
      </w:tr>
      <w:tr>
        <w:trPr>
          <w:cantSplit/>
        </w:trPr>
        <w:tc>
          <w:tcPr>
            <w:tcW w:type="dxa" w:w="18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MES application services</w:t>
            </w:r>
          </w:p>
        </w:tc>
        <w:tc>
          <w:tcPr>
            <w:tcW w:type="dxa" w:w="36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PAS-X business logic, workflow execution, configuration, electronic records and review functions.</w:t>
            </w:r>
          </w:p>
        </w:tc>
        <w:tc>
          <w:tcPr>
            <w:tcW w:type="dxa" w:w="38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Primary application validation boundary; exact modules and version are Verify items.</w:t>
            </w:r>
          </w:p>
        </w:tc>
      </w:tr>
      <w:tr>
        <w:trPr>
          <w:cantSplit/>
        </w:trPr>
        <w:tc>
          <w:tcPr>
            <w:tcW w:type="dxa" w:w="18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Data persistence</w:t>
            </w:r>
          </w:p>
        </w:tc>
        <w:tc>
          <w:tcPr>
            <w:tcW w:type="dxa" w:w="36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Relational/application data stores for MES configuration, transactions, metadata, signatures and audit information.</w:t>
            </w:r>
          </w:p>
        </w:tc>
        <w:tc>
          <w:tcPr>
            <w:tcW w:type="dxa" w:w="38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Integrity, availability, retention, backup and restore controls; exact database technology/version is Verify.</w:t>
            </w:r>
          </w:p>
        </w:tc>
      </w:tr>
      <w:tr>
        <w:trPr>
          <w:cantSplit/>
        </w:trPr>
        <w:tc>
          <w:tcPr>
            <w:tcW w:type="dxa" w:w="18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Integration services</w:t>
            </w:r>
          </w:p>
        </w:tc>
        <w:tc>
          <w:tcPr>
            <w:tcW w:type="dxa" w:w="36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Interface adapters, queues, APIs or middleware supporting data exchange and message control.</w:t>
            </w:r>
          </w:p>
        </w:tc>
        <w:tc>
          <w:tcPr>
            <w:tcW w:type="dxa" w:w="38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Ownership, authentication, mapping, acknowledgement, monitoring, replay and reconciliation.</w:t>
            </w:r>
          </w:p>
        </w:tc>
      </w:tr>
      <w:tr>
        <w:trPr>
          <w:cantSplit/>
        </w:trPr>
        <w:tc>
          <w:tcPr>
            <w:tcW w:type="dxa" w:w="18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Reporting / historian services</w:t>
            </w:r>
          </w:p>
        </w:tc>
        <w:tc>
          <w:tcPr>
            <w:tcW w:type="dxa" w:w="36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Authorised consumption of MES/process/event data for reporting, trending or long-term context.</w:t>
            </w:r>
          </w:p>
        </w:tc>
        <w:tc>
          <w:tcPr>
            <w:tcW w:type="dxa" w:w="38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Source authority, completeness, time alignment, retention and read-only use must be defined.</w:t>
            </w:r>
          </w:p>
        </w:tc>
      </w:tr>
      <w:tr>
        <w:trPr>
          <w:cantSplit/>
        </w:trPr>
        <w:tc>
          <w:tcPr>
            <w:tcW w:type="dxa" w:w="18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Enterprise enabling services</w:t>
            </w:r>
          </w:p>
        </w:tc>
        <w:tc>
          <w:tcPr>
            <w:tcW w:type="dxa" w:w="36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Identity, directory, time, certificates, backup, monitoring and service management.</w:t>
            </w:r>
          </w:p>
        </w:tc>
        <w:tc>
          <w:tcPr>
            <w:tcW w:type="dxa" w:w="38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Dependency assurance, service agreements, privileged access, continuity and evidence availability.</w:t>
            </w:r>
          </w:p>
        </w:tc>
      </w:tr>
      <w:tr>
        <w:trPr>
          <w:cantSplit/>
        </w:trPr>
        <w:tc>
          <w:tcPr>
            <w:tcW w:type="dxa" w:w="18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External business / equipment systems</w:t>
            </w:r>
          </w:p>
        </w:tc>
        <w:tc>
          <w:tcPr>
            <w:tcW w:type="dxa" w:w="36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ERP, LIMS, automation layer and connected equipment/services.</w:t>
            </w:r>
          </w:p>
        </w:tc>
        <w:tc>
          <w:tcPr>
            <w:tcW w:type="dxa" w:w="38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Separate lifecycle ownership with interface agreements and end-to-end risk/verification.</w:t>
            </w:r>
          </w:p>
        </w:tc>
      </w:tr>
    </w:tbl>
    <w:p>
      <w:pPr>
        <w:spacing w:after="0"/>
      </w:pPr>
    </w:p>
    <w:tbl>
      <w:tblPr>
        <w:tblW w:type="dxa" w:w="9360"/>
        <w:tblLook w:firstColumn="1" w:firstRow="1" w:lastColumn="0" w:lastRow="0" w:noHBand="0" w:noVBand="1" w:val="04A0"/>
        <w:tblLayout w:type="fixed"/>
        <w:tblInd w:w="120" w:type="dxa"/>
      </w:tblPr>
      <w:tblGrid>
        <w:gridCol w:w="9360"/>
      </w:tblGrid>
      <w:tr>
        <w:trPr>
          <w:cantSplit/>
        </w:trPr>
        <w:tc>
          <w:tcPr>
            <w:tcW w:type="dxa" w:w="9360"/>
            <w:shd w:fill="D9EAF7"/>
          </w:tcPr>
          <w:p>
            <w:pPr>
              <w:spacing w:before="0" w:after="0" w:line="240" w:lineRule="auto"/>
            </w:pPr>
            <w:r/>
            <w:r>
              <w:rPr>
                <w:rFonts w:ascii="Calibri" w:hAnsi="Calibri" w:eastAsia="Calibri"/>
                <w:b/>
                <w:i w:val="0"/>
                <w:color w:val="1F4D78"/>
                <w:sz w:val="18"/>
              </w:rPr>
              <w:t xml:space="preserve">Conceptual context: </w:t>
            </w:r>
            <w:r>
              <w:rPr>
                <w:rFonts w:ascii="Calibri" w:hAnsi="Calibri" w:eastAsia="Calibri"/>
                <w:b w:val="0"/>
                <w:i w:val="0"/>
                <w:color w:val="243746"/>
                <w:sz w:val="18"/>
              </w:rPr>
              <w:t>Enterprise planning / laboratory systems ↔ Integration services ↔ MES PAS-X application ↔ MES data store; MES also exchanges commands/status with the automation layer and publishes authorised data to historian/reporting. Identity, time, backup and monitoring support all applicable layers.</w:t>
            </w:r>
          </w:p>
        </w:tc>
      </w:tr>
    </w:tbl>
    <w:p>
      <w:pPr>
        <w:spacing w:after="0"/>
      </w:pPr>
    </w:p>
    <w:p>
      <w:pPr>
        <w:pStyle w:val="Heading2"/>
        <w:keepNext/>
      </w:pPr>
      <w:r>
        <w:t>5.2 Proposed physical arrangement</w:t>
      </w:r>
    </w:p>
    <w:p>
      <w:pPr>
        <w:keepNext w:val="0"/>
        <w:keepLines/>
        <w:spacing w:after="120" w:line="264" w:lineRule="auto"/>
      </w:pPr>
      <w:r>
        <w:rPr>
          <w:rFonts w:ascii="Calibri" w:hAnsi="Calibri" w:eastAsia="Calibri"/>
          <w:b w:val="0"/>
          <w:i w:val="0"/>
          <w:sz w:val="22"/>
        </w:rPr>
        <w:t>The proposed physical arrangement comprises controlled end-user terminals, application services, database services, integration/middleware services and supporting infrastructure services hosted in approved Novo Life or contracted environments. The arrangement is conceptual; exact server count, clustering, network segmentation, sites, cloud/on-premises allocation and supplier hosting must be confirmed in the approved architecture and infrastructure design.</w:t>
      </w:r>
    </w:p>
    <w:tbl>
      <w:tblPr>
        <w:tblW w:type="dxa" w:w="9360"/>
        <w:jc w:val="center"/>
        <w:tblLook w:firstColumn="1" w:firstRow="1" w:lastColumn="0" w:lastRow="0" w:noHBand="0" w:noVBand="1" w:val="04A0"/>
        <w:tblLayout w:type="fixed"/>
        <w:tblInd w:w="120" w:type="dxa"/>
      </w:tblPr>
      <w:tblGrid>
        <w:gridCol w:w="2100"/>
        <w:gridCol w:w="3600"/>
        <w:gridCol w:w="3660"/>
      </w:tblGrid>
      <w:tr>
        <w:trPr>
          <w:cantSplit/>
          <w:tblHeader w:val="true"/>
        </w:trPr>
        <w:tc>
          <w:tcPr>
            <w:tcW w:type="dxa" w:w="210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6"/>
              </w:rPr>
            </w:r>
            <w:r>
              <w:rPr>
                <w:rFonts w:ascii="Calibri" w:hAnsi="Calibri" w:eastAsia="Calibri"/>
                <w:b/>
                <w:i w:val="0"/>
                <w:color w:val="FFFFFF"/>
                <w:sz w:val="16"/>
              </w:rPr>
              <w:t>Physical element</w:t>
            </w:r>
          </w:p>
        </w:tc>
        <w:tc>
          <w:tcPr>
            <w:tcW w:type="dxa" w:w="360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6"/>
              </w:rPr>
            </w:r>
            <w:r>
              <w:rPr>
                <w:rFonts w:ascii="Calibri" w:hAnsi="Calibri" w:eastAsia="Calibri"/>
                <w:b/>
                <w:i w:val="0"/>
                <w:color w:val="FFFFFF"/>
                <w:sz w:val="16"/>
              </w:rPr>
              <w:t>Proposed location / arrangement</w:t>
            </w:r>
          </w:p>
        </w:tc>
        <w:tc>
          <w:tcPr>
            <w:tcW w:type="dxa" w:w="366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6"/>
              </w:rPr>
            </w:r>
            <w:r>
              <w:rPr>
                <w:rFonts w:ascii="Calibri" w:hAnsi="Calibri" w:eastAsia="Calibri"/>
                <w:b/>
                <w:i w:val="0"/>
                <w:color w:val="FFFFFF"/>
                <w:sz w:val="16"/>
              </w:rPr>
              <w:t>Required confirmation</w:t>
            </w:r>
          </w:p>
        </w:tc>
      </w:tr>
      <w:tr>
        <w:trPr>
          <w:cantSplit/>
        </w:trPr>
        <w:tc>
          <w:tcPr>
            <w:tcW w:type="dxa" w:w="210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Shop-floor clients</w:t>
            </w:r>
          </w:p>
        </w:tc>
        <w:tc>
          <w:tcPr>
            <w:tcW w:type="dxa" w:w="360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Controlled manufacturing areas with authorised user access.</w:t>
            </w:r>
          </w:p>
        </w:tc>
        <w:tc>
          <w:tcPr>
            <w:tcW w:type="dxa" w:w="36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Device types, OS/client release, hardening, location and peripheral list.</w:t>
            </w:r>
          </w:p>
        </w:tc>
      </w:tr>
      <w:tr>
        <w:trPr>
          <w:cantSplit/>
        </w:trPr>
        <w:tc>
          <w:tcPr>
            <w:tcW w:type="dxa" w:w="210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Application tier</w:t>
            </w:r>
          </w:p>
        </w:tc>
        <w:tc>
          <w:tcPr>
            <w:tcW w:type="dxa" w:w="360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Approved server/compute service in segregated non-production and production environments.</w:t>
            </w:r>
          </w:p>
        </w:tc>
        <w:tc>
          <w:tcPr>
            <w:tcW w:type="dxa" w:w="36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Hosting model, node count, high availability, patching and technical owner.</w:t>
            </w:r>
          </w:p>
        </w:tc>
      </w:tr>
      <w:tr>
        <w:trPr>
          <w:cantSplit/>
        </w:trPr>
        <w:tc>
          <w:tcPr>
            <w:tcW w:type="dxa" w:w="210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Database tier</w:t>
            </w:r>
          </w:p>
        </w:tc>
        <w:tc>
          <w:tcPr>
            <w:tcW w:type="dxa" w:w="360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Approved database service with restricted administrative access and protected storage.</w:t>
            </w:r>
          </w:p>
        </w:tc>
        <w:tc>
          <w:tcPr>
            <w:tcW w:type="dxa" w:w="36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Product/version, topology, encryption, backup, retention and recovery design.</w:t>
            </w:r>
          </w:p>
        </w:tc>
      </w:tr>
      <w:tr>
        <w:trPr>
          <w:cantSplit/>
        </w:trPr>
        <w:tc>
          <w:tcPr>
            <w:tcW w:type="dxa" w:w="210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Integration tier</w:t>
            </w:r>
          </w:p>
        </w:tc>
        <w:tc>
          <w:tcPr>
            <w:tcW w:type="dxa" w:w="360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Approved interface platform or PAS-X adapters with monitored connectivity.</w:t>
            </w:r>
          </w:p>
        </w:tc>
        <w:tc>
          <w:tcPr>
            <w:tcW w:type="dxa" w:w="36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Middleware/version, endpoints, certificates, ports/protocols, queue/replay design.</w:t>
            </w:r>
          </w:p>
        </w:tc>
      </w:tr>
      <w:tr>
        <w:trPr>
          <w:cantSplit/>
        </w:trPr>
        <w:tc>
          <w:tcPr>
            <w:tcW w:type="dxa" w:w="210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Operations tooling</w:t>
            </w:r>
          </w:p>
        </w:tc>
        <w:tc>
          <w:tcPr>
            <w:tcW w:type="dxa" w:w="360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Enterprise backup, monitoring, logging, privileged-access and service-management services.</w:t>
            </w:r>
          </w:p>
        </w:tc>
        <w:tc>
          <w:tcPr>
            <w:tcW w:type="dxa" w:w="36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Service IDs, agreements, alert routing, evidence and restore-test ownership.</w:t>
            </w:r>
          </w:p>
        </w:tc>
      </w:tr>
    </w:tbl>
    <w:p>
      <w:pPr>
        <w:spacing w:after="0"/>
      </w:pPr>
    </w:p>
    <w:p>
      <w:pPr>
        <w:pStyle w:val="Heading2"/>
        <w:keepNext/>
      </w:pPr>
      <w:r>
        <w:t>5.3 Environment model</w:t>
      </w:r>
    </w:p>
    <w:tbl>
      <w:tblPr>
        <w:tblW w:type="dxa" w:w="9360"/>
        <w:jc w:val="center"/>
        <w:tblLook w:firstColumn="1" w:firstRow="1" w:lastColumn="0" w:lastRow="0" w:noHBand="0" w:noVBand="1" w:val="04A0"/>
        <w:tblLayout w:type="fixed"/>
        <w:tblInd w:w="120" w:type="dxa"/>
      </w:tblPr>
      <w:tblGrid>
        <w:gridCol w:w="1750"/>
        <w:gridCol w:w="2400"/>
        <w:gridCol w:w="3500"/>
        <w:gridCol w:w="1710"/>
      </w:tblGrid>
      <w:tr>
        <w:trPr>
          <w:cantSplit/>
          <w:tblHeader w:val="true"/>
        </w:trPr>
        <w:tc>
          <w:tcPr>
            <w:tcW w:type="dxa" w:w="175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Environment</w:t>
            </w:r>
          </w:p>
        </w:tc>
        <w:tc>
          <w:tcPr>
            <w:tcW w:type="dxa" w:w="240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Purpose</w:t>
            </w:r>
          </w:p>
        </w:tc>
        <w:tc>
          <w:tcPr>
            <w:tcW w:type="dxa" w:w="350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Segregation / control expectation</w:t>
            </w:r>
          </w:p>
        </w:tc>
        <w:tc>
          <w:tcPr>
            <w:tcW w:type="dxa" w:w="171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Status</w:t>
            </w:r>
          </w:p>
        </w:tc>
      </w:tr>
      <w:tr>
        <w:trPr>
          <w:cantSplit/>
        </w:trPr>
        <w:tc>
          <w:tcPr>
            <w:tcW w:type="dxa" w:w="17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Development / configuration</w:t>
            </w:r>
          </w:p>
        </w:tc>
        <w:tc>
          <w:tcPr>
            <w:tcW w:type="dxa" w:w="24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Supplier or project configuration and controlled development activities.</w:t>
            </w:r>
          </w:p>
        </w:tc>
        <w:tc>
          <w:tcPr>
            <w:tcW w:type="dxa" w:w="35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Separated from production data and access; changes promoted under configuration control.</w:t>
            </w:r>
          </w:p>
        </w:tc>
        <w:tc>
          <w:tcPr>
            <w:tcW w:type="dxa" w:w="17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Planned - exact name Verify</w:t>
            </w:r>
          </w:p>
        </w:tc>
      </w:tr>
      <w:tr>
        <w:trPr>
          <w:cantSplit/>
        </w:trPr>
        <w:tc>
          <w:tcPr>
            <w:tcW w:type="dxa" w:w="17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Test / validation</w:t>
            </w:r>
          </w:p>
        </w:tc>
        <w:tc>
          <w:tcPr>
            <w:tcW w:type="dxa" w:w="24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Representative integration, functional and acceptance verification.</w:t>
            </w:r>
          </w:p>
        </w:tc>
        <w:tc>
          <w:tcPr>
            <w:tcW w:type="dxa" w:w="35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Controlled configuration/baseline sufficient to demonstrate production-relevant behaviour.</w:t>
            </w:r>
          </w:p>
        </w:tc>
        <w:tc>
          <w:tcPr>
            <w:tcW w:type="dxa" w:w="17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Planned - exact name Verify</w:t>
            </w:r>
          </w:p>
        </w:tc>
      </w:tr>
      <w:tr>
        <w:trPr>
          <w:cantSplit/>
        </w:trPr>
        <w:tc>
          <w:tcPr>
            <w:tcW w:type="dxa" w:w="17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Production</w:t>
            </w:r>
          </w:p>
        </w:tc>
        <w:tc>
          <w:tcPr>
            <w:tcW w:type="dxa" w:w="24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Approved live manufacturing execution and retained GxP records.</w:t>
            </w:r>
          </w:p>
        </w:tc>
        <w:tc>
          <w:tcPr>
            <w:tcW w:type="dxa" w:w="35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Restricted access, approved release, monitored services, backup/recovery and change control.</w:t>
            </w:r>
          </w:p>
        </w:tc>
        <w:tc>
          <w:tcPr>
            <w:tcW w:type="dxa" w:w="17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Planned - exact name Verify</w:t>
            </w:r>
          </w:p>
        </w:tc>
      </w:tr>
      <w:tr>
        <w:trPr>
          <w:cantSplit/>
        </w:trPr>
        <w:tc>
          <w:tcPr>
            <w:tcW w:type="dxa" w:w="17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Disaster recovery</w:t>
            </w:r>
          </w:p>
        </w:tc>
        <w:tc>
          <w:tcPr>
            <w:tcW w:type="dxa" w:w="24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Recovery capability for agreed critical services and records.</w:t>
            </w:r>
          </w:p>
        </w:tc>
        <w:tc>
          <w:tcPr>
            <w:tcW w:type="dxa" w:w="35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Configuration/data consistency, access control, recovery procedures and periodic exercise.</w:t>
            </w:r>
          </w:p>
        </w:tc>
        <w:tc>
          <w:tcPr>
            <w:tcW w:type="dxa" w:w="17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Applicability Verify</w:t>
            </w:r>
          </w:p>
        </w:tc>
      </w:tr>
    </w:tbl>
    <w:p>
      <w:pPr>
        <w:spacing w:after="0"/>
      </w:pPr>
    </w:p>
    <w:p>
      <w:pPr>
        <w:pStyle w:val="Heading1"/>
        <w:keepNext/>
      </w:pPr>
      <w:r>
        <w:t>6 System components and prerequisites</w:t>
      </w:r>
    </w:p>
    <w:p>
      <w:pPr>
        <w:pStyle w:val="Heading2"/>
        <w:keepNext/>
      </w:pPr>
      <w:r>
        <w:t>6.1 Component register</w:t>
      </w:r>
    </w:p>
    <w:tbl>
      <w:tblPr>
        <w:tblW w:type="dxa" w:w="9360"/>
        <w:jc w:val="center"/>
        <w:tblLook w:firstColumn="1" w:firstRow="1" w:lastColumn="0" w:lastRow="0" w:noHBand="0" w:noVBand="1" w:val="04A0"/>
        <w:tblLayout w:type="fixed"/>
        <w:tblInd w:w="120" w:type="dxa"/>
      </w:tblPr>
      <w:tblGrid>
        <w:gridCol w:w="1500"/>
        <w:gridCol w:w="2300"/>
        <w:gridCol w:w="3000"/>
        <w:gridCol w:w="2560"/>
      </w:tblGrid>
      <w:tr>
        <w:trPr>
          <w:cantSplit/>
          <w:tblHeader w:val="true"/>
        </w:trPr>
        <w:tc>
          <w:tcPr>
            <w:tcW w:type="dxa" w:w="150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Component ID</w:t>
            </w:r>
          </w:p>
        </w:tc>
        <w:tc>
          <w:tcPr>
            <w:tcW w:type="dxa" w:w="230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Component / service</w:t>
            </w:r>
          </w:p>
        </w:tc>
        <w:tc>
          <w:tcPr>
            <w:tcW w:type="dxa" w:w="300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Planned responsibility</w:t>
            </w:r>
          </w:p>
        </w:tc>
        <w:tc>
          <w:tcPr>
            <w:tcW w:type="dxa" w:w="256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Critical dependency / control</w:t>
            </w:r>
          </w:p>
        </w:tc>
      </w:tr>
      <w:tr>
        <w:trPr>
          <w:cantSplit/>
        </w:trPr>
        <w:tc>
          <w:tcPr>
            <w:tcW w:type="dxa" w:w="15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CMP-MES-APP-001</w:t>
            </w:r>
          </w:p>
        </w:tc>
        <w:tc>
          <w:tcPr>
            <w:tcW w:type="dxa" w:w="23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PAS-X application services</w:t>
            </w:r>
          </w:p>
        </w:tc>
        <w:tc>
          <w:tcPr>
            <w:tcW w:type="dxa" w:w="30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Execute configured MES workflows and record controlled transactions.</w:t>
            </w:r>
          </w:p>
        </w:tc>
        <w:tc>
          <w:tcPr>
            <w:tcW w:type="dxa" w:w="25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Approved release/configuration; access, audit, availability and change control.</w:t>
            </w:r>
          </w:p>
        </w:tc>
      </w:tr>
      <w:tr>
        <w:trPr>
          <w:cantSplit/>
        </w:trPr>
        <w:tc>
          <w:tcPr>
            <w:tcW w:type="dxa" w:w="15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CMP-MES-DB-001</w:t>
            </w:r>
          </w:p>
        </w:tc>
        <w:tc>
          <w:tcPr>
            <w:tcW w:type="dxa" w:w="23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MES database service</w:t>
            </w:r>
          </w:p>
        </w:tc>
        <w:tc>
          <w:tcPr>
            <w:tcW w:type="dxa" w:w="30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Persist application configuration, records, metadata, signatures and audit information.</w:t>
            </w:r>
          </w:p>
        </w:tc>
        <w:tc>
          <w:tcPr>
            <w:tcW w:type="dxa" w:w="25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Integrity, restricted administration, backup/restore and retention.</w:t>
            </w:r>
          </w:p>
        </w:tc>
      </w:tr>
      <w:tr>
        <w:trPr>
          <w:cantSplit/>
        </w:trPr>
        <w:tc>
          <w:tcPr>
            <w:tcW w:type="dxa" w:w="15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CMP-MES-INT-001</w:t>
            </w:r>
          </w:p>
        </w:tc>
        <w:tc>
          <w:tcPr>
            <w:tcW w:type="dxa" w:w="23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Integration / middleware services</w:t>
            </w:r>
          </w:p>
        </w:tc>
        <w:tc>
          <w:tcPr>
            <w:tcW w:type="dxa" w:w="30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Transform, route, acknowledge, monitor and reconcile interface messages.</w:t>
            </w:r>
          </w:p>
        </w:tc>
        <w:tc>
          <w:tcPr>
            <w:tcW w:type="dxa" w:w="25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End-to-end traceability, certificate/credential control and failure handling.</w:t>
            </w:r>
          </w:p>
        </w:tc>
      </w:tr>
      <w:tr>
        <w:trPr>
          <w:cantSplit/>
        </w:trPr>
        <w:tc>
          <w:tcPr>
            <w:tcW w:type="dxa" w:w="15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CMP-MES-REP-001</w:t>
            </w:r>
          </w:p>
        </w:tc>
        <w:tc>
          <w:tcPr>
            <w:tcW w:type="dxa" w:w="23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Reporting services</w:t>
            </w:r>
          </w:p>
        </w:tc>
        <w:tc>
          <w:tcPr>
            <w:tcW w:type="dxa" w:w="30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Provide controlled reports or extracts to authorised users.</w:t>
            </w:r>
          </w:p>
        </w:tc>
        <w:tc>
          <w:tcPr>
            <w:tcW w:type="dxa" w:w="25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Source authority, report specification, access and completeness.</w:t>
            </w:r>
          </w:p>
        </w:tc>
      </w:tr>
      <w:tr>
        <w:trPr>
          <w:cantSplit/>
        </w:trPr>
        <w:tc>
          <w:tcPr>
            <w:tcW w:type="dxa" w:w="15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CMP-ENT-IAM-001</w:t>
            </w:r>
          </w:p>
        </w:tc>
        <w:tc>
          <w:tcPr>
            <w:tcW w:type="dxa" w:w="23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Enterprise identity/access service</w:t>
            </w:r>
          </w:p>
        </w:tc>
        <w:tc>
          <w:tcPr>
            <w:tcW w:type="dxa" w:w="30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Authenticate users and provide approved identity attributes.</w:t>
            </w:r>
          </w:p>
        </w:tc>
        <w:tc>
          <w:tcPr>
            <w:tcW w:type="dxa" w:w="25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Joiner/mover/leaver, privileged access, unique identity and service-account ownership.</w:t>
            </w:r>
          </w:p>
        </w:tc>
      </w:tr>
      <w:tr>
        <w:trPr>
          <w:cantSplit/>
        </w:trPr>
        <w:tc>
          <w:tcPr>
            <w:tcW w:type="dxa" w:w="15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CMP-ENT-TIME-001</w:t>
            </w:r>
          </w:p>
        </w:tc>
        <w:tc>
          <w:tcPr>
            <w:tcW w:type="dxa" w:w="23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Enterprise time service</w:t>
            </w:r>
          </w:p>
        </w:tc>
        <w:tc>
          <w:tcPr>
            <w:tcW w:type="dxa" w:w="30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Provide authoritative time to system components.</w:t>
            </w:r>
          </w:p>
        </w:tc>
        <w:tc>
          <w:tcPr>
            <w:tcW w:type="dxa" w:w="25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Time zone, synchronisation, drift and outage monitoring.</w:t>
            </w:r>
          </w:p>
        </w:tc>
      </w:tr>
      <w:tr>
        <w:trPr>
          <w:cantSplit/>
        </w:trPr>
        <w:tc>
          <w:tcPr>
            <w:tcW w:type="dxa" w:w="15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CMP-ENT-BCK-001</w:t>
            </w:r>
          </w:p>
        </w:tc>
        <w:tc>
          <w:tcPr>
            <w:tcW w:type="dxa" w:w="23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Backup/recovery service</w:t>
            </w:r>
          </w:p>
        </w:tc>
        <w:tc>
          <w:tcPr>
            <w:tcW w:type="dxa" w:w="30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Protect applicable configuration and records for recovery.</w:t>
            </w:r>
          </w:p>
        </w:tc>
        <w:tc>
          <w:tcPr>
            <w:tcW w:type="dxa" w:w="25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Coverage, encryption, retention, monitoring, restore procedures and tests.</w:t>
            </w:r>
          </w:p>
        </w:tc>
      </w:tr>
      <w:tr>
        <w:trPr>
          <w:cantSplit/>
        </w:trPr>
        <w:tc>
          <w:tcPr>
            <w:tcW w:type="dxa" w:w="15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CMP-ENT-MON-001</w:t>
            </w:r>
          </w:p>
        </w:tc>
        <w:tc>
          <w:tcPr>
            <w:tcW w:type="dxa" w:w="23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Monitoring/service-management</w:t>
            </w:r>
          </w:p>
        </w:tc>
        <w:tc>
          <w:tcPr>
            <w:tcW w:type="dxa" w:w="30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Detect service and capacity events and route incidents.</w:t>
            </w:r>
          </w:p>
        </w:tc>
        <w:tc>
          <w:tcPr>
            <w:tcW w:type="dxa" w:w="25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Alert thresholds, auditability, response ownership and escalation.</w:t>
            </w:r>
          </w:p>
        </w:tc>
      </w:tr>
    </w:tbl>
    <w:p>
      <w:pPr>
        <w:spacing w:after="0"/>
      </w:pPr>
    </w:p>
    <w:p>
      <w:pPr>
        <w:pStyle w:val="Heading2"/>
        <w:keepNext/>
      </w:pPr>
      <w:r>
        <w:t>6.2 Hardware and software prerequisites</w:t>
      </w:r>
    </w:p>
    <w:tbl>
      <w:tblPr>
        <w:tblW w:type="dxa" w:w="9360"/>
        <w:jc w:val="center"/>
        <w:tblLook w:firstColumn="1" w:firstRow="1" w:lastColumn="0" w:lastRow="0" w:noHBand="0" w:noVBand="1" w:val="04A0"/>
        <w:tblLayout w:type="fixed"/>
        <w:tblInd w:w="120" w:type="dxa"/>
      </w:tblPr>
      <w:tblGrid>
        <w:gridCol w:w="2200"/>
        <w:gridCol w:w="4000"/>
        <w:gridCol w:w="3160"/>
      </w:tblGrid>
      <w:tr>
        <w:trPr>
          <w:cantSplit/>
          <w:tblHeader w:val="true"/>
        </w:trPr>
        <w:tc>
          <w:tcPr>
            <w:tcW w:type="dxa" w:w="220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Prerequisite</w:t>
            </w:r>
          </w:p>
        </w:tc>
        <w:tc>
          <w:tcPr>
            <w:tcW w:type="dxa" w:w="400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Planned requirement</w:t>
            </w:r>
          </w:p>
        </w:tc>
        <w:tc>
          <w:tcPr>
            <w:tcW w:type="dxa" w:w="316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Verification / evidence expected</w:t>
            </w:r>
          </w:p>
        </w:tc>
      </w:tr>
      <w:tr>
        <w:trPr>
          <w:cantSplit/>
        </w:trPr>
        <w:tc>
          <w:tcPr>
            <w:tcW w:type="dxa" w:w="22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Supported user endpoint</w:t>
            </w:r>
          </w:p>
        </w:tc>
        <w:tc>
          <w:tcPr>
            <w:tcW w:type="dxa" w:w="40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Approved and hardened client/terminal compatible with the selected PAS-X release.</w:t>
            </w:r>
          </w:p>
        </w:tc>
        <w:tc>
          <w:tcPr>
            <w:tcW w:type="dxa" w:w="31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Supported-platform matrix, build baseline and installation/qualification evidence.</w:t>
            </w:r>
          </w:p>
        </w:tc>
      </w:tr>
      <w:tr>
        <w:trPr>
          <w:cantSplit/>
        </w:trPr>
        <w:tc>
          <w:tcPr>
            <w:tcW w:type="dxa" w:w="22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Application compute</w:t>
            </w:r>
          </w:p>
        </w:tc>
        <w:tc>
          <w:tcPr>
            <w:tcW w:type="dxa" w:w="40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Capacity and availability sufficient for validated workloads and interfaces.</w:t>
            </w:r>
          </w:p>
        </w:tc>
        <w:tc>
          <w:tcPr>
            <w:tcW w:type="dxa" w:w="31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Approved sizing, architecture, monitoring and performance verification.</w:t>
            </w:r>
          </w:p>
        </w:tc>
      </w:tr>
      <w:tr>
        <w:trPr>
          <w:cantSplit/>
        </w:trPr>
        <w:tc>
          <w:tcPr>
            <w:tcW w:type="dxa" w:w="22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Database platform</w:t>
            </w:r>
          </w:p>
        </w:tc>
        <w:tc>
          <w:tcPr>
            <w:tcW w:type="dxa" w:w="40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Supplier-supported database release and configuration.</w:t>
            </w:r>
          </w:p>
        </w:tc>
        <w:tc>
          <w:tcPr>
            <w:tcW w:type="dxa" w:w="31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Compatibility, configuration baseline, access model, backup and restore evidence.</w:t>
            </w:r>
          </w:p>
        </w:tc>
      </w:tr>
      <w:tr>
        <w:trPr>
          <w:cantSplit/>
        </w:trPr>
        <w:tc>
          <w:tcPr>
            <w:tcW w:type="dxa" w:w="22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Network and name services</w:t>
            </w:r>
          </w:p>
        </w:tc>
        <w:tc>
          <w:tcPr>
            <w:tcW w:type="dxa" w:w="40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Controlled connectivity, routing, segmentation, DNS and firewall rules.</w:t>
            </w:r>
          </w:p>
        </w:tc>
        <w:tc>
          <w:tcPr>
            <w:tcW w:type="dxa" w:w="31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Approved network design, rules, connectivity and security verification.</w:t>
            </w:r>
          </w:p>
        </w:tc>
      </w:tr>
      <w:tr>
        <w:trPr>
          <w:cantSplit/>
        </w:trPr>
        <w:tc>
          <w:tcPr>
            <w:tcW w:type="dxa" w:w="22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Integration platform</w:t>
            </w:r>
          </w:p>
        </w:tc>
        <w:tc>
          <w:tcPr>
            <w:tcW w:type="dxa" w:w="40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Supported adapters/middleware and secure endpoint configuration.</w:t>
            </w:r>
          </w:p>
        </w:tc>
        <w:tc>
          <w:tcPr>
            <w:tcW w:type="dxa" w:w="31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Version baseline, mapping/configuration records, certificate/credential control and interface tests.</w:t>
            </w:r>
          </w:p>
        </w:tc>
      </w:tr>
      <w:tr>
        <w:trPr>
          <w:cantSplit/>
        </w:trPr>
        <w:tc>
          <w:tcPr>
            <w:tcW w:type="dxa" w:w="22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Identity and privileged access</w:t>
            </w:r>
          </w:p>
        </w:tc>
        <w:tc>
          <w:tcPr>
            <w:tcW w:type="dxa" w:w="40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Unique user identity plus controlled administration and service accounts.</w:t>
            </w:r>
          </w:p>
        </w:tc>
        <w:tc>
          <w:tcPr>
            <w:tcW w:type="dxa" w:w="31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Role design, provisioning workflow, access review and privileged-access evidence.</w:t>
            </w:r>
          </w:p>
        </w:tc>
      </w:tr>
      <w:tr>
        <w:trPr>
          <w:cantSplit/>
        </w:trPr>
        <w:tc>
          <w:tcPr>
            <w:tcW w:type="dxa" w:w="22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Time synchronisation</w:t>
            </w:r>
          </w:p>
        </w:tc>
        <w:tc>
          <w:tcPr>
            <w:tcW w:type="dxa" w:w="40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Common authoritative time across application, database and interface components.</w:t>
            </w:r>
          </w:p>
        </w:tc>
        <w:tc>
          <w:tcPr>
            <w:tcW w:type="dxa" w:w="31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Configuration, time-zone/DST handling and drift monitoring tests.</w:t>
            </w:r>
          </w:p>
        </w:tc>
      </w:tr>
      <w:tr>
        <w:trPr>
          <w:cantSplit/>
        </w:trPr>
        <w:tc>
          <w:tcPr>
            <w:tcW w:type="dxa" w:w="22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Storage, backup and monitoring</w:t>
            </w:r>
          </w:p>
        </w:tc>
        <w:tc>
          <w:tcPr>
            <w:tcW w:type="dxa" w:w="40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Protected capacity, backup coverage, recoverability and operational alerting.</w:t>
            </w:r>
          </w:p>
        </w:tc>
        <w:tc>
          <w:tcPr>
            <w:tcW w:type="dxa" w:w="31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Service agreement, retention, alert and restore-test evidence.</w:t>
            </w:r>
          </w:p>
        </w:tc>
      </w:tr>
    </w:tbl>
    <w:p>
      <w:pPr>
        <w:spacing w:after="0"/>
      </w:pPr>
    </w:p>
    <w:tbl>
      <w:tblPr>
        <w:tblW w:type="dxa" w:w="9360"/>
        <w:tblLook w:firstColumn="1" w:firstRow="1" w:lastColumn="0" w:lastRow="0" w:noHBand="0" w:noVBand="1" w:val="04A0"/>
        <w:tblLayout w:type="fixed"/>
        <w:tblInd w:w="120" w:type="dxa"/>
      </w:tblPr>
      <w:tblGrid>
        <w:gridCol w:w="9360"/>
      </w:tblGrid>
      <w:tr>
        <w:trPr>
          <w:cantSplit/>
        </w:trPr>
        <w:tc>
          <w:tcPr>
            <w:tcW w:type="dxa" w:w="9360"/>
            <w:shd w:fill="FFF2CC"/>
          </w:tcPr>
          <w:p>
            <w:pPr>
              <w:spacing w:before="0" w:after="0" w:line="240" w:lineRule="auto"/>
            </w:pPr>
            <w:r/>
            <w:r>
              <w:rPr>
                <w:rFonts w:ascii="Calibri" w:hAnsi="Calibri" w:eastAsia="Calibri"/>
                <w:b w:val="0"/>
                <w:i w:val="0"/>
                <w:color w:val="243746"/>
                <w:sz w:val="18"/>
              </w:rPr>
              <w:t>⚠ Verify: Exact PAS-X modules/release, operating systems, database, middleware, browser/client, hosting platform, certificates, endpoint names and hardware sizing are not available in the supplied sources and must be confirmed before design approval.</w:t>
            </w:r>
          </w:p>
        </w:tc>
      </w:tr>
    </w:tbl>
    <w:p>
      <w:pPr>
        <w:spacing w:after="0"/>
      </w:pPr>
    </w:p>
    <w:p>
      <w:pPr>
        <w:pStyle w:val="Heading1"/>
        <w:keepNext/>
      </w:pPr>
      <w:r>
        <w:t>7 Business process and capability overview</w:t>
      </w:r>
    </w:p>
    <w:p>
      <w:pPr>
        <w:pStyle w:val="Heading2"/>
        <w:keepNext/>
      </w:pPr>
      <w:r>
        <w:t>7.1 Planned end-to-end process</w:t>
      </w:r>
    </w:p>
    <w:p>
      <w:pPr>
        <w:pStyle w:val="ListNumber"/>
        <w:keepLines/>
        <w:spacing w:after="100"/>
      </w:pPr>
      <w:r>
        <w:rPr>
          <w:rFonts w:ascii="Calibri" w:hAnsi="Calibri" w:eastAsia="Calibri"/>
          <w:b w:val="0"/>
          <w:i w:val="0"/>
          <w:sz w:val="22"/>
        </w:rPr>
        <w:t>Authorised production orders and relevant master data are created in the designated source system and transferred to MES through a monitored interface.</w:t>
      </w:r>
    </w:p>
    <w:p>
      <w:pPr>
        <w:pStyle w:val="ListNumber"/>
        <w:keepLines/>
        <w:spacing w:after="100"/>
      </w:pPr>
      <w:r>
        <w:rPr>
          <w:rFonts w:ascii="Calibri" w:hAnsi="Calibri" w:eastAsia="Calibri"/>
          <w:b w:val="0"/>
          <w:i w:val="0"/>
          <w:sz w:val="22"/>
        </w:rPr>
        <w:t>MES validates receipt, identity, completeness and readiness of the data before an order is made available for execution.</w:t>
      </w:r>
    </w:p>
    <w:p>
      <w:pPr>
        <w:pStyle w:val="ListNumber"/>
        <w:keepLines/>
        <w:spacing w:after="100"/>
      </w:pPr>
      <w:r>
        <w:rPr>
          <w:rFonts w:ascii="Calibri" w:hAnsi="Calibri" w:eastAsia="Calibri"/>
          <w:b w:val="0"/>
          <w:i w:val="0"/>
          <w:sz w:val="22"/>
        </w:rPr>
        <w:t>An authorised user selects the order and MES presents the applicable approved master batch record/recipe and prerequisite checks.</w:t>
      </w:r>
    </w:p>
    <w:p>
      <w:pPr>
        <w:pStyle w:val="ListNumber"/>
        <w:keepLines/>
        <w:spacing w:after="100"/>
      </w:pPr>
      <w:r>
        <w:rPr>
          <w:rFonts w:ascii="Calibri" w:hAnsi="Calibri" w:eastAsia="Calibri"/>
          <w:b w:val="0"/>
          <w:i w:val="0"/>
          <w:sz w:val="22"/>
        </w:rPr>
        <w:t>MES guides execution, captures values and events, applies configured calculations/permissives, and records material/equipment use or referenced status.</w:t>
      </w:r>
    </w:p>
    <w:p>
      <w:pPr>
        <w:pStyle w:val="ListNumber"/>
        <w:keepLines/>
        <w:spacing w:after="100"/>
      </w:pPr>
      <w:r>
        <w:rPr>
          <w:rFonts w:ascii="Calibri" w:hAnsi="Calibri" w:eastAsia="Calibri"/>
          <w:b w:val="0"/>
          <w:i w:val="0"/>
          <w:sz w:val="22"/>
        </w:rPr>
        <w:t>Sampling requests, sample status and results are exchanged with LIMS as defined; automation commands, status and measurements are exchanged with the automation layer.</w:t>
      </w:r>
    </w:p>
    <w:p>
      <w:pPr>
        <w:pStyle w:val="ListNumber"/>
        <w:keepLines/>
        <w:spacing w:after="100"/>
      </w:pPr>
      <w:r>
        <w:rPr>
          <w:rFonts w:ascii="Calibri" w:hAnsi="Calibri" w:eastAsia="Calibri"/>
          <w:b w:val="0"/>
          <w:i w:val="0"/>
          <w:sz w:val="22"/>
        </w:rPr>
        <w:t>Exceptions, holds, corrections and required electronic signatures are recorded with attributable metadata and routed to the applicable process.</w:t>
      </w:r>
    </w:p>
    <w:p>
      <w:pPr>
        <w:pStyle w:val="ListNumber"/>
        <w:keepLines/>
        <w:spacing w:after="100"/>
      </w:pPr>
      <w:r>
        <w:rPr>
          <w:rFonts w:ascii="Calibri" w:hAnsi="Calibri" w:eastAsia="Calibri"/>
          <w:b w:val="0"/>
          <w:i w:val="0"/>
          <w:sz w:val="22"/>
        </w:rPr>
        <w:t>Authorised reviewers evaluate the electronic batch record, exceptions and relevant audit information according to approved procedures.</w:t>
      </w:r>
    </w:p>
    <w:p>
      <w:pPr>
        <w:pStyle w:val="ListNumber"/>
        <w:keepLines/>
        <w:spacing w:after="100"/>
      </w:pPr>
      <w:r>
        <w:rPr>
          <w:rFonts w:ascii="Calibri" w:hAnsi="Calibri" w:eastAsia="Calibri"/>
          <w:b w:val="0"/>
          <w:i w:val="0"/>
          <w:sz w:val="22"/>
        </w:rPr>
        <w:t>MES transmits completion, consumption, yield and status information to designated consumers; interface acknowledgements and reconciliation establish transfer completeness.</w:t>
      </w:r>
    </w:p>
    <w:p>
      <w:pPr>
        <w:pStyle w:val="ListNumber"/>
        <w:keepLines/>
        <w:spacing w:after="100"/>
      </w:pPr>
      <w:r>
        <w:rPr>
          <w:rFonts w:ascii="Calibri" w:hAnsi="Calibri" w:eastAsia="Calibri"/>
          <w:b w:val="0"/>
          <w:i w:val="0"/>
          <w:sz w:val="22"/>
        </w:rPr>
        <w:t>Records remain protected, readable, retrievable and available for the defined retention period, subject to approved archival and continuity arrangements.</w:t>
      </w:r>
    </w:p>
    <w:p>
      <w:pPr>
        <w:pStyle w:val="Heading2"/>
        <w:keepNext/>
      </w:pPr>
      <w:r>
        <w:t>7.2 Capability-to-control overview</w:t>
      </w:r>
    </w:p>
    <w:tbl>
      <w:tblPr>
        <w:tblW w:type="dxa" w:w="9360"/>
        <w:jc w:val="center"/>
        <w:tblLook w:firstColumn="1" w:firstRow="1" w:lastColumn="0" w:lastRow="0" w:noHBand="0" w:noVBand="1" w:val="04A0"/>
        <w:tblLayout w:type="fixed"/>
        <w:tblInd w:w="120" w:type="dxa"/>
      </w:tblPr>
      <w:tblGrid>
        <w:gridCol w:w="2200"/>
        <w:gridCol w:w="4150"/>
        <w:gridCol w:w="3010"/>
      </w:tblGrid>
      <w:tr>
        <w:trPr>
          <w:cantSplit/>
          <w:tblHeader w:val="true"/>
        </w:trPr>
        <w:tc>
          <w:tcPr>
            <w:tcW w:type="dxa" w:w="220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Capability</w:t>
            </w:r>
          </w:p>
        </w:tc>
        <w:tc>
          <w:tcPr>
            <w:tcW w:type="dxa" w:w="415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Critical control intent</w:t>
            </w:r>
          </w:p>
        </w:tc>
        <w:tc>
          <w:tcPr>
            <w:tcW w:type="dxa" w:w="301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Downstream specification / evidence</w:t>
            </w:r>
          </w:p>
        </w:tc>
      </w:tr>
      <w:tr>
        <w:trPr>
          <w:cantSplit/>
        </w:trPr>
        <w:tc>
          <w:tcPr>
            <w:tcW w:type="dxa" w:w="22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Controlled instruction execution</w:t>
            </w:r>
          </w:p>
        </w:tc>
        <w:tc>
          <w:tcPr>
            <w:tcW w:type="dxa" w:w="41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Only the applicable approved configuration/MBR is executable; sequence and prerequisites are enforced as designed.</w:t>
            </w:r>
          </w:p>
        </w:tc>
        <w:tc>
          <w:tcPr>
            <w:tcW w:type="dxa" w:w="30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URS, functional/design/configuration specifications, design review and functional tests.</w:t>
            </w:r>
          </w:p>
        </w:tc>
      </w:tr>
      <w:tr>
        <w:trPr>
          <w:cantSplit/>
        </w:trPr>
        <w:tc>
          <w:tcPr>
            <w:tcW w:type="dxa" w:w="22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Data capture and calculation</w:t>
            </w:r>
          </w:p>
        </w:tc>
        <w:tc>
          <w:tcPr>
            <w:tcW w:type="dxa" w:w="41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Entries are attributable, validated where required and stored with context; calculations use approved logic.</w:t>
            </w:r>
          </w:p>
        </w:tc>
        <w:tc>
          <w:tcPr>
            <w:tcW w:type="dxa" w:w="30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URS/FS/DS, data-risk assessment, calculation/configuration tests.</w:t>
            </w:r>
          </w:p>
        </w:tc>
      </w:tr>
      <w:tr>
        <w:trPr>
          <w:cantSplit/>
        </w:trPr>
        <w:tc>
          <w:tcPr>
            <w:tcW w:type="dxa" w:w="22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Electronic signature</w:t>
            </w:r>
          </w:p>
        </w:tc>
        <w:tc>
          <w:tcPr>
            <w:tcW w:type="dxa" w:w="41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Signature is uniquely attributable, linked to the record and carries defined meaning/date/time.</w:t>
            </w:r>
          </w:p>
        </w:tc>
        <w:tc>
          <w:tcPr>
            <w:tcW w:type="dxa" w:w="30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URS/FS, role matrix, signature configuration and positive/negative tests.</w:t>
            </w:r>
          </w:p>
        </w:tc>
      </w:tr>
      <w:tr>
        <w:trPr>
          <w:cantSplit/>
        </w:trPr>
        <w:tc>
          <w:tcPr>
            <w:tcW w:type="dxa" w:w="22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Audit trail</w:t>
            </w:r>
          </w:p>
        </w:tc>
        <w:tc>
          <w:tcPr>
            <w:tcW w:type="dxa" w:w="41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Critical creation/change/delete or status events are captured, protected, readable and reviewable based on risk.</w:t>
            </w:r>
          </w:p>
        </w:tc>
        <w:tc>
          <w:tcPr>
            <w:tcW w:type="dxa" w:w="30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Data integrity assessment, audit-trail specification and verification.</w:t>
            </w:r>
          </w:p>
        </w:tc>
      </w:tr>
      <w:tr>
        <w:trPr>
          <w:cantSplit/>
        </w:trPr>
        <w:tc>
          <w:tcPr>
            <w:tcW w:type="dxa" w:w="22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Interfaces</w:t>
            </w:r>
          </w:p>
        </w:tc>
        <w:tc>
          <w:tcPr>
            <w:tcW w:type="dxa" w:w="41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Transfers are authenticated, complete, accurate, timely and recoverable; failures are visible and reconciled.</w:t>
            </w:r>
          </w:p>
        </w:tc>
        <w:tc>
          <w:tcPr>
            <w:tcW w:type="dxa" w:w="30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Interface requirements/specification, terms of service and end-to-end tests.</w:t>
            </w:r>
          </w:p>
        </w:tc>
      </w:tr>
      <w:tr>
        <w:trPr>
          <w:cantSplit/>
        </w:trPr>
        <w:tc>
          <w:tcPr>
            <w:tcW w:type="dxa" w:w="22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Access control</w:t>
            </w:r>
          </w:p>
        </w:tc>
        <w:tc>
          <w:tcPr>
            <w:tcW w:type="dxa" w:w="41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Unique identities and least-privilege roles prevent unauthorised use and segregate conflicting duties.</w:t>
            </w:r>
          </w:p>
        </w:tc>
        <w:tc>
          <w:tcPr>
            <w:tcW w:type="dxa" w:w="30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Security risk assessment, role matrix, provisioning and access tests/reviews.</w:t>
            </w:r>
          </w:p>
        </w:tc>
      </w:tr>
      <w:tr>
        <w:trPr>
          <w:cantSplit/>
        </w:trPr>
        <w:tc>
          <w:tcPr>
            <w:tcW w:type="dxa" w:w="22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Continuity</w:t>
            </w:r>
          </w:p>
        </w:tc>
        <w:tc>
          <w:tcPr>
            <w:tcW w:type="dxa" w:w="41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Critical records/services can be restored within approved business objectives without unassessed loss or corruption.</w:t>
            </w:r>
          </w:p>
        </w:tc>
        <w:tc>
          <w:tcPr>
            <w:tcW w:type="dxa" w:w="30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Continuity assessment, backup/restore procedure and recovery exercise.</w:t>
            </w:r>
          </w:p>
        </w:tc>
      </w:tr>
    </w:tbl>
    <w:p>
      <w:pPr>
        <w:spacing w:after="0"/>
      </w:pPr>
    </w:p>
    <w:p>
      <w:pPr>
        <w:pStyle w:val="Heading1"/>
        <w:keepNext/>
      </w:pPr>
      <w:r>
        <w:t>8 Integration landscape</w:t>
      </w:r>
    </w:p>
    <w:p>
      <w:pPr>
        <w:pStyle w:val="Heading2"/>
        <w:keepNext/>
      </w:pPr>
      <w:r>
        <w:t>8.1 Proposed interfaces</w:t>
      </w:r>
    </w:p>
    <w:p>
      <w:pPr>
        <w:keepNext w:val="0"/>
        <w:keepLines/>
        <w:spacing w:after="120" w:line="264" w:lineRule="auto"/>
      </w:pPr>
      <w:r>
        <w:rPr>
          <w:rFonts w:ascii="Calibri" w:hAnsi="Calibri" w:eastAsia="Calibri"/>
          <w:b w:val="0"/>
          <w:i w:val="0"/>
          <w:sz w:val="22"/>
        </w:rPr>
        <w:t>Interface entries are conceptual baselines from NL-MES-MLGP-001. Direction is expressed from the MES perspective and must be confirmed in interface requirements, architecture, mapping and terms-of-service records.</w:t>
      </w:r>
    </w:p>
    <w:tbl>
      <w:tblPr>
        <w:tblW w:type="dxa" w:w="9360"/>
        <w:jc w:val="center"/>
        <w:tblLook w:firstColumn="1" w:firstRow="1" w:lastColumn="0" w:lastRow="0" w:noHBand="0" w:noVBand="1" w:val="04A0"/>
        <w:tblLayout w:type="fixed"/>
        <w:tblInd w:w="120" w:type="dxa"/>
      </w:tblPr>
      <w:tblGrid>
        <w:gridCol w:w="1750"/>
        <w:gridCol w:w="1100"/>
        <w:gridCol w:w="2350"/>
        <w:gridCol w:w="2550"/>
        <w:gridCol w:w="1610"/>
      </w:tblGrid>
      <w:tr>
        <w:trPr>
          <w:cantSplit/>
          <w:tblHeader w:val="true"/>
        </w:trPr>
        <w:tc>
          <w:tcPr>
            <w:tcW w:type="dxa" w:w="175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3"/>
              </w:rPr>
            </w:r>
            <w:r>
              <w:rPr>
                <w:rFonts w:ascii="Calibri" w:hAnsi="Calibri" w:eastAsia="Calibri"/>
                <w:b/>
                <w:i w:val="0"/>
                <w:color w:val="FFFFFF"/>
                <w:sz w:val="13"/>
              </w:rPr>
              <w:t>Interface ID / system</w:t>
            </w:r>
          </w:p>
        </w:tc>
        <w:tc>
          <w:tcPr>
            <w:tcW w:type="dxa" w:w="110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3"/>
              </w:rPr>
            </w:r>
            <w:r>
              <w:rPr>
                <w:rFonts w:ascii="Calibri" w:hAnsi="Calibri" w:eastAsia="Calibri"/>
                <w:b/>
                <w:i w:val="0"/>
                <w:color w:val="FFFFFF"/>
                <w:sz w:val="13"/>
              </w:rPr>
              <w:t>Direction</w:t>
            </w:r>
          </w:p>
        </w:tc>
        <w:tc>
          <w:tcPr>
            <w:tcW w:type="dxa" w:w="235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3"/>
              </w:rPr>
            </w:r>
            <w:r>
              <w:rPr>
                <w:rFonts w:ascii="Calibri" w:hAnsi="Calibri" w:eastAsia="Calibri"/>
                <w:b/>
                <w:i w:val="0"/>
                <w:color w:val="FFFFFF"/>
                <w:sz w:val="13"/>
              </w:rPr>
              <w:t>Planned information exchanged</w:t>
            </w:r>
          </w:p>
        </w:tc>
        <w:tc>
          <w:tcPr>
            <w:tcW w:type="dxa" w:w="255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3"/>
              </w:rPr>
            </w:r>
            <w:r>
              <w:rPr>
                <w:rFonts w:ascii="Calibri" w:hAnsi="Calibri" w:eastAsia="Calibri"/>
                <w:b/>
                <w:i w:val="0"/>
                <w:color w:val="FFFFFF"/>
                <w:sz w:val="13"/>
              </w:rPr>
              <w:t>Principal controls</w:t>
            </w:r>
          </w:p>
        </w:tc>
        <w:tc>
          <w:tcPr>
            <w:tcW w:type="dxa" w:w="161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3"/>
              </w:rPr>
            </w:r>
            <w:r>
              <w:rPr>
                <w:rFonts w:ascii="Calibri" w:hAnsi="Calibri" w:eastAsia="Calibri"/>
                <w:b/>
                <w:i w:val="0"/>
                <w:color w:val="FFFFFF"/>
                <w:sz w:val="13"/>
              </w:rPr>
              <w:t>Verify</w:t>
            </w:r>
          </w:p>
        </w:tc>
      </w:tr>
      <w:tr>
        <w:trPr>
          <w:cantSplit/>
        </w:trPr>
        <w:tc>
          <w:tcPr>
            <w:tcW w:type="dxa" w:w="175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INT-MES-ERP-001 / ERP</w:t>
            </w:r>
          </w:p>
        </w:tc>
        <w:tc>
          <w:tcPr>
            <w:tcW w:type="dxa" w:w="11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Bidirectional</w:t>
            </w:r>
          </w:p>
        </w:tc>
        <w:tc>
          <w:tcPr>
            <w:tcW w:type="dxa" w:w="235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Inbound orders and master data; outbound confirmations, consumption, yield and status.</w:t>
            </w:r>
          </w:p>
        </w:tc>
        <w:tc>
          <w:tcPr>
            <w:tcW w:type="dxa" w:w="255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Completeness, duplicate prevention, acknowledgement, reconciliation, authentication and error handling.</w:t>
            </w:r>
          </w:p>
        </w:tc>
        <w:tc>
          <w:tcPr>
            <w:tcW w:type="dxa" w:w="161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ERP/version, objects, payloads, frequency, owner and authority.</w:t>
            </w:r>
          </w:p>
        </w:tc>
      </w:tr>
      <w:tr>
        <w:trPr>
          <w:cantSplit/>
        </w:trPr>
        <w:tc>
          <w:tcPr>
            <w:tcW w:type="dxa" w:w="175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INT-MES-LIMS-001 / LIMS</w:t>
            </w:r>
          </w:p>
        </w:tc>
        <w:tc>
          <w:tcPr>
            <w:tcW w:type="dxa" w:w="11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Bidirectional</w:t>
            </w:r>
          </w:p>
        </w:tc>
        <w:tc>
          <w:tcPr>
            <w:tcW w:type="dxa" w:w="235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Sample requests/status to LIMS; results, disposition or status to MES.</w:t>
            </w:r>
          </w:p>
        </w:tc>
        <w:tc>
          <w:tcPr>
            <w:tcW w:type="dxa" w:w="255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Attribution, identifier/status mapping, late/invalid result handling, acknowledgement and reconciliation.</w:t>
            </w:r>
          </w:p>
        </w:tc>
        <w:tc>
          <w:tcPr>
            <w:tcW w:type="dxa" w:w="161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LIMS/system owner, authoritative result status, payload and timing.</w:t>
            </w:r>
          </w:p>
        </w:tc>
      </w:tr>
      <w:tr>
        <w:trPr>
          <w:cantSplit/>
        </w:trPr>
        <w:tc>
          <w:tcPr>
            <w:tcW w:type="dxa" w:w="175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INT-MES-AUT-001 / Automation</w:t>
            </w:r>
          </w:p>
        </w:tc>
        <w:tc>
          <w:tcPr>
            <w:tcW w:type="dxa" w:w="11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Bidirectional</w:t>
            </w:r>
          </w:p>
        </w:tc>
        <w:tc>
          <w:tcPr>
            <w:tcW w:type="dxa" w:w="235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Commands, setpoints or recipe context to automation; status, events and measurements to MES.</w:t>
            </w:r>
          </w:p>
        </w:tc>
        <w:tc>
          <w:tcPr>
            <w:tcW w:type="dxa" w:w="255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Sequence, permissives, safe state, timestamps, unit/range checks, timeout and retry rules.</w:t>
            </w:r>
          </w:p>
        </w:tc>
        <w:tc>
          <w:tcPr>
            <w:tcW w:type="dxa" w:w="161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PLC/SCADA/equipment list, safety boundary, protocol and owner.</w:t>
            </w:r>
          </w:p>
        </w:tc>
      </w:tr>
      <w:tr>
        <w:trPr>
          <w:cantSplit/>
        </w:trPr>
        <w:tc>
          <w:tcPr>
            <w:tcW w:type="dxa" w:w="175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INT-MES-HIS-001 / Historian-reporting</w:t>
            </w:r>
          </w:p>
        </w:tc>
        <w:tc>
          <w:tcPr>
            <w:tcW w:type="dxa" w:w="11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Outbound / read</w:t>
            </w:r>
          </w:p>
        </w:tc>
        <w:tc>
          <w:tcPr>
            <w:tcW w:type="dxa" w:w="235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Process, event, audit-context or performance data for authorised reporting/trending.</w:t>
            </w:r>
          </w:p>
        </w:tc>
        <w:tc>
          <w:tcPr>
            <w:tcW w:type="dxa" w:w="255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Completeness, time alignment, retention, access, source authority and reconciliation.</w:t>
            </w:r>
          </w:p>
        </w:tc>
        <w:tc>
          <w:tcPr>
            <w:tcW w:type="dxa" w:w="161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Authoritative source, record use, write-back prohibition and retention.</w:t>
            </w:r>
          </w:p>
        </w:tc>
      </w:tr>
      <w:tr>
        <w:trPr>
          <w:cantSplit/>
        </w:trPr>
        <w:tc>
          <w:tcPr>
            <w:tcW w:type="dxa" w:w="175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INT-MES-IAM-001 / Identity</w:t>
            </w:r>
          </w:p>
        </w:tc>
        <w:tc>
          <w:tcPr>
            <w:tcW w:type="dxa" w:w="11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Inbound</w:t>
            </w:r>
          </w:p>
        </w:tc>
        <w:tc>
          <w:tcPr>
            <w:tcW w:type="dxa" w:w="235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Authentication result and approved identity attributes; MES role assignment remains controlled.</w:t>
            </w:r>
          </w:p>
        </w:tc>
        <w:tc>
          <w:tcPr>
            <w:tcW w:type="dxa" w:w="255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Unique identity, joiner/mover/leaver, privileged access, segregation of duties and periodic review.</w:t>
            </w:r>
          </w:p>
        </w:tc>
        <w:tc>
          <w:tcPr>
            <w:tcW w:type="dxa" w:w="161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SSO/directory product, attribute mapping and provisioning workflow.</w:t>
            </w:r>
          </w:p>
        </w:tc>
      </w:tr>
      <w:tr>
        <w:trPr>
          <w:cantSplit/>
        </w:trPr>
        <w:tc>
          <w:tcPr>
            <w:tcW w:type="dxa" w:w="175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INT-MES-TIM-001 / Time</w:t>
            </w:r>
          </w:p>
        </w:tc>
        <w:tc>
          <w:tcPr>
            <w:tcW w:type="dxa" w:w="11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Inbound</w:t>
            </w:r>
          </w:p>
        </w:tc>
        <w:tc>
          <w:tcPr>
            <w:tcW w:type="dxa" w:w="235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Authoritative time to application, database, servers and interfaces.</w:t>
            </w:r>
          </w:p>
        </w:tc>
        <w:tc>
          <w:tcPr>
            <w:tcW w:type="dxa" w:w="255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Drift monitoring, time zone, DST, outage handling and consistent timestamps.</w:t>
            </w:r>
          </w:p>
        </w:tc>
        <w:tc>
          <w:tcPr>
            <w:tcW w:type="dxa" w:w="161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Time source, tolerances and monitoring owner.</w:t>
            </w:r>
          </w:p>
        </w:tc>
      </w:tr>
      <w:tr>
        <w:trPr>
          <w:cantSplit/>
        </w:trPr>
        <w:tc>
          <w:tcPr>
            <w:tcW w:type="dxa" w:w="175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INT-MES-OPS-001 / Backup-monitoring</w:t>
            </w:r>
          </w:p>
        </w:tc>
        <w:tc>
          <w:tcPr>
            <w:tcW w:type="dxa" w:w="11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Service dependency</w:t>
            </w:r>
          </w:p>
        </w:tc>
        <w:tc>
          <w:tcPr>
            <w:tcW w:type="dxa" w:w="235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Backup agents/data, infrastructure metrics, alerts and recovery tooling.</w:t>
            </w:r>
          </w:p>
        </w:tc>
        <w:tc>
          <w:tcPr>
            <w:tcW w:type="dxa" w:w="255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Coverage, encryption, retention, alert routing, restore procedures and evidence.</w:t>
            </w:r>
          </w:p>
        </w:tc>
        <w:tc>
          <w:tcPr>
            <w:tcW w:type="dxa" w:w="161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Service provider, scope, RTO/RPO and test frequency.</w:t>
            </w:r>
          </w:p>
        </w:tc>
      </w:tr>
    </w:tbl>
    <w:p>
      <w:pPr>
        <w:spacing w:after="0"/>
      </w:pPr>
    </w:p>
    <w:p>
      <w:pPr>
        <w:pStyle w:val="Heading2"/>
        <w:keepNext/>
      </w:pPr>
      <w:r>
        <w:t>8.2 Interface lifecycle and ownership principles</w:t>
      </w:r>
    </w:p>
    <w:p>
      <w:pPr>
        <w:pStyle w:val="ListBullet"/>
        <w:keepLines/>
        <w:spacing w:after="100"/>
      </w:pPr>
      <w:r>
        <w:rPr>
          <w:rFonts w:ascii="Calibri" w:hAnsi="Calibri" w:eastAsia="Calibri"/>
          <w:b w:val="0"/>
          <w:i w:val="0"/>
          <w:sz w:val="22"/>
        </w:rPr>
        <w:t>Each interface must have a documented owner and responsibility split across provider, consumer, MES and any middleware/service provider.</w:t>
      </w:r>
    </w:p>
    <w:p>
      <w:pPr>
        <w:pStyle w:val="ListBullet"/>
        <w:keepLines/>
        <w:spacing w:after="100"/>
      </w:pPr>
      <w:r>
        <w:rPr>
          <w:rFonts w:ascii="Calibri" w:hAnsi="Calibri" w:eastAsia="Calibri"/>
          <w:b w:val="0"/>
          <w:i w:val="0"/>
          <w:sz w:val="22"/>
        </w:rPr>
        <w:t>Requirements and high-level data-flow diagrams must identify source, destination, business purpose, data objects, timing, acknowledgements, error paths and reuse expectations.</w:t>
      </w:r>
    </w:p>
    <w:p>
      <w:pPr>
        <w:pStyle w:val="ListBullet"/>
        <w:keepLines/>
        <w:spacing w:after="100"/>
      </w:pPr>
      <w:r>
        <w:rPr>
          <w:rFonts w:ascii="Calibri" w:hAnsi="Calibri" w:eastAsia="Calibri"/>
          <w:b w:val="0"/>
          <w:i w:val="0"/>
          <w:sz w:val="22"/>
        </w:rPr>
        <w:t>Terms of service or an equivalent agreement must define technical details, support, monitoring, planned change, communication, continuity and lifecycle maintenance.</w:t>
      </w:r>
    </w:p>
    <w:p>
      <w:pPr>
        <w:pStyle w:val="ListBullet"/>
        <w:keepLines/>
        <w:spacing w:after="100"/>
      </w:pPr>
      <w:r>
        <w:rPr>
          <w:rFonts w:ascii="Calibri" w:hAnsi="Calibri" w:eastAsia="Calibri"/>
          <w:b w:val="0"/>
          <w:i w:val="0"/>
          <w:sz w:val="22"/>
        </w:rPr>
        <w:t>Mappings, transformations, default values, units, code/status translations and record-authority decisions require controlled specification and approval.</w:t>
      </w:r>
    </w:p>
    <w:p>
      <w:pPr>
        <w:pStyle w:val="ListBullet"/>
        <w:keepLines/>
        <w:spacing w:after="100"/>
      </w:pPr>
      <w:r>
        <w:rPr>
          <w:rFonts w:ascii="Calibri" w:hAnsi="Calibri" w:eastAsia="Calibri"/>
          <w:b w:val="0"/>
          <w:i w:val="0"/>
          <w:sz w:val="22"/>
        </w:rPr>
        <w:t>End-to-end verification must cover nominal, boundary, duplicate, out-of-sequence, unavailable, timeout, retry/replay, security and reconciliation scenarios proportionate to risk.</w:t>
      </w:r>
    </w:p>
    <w:p>
      <w:pPr>
        <w:pStyle w:val="ListBullet"/>
        <w:keepLines/>
        <w:spacing w:after="100"/>
      </w:pPr>
      <w:r>
        <w:rPr>
          <w:rFonts w:ascii="Calibri" w:hAnsi="Calibri" w:eastAsia="Calibri"/>
          <w:b w:val="0"/>
          <w:i w:val="0"/>
          <w:sz w:val="22"/>
        </w:rPr>
        <w:t>Operational monitoring must make transfer failure visible to an accountable role and preserve evidence sufficient for investigation and recovery.</w:t>
      </w:r>
    </w:p>
    <w:p>
      <w:pPr>
        <w:pStyle w:val="Heading1"/>
        <w:keepNext/>
      </w:pPr>
      <w:r>
        <w:t>9 Data, records and data flow</w:t>
      </w:r>
    </w:p>
    <w:p>
      <w:pPr>
        <w:pStyle w:val="Heading2"/>
        <w:keepNext/>
      </w:pPr>
      <w:r>
        <w:t>9.1 Critical data and records</w:t>
      </w:r>
    </w:p>
    <w:tbl>
      <w:tblPr>
        <w:tblW w:type="dxa" w:w="9360"/>
        <w:jc w:val="center"/>
        <w:tblLook w:firstColumn="1" w:firstRow="1" w:lastColumn="0" w:lastRow="0" w:noHBand="0" w:noVBand="1" w:val="04A0"/>
        <w:tblLayout w:type="fixed"/>
        <w:tblInd w:w="120" w:type="dxa"/>
      </w:tblPr>
      <w:tblGrid>
        <w:gridCol w:w="2100"/>
        <w:gridCol w:w="2200"/>
        <w:gridCol w:w="2850"/>
        <w:gridCol w:w="2210"/>
      </w:tblGrid>
      <w:tr>
        <w:trPr>
          <w:cantSplit/>
          <w:tblHeader w:val="true"/>
        </w:trPr>
        <w:tc>
          <w:tcPr>
            <w:tcW w:type="dxa" w:w="210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4"/>
              </w:rPr>
            </w:r>
            <w:r>
              <w:rPr>
                <w:rFonts w:ascii="Calibri" w:hAnsi="Calibri" w:eastAsia="Calibri"/>
                <w:b/>
                <w:i w:val="0"/>
                <w:color w:val="FFFFFF"/>
                <w:sz w:val="14"/>
              </w:rPr>
              <w:t>Data / record category</w:t>
            </w:r>
          </w:p>
        </w:tc>
        <w:tc>
          <w:tcPr>
            <w:tcW w:type="dxa" w:w="220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4"/>
              </w:rPr>
            </w:r>
            <w:r>
              <w:rPr>
                <w:rFonts w:ascii="Calibri" w:hAnsi="Calibri" w:eastAsia="Calibri"/>
                <w:b/>
                <w:i w:val="0"/>
                <w:color w:val="FFFFFF"/>
                <w:sz w:val="14"/>
              </w:rPr>
              <w:t>Creation or source</w:t>
            </w:r>
          </w:p>
        </w:tc>
        <w:tc>
          <w:tcPr>
            <w:tcW w:type="dxa" w:w="285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4"/>
              </w:rPr>
            </w:r>
            <w:r>
              <w:rPr>
                <w:rFonts w:ascii="Calibri" w:hAnsi="Calibri" w:eastAsia="Calibri"/>
                <w:b/>
                <w:i w:val="0"/>
                <w:color w:val="FFFFFF"/>
                <w:sz w:val="14"/>
              </w:rPr>
              <w:t>Use / authority assumption</w:t>
            </w:r>
          </w:p>
        </w:tc>
        <w:tc>
          <w:tcPr>
            <w:tcW w:type="dxa" w:w="221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4"/>
              </w:rPr>
            </w:r>
            <w:r>
              <w:rPr>
                <w:rFonts w:ascii="Calibri" w:hAnsi="Calibri" w:eastAsia="Calibri"/>
                <w:b/>
                <w:i w:val="0"/>
                <w:color w:val="FFFFFF"/>
                <w:sz w:val="14"/>
              </w:rPr>
              <w:t>Protection focus</w:t>
            </w:r>
          </w:p>
        </w:tc>
      </w:tr>
      <w:tr>
        <w:trPr>
          <w:cantSplit/>
        </w:trPr>
        <w:tc>
          <w:tcPr>
            <w:tcW w:type="dxa" w:w="210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Production orders</w:t>
            </w:r>
          </w:p>
        </w:tc>
        <w:tc>
          <w:tcPr>
            <w:tcW w:type="dxa" w:w="220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ERP or approved business source</w:t>
            </w:r>
          </w:p>
        </w:tc>
        <w:tc>
          <w:tcPr>
            <w:tcW w:type="dxa" w:w="285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ERP is planned order authority; MES controls execution copy/status.</w:t>
            </w:r>
          </w:p>
        </w:tc>
        <w:tc>
          <w:tcPr>
            <w:tcW w:type="dxa" w:w="221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Identity, version/status, completeness, duplicate prevention and reconciliation.</w:t>
            </w:r>
          </w:p>
        </w:tc>
      </w:tr>
      <w:tr>
        <w:trPr>
          <w:cantSplit/>
        </w:trPr>
        <w:tc>
          <w:tcPr>
            <w:tcW w:type="dxa" w:w="210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Master data</w:t>
            </w:r>
          </w:p>
        </w:tc>
        <w:tc>
          <w:tcPr>
            <w:tcW w:type="dxa" w:w="220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ERP, MES configuration or designated master system</w:t>
            </w:r>
          </w:p>
        </w:tc>
        <w:tc>
          <w:tcPr>
            <w:tcW w:type="dxa" w:w="285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Authority varies by object and must be defined.</w:t>
            </w:r>
          </w:p>
        </w:tc>
        <w:tc>
          <w:tcPr>
            <w:tcW w:type="dxa" w:w="221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Approved change, effective version, mapping and synchronisation.</w:t>
            </w:r>
          </w:p>
        </w:tc>
      </w:tr>
      <w:tr>
        <w:trPr>
          <w:cantSplit/>
        </w:trPr>
        <w:tc>
          <w:tcPr>
            <w:tcW w:type="dxa" w:w="210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MBR / recipe / workflow configuration</w:t>
            </w:r>
          </w:p>
        </w:tc>
        <w:tc>
          <w:tcPr>
            <w:tcW w:type="dxa" w:w="220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Controlled MES configuration process</w:t>
            </w:r>
          </w:p>
        </w:tc>
        <w:tc>
          <w:tcPr>
            <w:tcW w:type="dxa" w:w="285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MES is planned execution authority for released configuration.</w:t>
            </w:r>
          </w:p>
        </w:tc>
        <w:tc>
          <w:tcPr>
            <w:tcW w:type="dxa" w:w="221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Approval, versioning, segregation, migration and effective-state control.</w:t>
            </w:r>
          </w:p>
        </w:tc>
      </w:tr>
      <w:tr>
        <w:trPr>
          <w:cantSplit/>
        </w:trPr>
        <w:tc>
          <w:tcPr>
            <w:tcW w:type="dxa" w:w="210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Electronic batch record</w:t>
            </w:r>
          </w:p>
        </w:tc>
        <w:tc>
          <w:tcPr>
            <w:tcW w:type="dxa" w:w="220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MES execution</w:t>
            </w:r>
          </w:p>
        </w:tc>
        <w:tc>
          <w:tcPr>
            <w:tcW w:type="dxa" w:w="285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MES is planned authoritative execution record within the defined boundary.</w:t>
            </w:r>
          </w:p>
        </w:tc>
        <w:tc>
          <w:tcPr>
            <w:tcW w:type="dxa" w:w="221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Attribution, chronology, completeness, record linkage, readability and retention.</w:t>
            </w:r>
          </w:p>
        </w:tc>
      </w:tr>
      <w:tr>
        <w:trPr>
          <w:cantSplit/>
        </w:trPr>
        <w:tc>
          <w:tcPr>
            <w:tcW w:type="dxa" w:w="210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Electronic signatures</w:t>
            </w:r>
          </w:p>
        </w:tc>
        <w:tc>
          <w:tcPr>
            <w:tcW w:type="dxa" w:w="220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Authorised MES user action</w:t>
            </w:r>
          </w:p>
        </w:tc>
        <w:tc>
          <w:tcPr>
            <w:tcW w:type="dxa" w:w="285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Approval meaning determined by configured workflow and procedure.</w:t>
            </w:r>
          </w:p>
        </w:tc>
        <w:tc>
          <w:tcPr>
            <w:tcW w:type="dxa" w:w="221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Identity, meaning, date/time, record linkage and non-repudiation controls.</w:t>
            </w:r>
          </w:p>
        </w:tc>
      </w:tr>
      <w:tr>
        <w:trPr>
          <w:cantSplit/>
        </w:trPr>
        <w:tc>
          <w:tcPr>
            <w:tcW w:type="dxa" w:w="210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Audit trail / metadata</w:t>
            </w:r>
          </w:p>
        </w:tc>
        <w:tc>
          <w:tcPr>
            <w:tcW w:type="dxa" w:w="220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MES and supporting components</w:t>
            </w:r>
          </w:p>
        </w:tc>
        <w:tc>
          <w:tcPr>
            <w:tcW w:type="dxa" w:w="285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Evidence supporting reconstruction and risk-based review.</w:t>
            </w:r>
          </w:p>
        </w:tc>
        <w:tc>
          <w:tcPr>
            <w:tcW w:type="dxa" w:w="221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Protection from change, readable retrieval, time consistency and review access.</w:t>
            </w:r>
          </w:p>
        </w:tc>
      </w:tr>
      <w:tr>
        <w:trPr>
          <w:cantSplit/>
        </w:trPr>
        <w:tc>
          <w:tcPr>
            <w:tcW w:type="dxa" w:w="210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Samples and results</w:t>
            </w:r>
          </w:p>
        </w:tc>
        <w:tc>
          <w:tcPr>
            <w:tcW w:type="dxa" w:w="220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MES and LIMS</w:t>
            </w:r>
          </w:p>
        </w:tc>
        <w:tc>
          <w:tcPr>
            <w:tcW w:type="dxa" w:w="285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LIMS is planned result authority; exact status authority requires confirmation.</w:t>
            </w:r>
          </w:p>
        </w:tc>
        <w:tc>
          <w:tcPr>
            <w:tcW w:type="dxa" w:w="221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Sample identity, mapping, attribution, late/invalid results and reconciliation.</w:t>
            </w:r>
          </w:p>
        </w:tc>
      </w:tr>
      <w:tr>
        <w:trPr>
          <w:cantSplit/>
        </w:trPr>
        <w:tc>
          <w:tcPr>
            <w:tcW w:type="dxa" w:w="210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Automation data</w:t>
            </w:r>
          </w:p>
        </w:tc>
        <w:tc>
          <w:tcPr>
            <w:tcW w:type="dxa" w:w="220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PLC/SCADA/equipment and MES</w:t>
            </w:r>
          </w:p>
        </w:tc>
        <w:tc>
          <w:tcPr>
            <w:tcW w:type="dxa" w:w="285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Authority depends on measurement/event and business use.</w:t>
            </w:r>
          </w:p>
        </w:tc>
        <w:tc>
          <w:tcPr>
            <w:tcW w:type="dxa" w:w="221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Source identity, units, time, sequence, range, completeness and fail-safe behaviour.</w:t>
            </w:r>
          </w:p>
        </w:tc>
      </w:tr>
      <w:tr>
        <w:trPr>
          <w:cantSplit/>
        </w:trPr>
        <w:tc>
          <w:tcPr>
            <w:tcW w:type="dxa" w:w="210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Exceptions / deviations</w:t>
            </w:r>
          </w:p>
        </w:tc>
        <w:tc>
          <w:tcPr>
            <w:tcW w:type="dxa" w:w="220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MES execution and quality process</w:t>
            </w:r>
          </w:p>
        </w:tc>
        <w:tc>
          <w:tcPr>
            <w:tcW w:type="dxa" w:w="285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MES captures execution event; formal deviation system/process authority is Verify.</w:t>
            </w:r>
          </w:p>
        </w:tc>
        <w:tc>
          <w:tcPr>
            <w:tcW w:type="dxa" w:w="221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Attribution, linkage, status, assessment, correction and closure traceability.</w:t>
            </w:r>
          </w:p>
        </w:tc>
      </w:tr>
      <w:tr>
        <w:trPr>
          <w:cantSplit/>
        </w:trPr>
        <w:tc>
          <w:tcPr>
            <w:tcW w:type="dxa" w:w="210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Interface messages and operational logs</w:t>
            </w:r>
          </w:p>
        </w:tc>
        <w:tc>
          <w:tcPr>
            <w:tcW w:type="dxa" w:w="220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Integration and infrastructure services</w:t>
            </w:r>
          </w:p>
        </w:tc>
        <w:tc>
          <w:tcPr>
            <w:tcW w:type="dxa" w:w="285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Operational evidence; GxP record status determined by risk/use.</w:t>
            </w:r>
          </w:p>
        </w:tc>
        <w:tc>
          <w:tcPr>
            <w:tcW w:type="dxa" w:w="221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Message identity, payload/hash where applicable, timing, error state, retention and access.</w:t>
            </w:r>
          </w:p>
        </w:tc>
      </w:tr>
    </w:tbl>
    <w:p>
      <w:pPr>
        <w:spacing w:after="0"/>
      </w:pPr>
    </w:p>
    <w:p>
      <w:pPr>
        <w:pStyle w:val="Heading2"/>
        <w:keepNext/>
      </w:pPr>
      <w:r>
        <w:t>9.2 High-level data flow</w:t>
      </w:r>
    </w:p>
    <w:p>
      <w:pPr>
        <w:pStyle w:val="ListNumber"/>
        <w:keepLines/>
        <w:spacing w:after="100"/>
      </w:pPr>
      <w:r>
        <w:rPr>
          <w:rFonts w:ascii="Calibri" w:hAnsi="Calibri" w:eastAsia="Calibri"/>
          <w:b w:val="0"/>
          <w:i w:val="0"/>
          <w:sz w:val="22"/>
        </w:rPr>
        <w:t>Data enters MES through an authorised user action or a controlled inbound interface and is associated with system/user identity, date/time and business context.</w:t>
      </w:r>
    </w:p>
    <w:p>
      <w:pPr>
        <w:pStyle w:val="ListNumber"/>
        <w:keepLines/>
        <w:spacing w:after="100"/>
      </w:pPr>
      <w:r>
        <w:rPr>
          <w:rFonts w:ascii="Calibri" w:hAnsi="Calibri" w:eastAsia="Calibri"/>
          <w:b w:val="0"/>
          <w:i w:val="0"/>
          <w:sz w:val="22"/>
        </w:rPr>
        <w:t>Application/configuration rules validate, transform or calculate data as specified; rejected or incomplete data follows a visible controlled error path.</w:t>
      </w:r>
    </w:p>
    <w:p>
      <w:pPr>
        <w:pStyle w:val="ListNumber"/>
        <w:keepLines/>
        <w:spacing w:after="100"/>
      </w:pPr>
      <w:r>
        <w:rPr>
          <w:rFonts w:ascii="Calibri" w:hAnsi="Calibri" w:eastAsia="Calibri"/>
          <w:b w:val="0"/>
          <w:i w:val="0"/>
          <w:sz w:val="22"/>
        </w:rPr>
        <w:t>Accepted data and relevant metadata are committed to the MES record with linkages to order, batch, instruction step, equipment/material/sample and approval context as applicable.</w:t>
      </w:r>
    </w:p>
    <w:p>
      <w:pPr>
        <w:pStyle w:val="ListNumber"/>
        <w:keepLines/>
        <w:spacing w:after="100"/>
      </w:pPr>
      <w:r>
        <w:rPr>
          <w:rFonts w:ascii="Calibri" w:hAnsi="Calibri" w:eastAsia="Calibri"/>
          <w:b w:val="0"/>
          <w:i w:val="0"/>
          <w:sz w:val="22"/>
        </w:rPr>
        <w:t>Authorised users or downstream services retrieve or review data using controlled functions and reports; any correction/change is governed and traceable.</w:t>
      </w:r>
    </w:p>
    <w:p>
      <w:pPr>
        <w:pStyle w:val="ListNumber"/>
        <w:keepLines/>
        <w:spacing w:after="100"/>
      </w:pPr>
      <w:r>
        <w:rPr>
          <w:rFonts w:ascii="Calibri" w:hAnsi="Calibri" w:eastAsia="Calibri"/>
          <w:b w:val="0"/>
          <w:i w:val="0"/>
          <w:sz w:val="22"/>
        </w:rPr>
        <w:t>Outbound interface data is mapped and transmitted with identifiers and acknowledgements sufficient to detect duplicates, omissions, delays and inconsistent status.</w:t>
      </w:r>
    </w:p>
    <w:p>
      <w:pPr>
        <w:pStyle w:val="ListNumber"/>
        <w:keepLines/>
        <w:spacing w:after="100"/>
      </w:pPr>
      <w:r>
        <w:rPr>
          <w:rFonts w:ascii="Calibri" w:hAnsi="Calibri" w:eastAsia="Calibri"/>
          <w:b w:val="0"/>
          <w:i w:val="0"/>
          <w:sz w:val="22"/>
        </w:rPr>
        <w:t>Records and associated metadata remain readable and retrievable for the approved retention period and are protected by access, backup, recovery, archival and change controls.</w:t>
      </w:r>
    </w:p>
    <w:p>
      <w:pPr>
        <w:pStyle w:val="Heading2"/>
        <w:keepNext/>
      </w:pPr>
      <w:r>
        <w:t>9.3 Data integrity principles</w:t>
      </w:r>
    </w:p>
    <w:p>
      <w:pPr>
        <w:pStyle w:val="ListBullet"/>
        <w:keepLines/>
        <w:spacing w:after="100"/>
      </w:pPr>
      <w:r>
        <w:rPr>
          <w:rFonts w:ascii="Calibri" w:hAnsi="Calibri" w:eastAsia="Calibri"/>
          <w:b w:val="0"/>
          <w:i w:val="0"/>
          <w:sz w:val="22"/>
        </w:rPr>
        <w:t>Assess the full data lifecycle and every point where critical data can be created, transformed, changed, approved, transferred, retained or destroyed.</w:t>
      </w:r>
    </w:p>
    <w:p>
      <w:pPr>
        <w:pStyle w:val="ListBullet"/>
        <w:keepLines/>
        <w:spacing w:after="100"/>
      </w:pPr>
      <w:r>
        <w:rPr>
          <w:rFonts w:ascii="Calibri" w:hAnsi="Calibri" w:eastAsia="Calibri"/>
          <w:b w:val="0"/>
          <w:i w:val="0"/>
          <w:sz w:val="22"/>
        </w:rPr>
        <w:t>Maintain traceability from identified data-integrity risks to user/design requirements, implemented controls and verification evidence.</w:t>
      </w:r>
    </w:p>
    <w:p>
      <w:pPr>
        <w:pStyle w:val="ListBullet"/>
        <w:keepLines/>
        <w:spacing w:after="100"/>
      </w:pPr>
      <w:r>
        <w:rPr>
          <w:rFonts w:ascii="Calibri" w:hAnsi="Calibri" w:eastAsia="Calibri"/>
          <w:b w:val="0"/>
          <w:i w:val="0"/>
          <w:sz w:val="22"/>
        </w:rPr>
        <w:t>Ensure GxP data, metadata, audit trails, regulated electronic signatures and associated approvals remain readable and retrievable for the full approved retention period.</w:t>
      </w:r>
    </w:p>
    <w:p>
      <w:pPr>
        <w:pStyle w:val="ListBullet"/>
        <w:keepLines/>
        <w:spacing w:after="100"/>
      </w:pPr>
      <w:r>
        <w:rPr>
          <w:rFonts w:ascii="Calibri" w:hAnsi="Calibri" w:eastAsia="Calibri"/>
          <w:b w:val="0"/>
          <w:i w:val="0"/>
          <w:sz w:val="22"/>
        </w:rPr>
        <w:t>Where a standard control is not feasible, document and approve a risk-based alternative providing equivalent assurance before implementation.</w:t>
      </w:r>
    </w:p>
    <w:p>
      <w:pPr>
        <w:pStyle w:val="ListBullet"/>
        <w:keepLines/>
        <w:spacing w:after="100"/>
      </w:pPr>
      <w:r>
        <w:rPr>
          <w:rFonts w:ascii="Calibri" w:hAnsi="Calibri" w:eastAsia="Calibri"/>
          <w:b w:val="0"/>
          <w:i w:val="0"/>
          <w:sz w:val="22"/>
        </w:rPr>
        <w:t>Define record authority and reconciliation by data object; do not assume that possession of a copy makes a connected system authoritative.</w:t>
      </w:r>
    </w:p>
    <w:p>
      <w:pPr>
        <w:pStyle w:val="Heading1"/>
        <w:keepNext/>
      </w:pPr>
      <w:r>
        <w:t>10 Security, access, e-signatures and audit trail</w:t>
      </w:r>
    </w:p>
    <w:p>
      <w:pPr>
        <w:pStyle w:val="Heading2"/>
        <w:keepNext/>
      </w:pPr>
      <w:r>
        <w:t>10.1 Security-control overview</w:t>
      </w:r>
    </w:p>
    <w:tbl>
      <w:tblPr>
        <w:tblW w:type="dxa" w:w="9360"/>
        <w:jc w:val="center"/>
        <w:tblLook w:firstColumn="1" w:firstRow="1" w:lastColumn="0" w:lastRow="0" w:noHBand="0" w:noVBand="1" w:val="04A0"/>
        <w:tblLayout w:type="fixed"/>
        <w:tblInd w:w="120" w:type="dxa"/>
      </w:tblPr>
      <w:tblGrid>
        <w:gridCol w:w="2050"/>
        <w:gridCol w:w="4200"/>
        <w:gridCol w:w="3110"/>
      </w:tblGrid>
      <w:tr>
        <w:trPr>
          <w:cantSplit/>
          <w:tblHeader w:val="true"/>
        </w:trPr>
        <w:tc>
          <w:tcPr>
            <w:tcW w:type="dxa" w:w="205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Control domain</w:t>
            </w:r>
          </w:p>
        </w:tc>
        <w:tc>
          <w:tcPr>
            <w:tcW w:type="dxa" w:w="420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Planned control intent</w:t>
            </w:r>
          </w:p>
        </w:tc>
        <w:tc>
          <w:tcPr>
            <w:tcW w:type="dxa" w:w="311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Required downstream definition</w:t>
            </w:r>
          </w:p>
        </w:tc>
      </w:tr>
      <w:tr>
        <w:trPr>
          <w:cantSplit/>
        </w:trPr>
        <w:tc>
          <w:tcPr>
            <w:tcW w:type="dxa" w:w="20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Identity and authentication</w:t>
            </w:r>
          </w:p>
        </w:tc>
        <w:tc>
          <w:tcPr>
            <w:tcW w:type="dxa" w:w="42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Use unique attributable identities and approved authentication appropriate to system/data risk.</w:t>
            </w:r>
          </w:p>
        </w:tc>
        <w:tc>
          <w:tcPr>
            <w:tcW w:type="dxa" w:w="31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SSO method, MFA applicability, identity attributes, timeout and lockout.</w:t>
            </w:r>
          </w:p>
        </w:tc>
      </w:tr>
      <w:tr>
        <w:trPr>
          <w:cantSplit/>
        </w:trPr>
        <w:tc>
          <w:tcPr>
            <w:tcW w:type="dxa" w:w="20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Role-based authorisation</w:t>
            </w:r>
          </w:p>
        </w:tc>
        <w:tc>
          <w:tcPr>
            <w:tcW w:type="dxa" w:w="42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Grant least privilege by approved business/admin role and prevent unauthorised functions/data access.</w:t>
            </w:r>
          </w:p>
        </w:tc>
        <w:tc>
          <w:tcPr>
            <w:tcW w:type="dxa" w:w="31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Role matrix, privileges, business owner, approval and test coverage.</w:t>
            </w:r>
          </w:p>
        </w:tc>
      </w:tr>
      <w:tr>
        <w:trPr>
          <w:cantSplit/>
        </w:trPr>
        <w:tc>
          <w:tcPr>
            <w:tcW w:type="dxa" w:w="20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Joiner / mover / leaver</w:t>
            </w:r>
          </w:p>
        </w:tc>
        <w:tc>
          <w:tcPr>
            <w:tcW w:type="dxa" w:w="42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Provision, change and revoke access through controlled requests with timely execution and evidence.</w:t>
            </w:r>
          </w:p>
        </w:tc>
        <w:tc>
          <w:tcPr>
            <w:tcW w:type="dxa" w:w="31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Workflow, service levels, requester/approver, exception and reconciliation.</w:t>
            </w:r>
          </w:p>
        </w:tc>
      </w:tr>
      <w:tr>
        <w:trPr>
          <w:cantSplit/>
        </w:trPr>
        <w:tc>
          <w:tcPr>
            <w:tcW w:type="dxa" w:w="20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Privileged and service accounts</w:t>
            </w:r>
          </w:p>
        </w:tc>
        <w:tc>
          <w:tcPr>
            <w:tcW w:type="dxa" w:w="42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Restrict, identify, own, vault/rotate and monitor powerful or non-person accounts.</w:t>
            </w:r>
          </w:p>
        </w:tc>
        <w:tc>
          <w:tcPr>
            <w:tcW w:type="dxa" w:w="31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Account register, purpose, owner, credential protection, review and logging.</w:t>
            </w:r>
          </w:p>
        </w:tc>
      </w:tr>
      <w:tr>
        <w:trPr>
          <w:cantSplit/>
        </w:trPr>
        <w:tc>
          <w:tcPr>
            <w:tcW w:type="dxa" w:w="20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Segregation of duties</w:t>
            </w:r>
          </w:p>
        </w:tc>
        <w:tc>
          <w:tcPr>
            <w:tcW w:type="dxa" w:w="42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Prevent or detect conflicting abilities such as configuring, approving, executing and administrating the same controlled object.</w:t>
            </w:r>
          </w:p>
        </w:tc>
        <w:tc>
          <w:tcPr>
            <w:tcW w:type="dxa" w:w="31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Conflict matrix, mitigating controls and periodic review.</w:t>
            </w:r>
          </w:p>
        </w:tc>
      </w:tr>
      <w:tr>
        <w:trPr>
          <w:cantSplit/>
        </w:trPr>
        <w:tc>
          <w:tcPr>
            <w:tcW w:type="dxa" w:w="20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Encryption / secure communication</w:t>
            </w:r>
          </w:p>
        </w:tc>
        <w:tc>
          <w:tcPr>
            <w:tcW w:type="dxa" w:w="42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Protect applicable information in transit and at rest using approved services and keys/certificates.</w:t>
            </w:r>
          </w:p>
        </w:tc>
        <w:tc>
          <w:tcPr>
            <w:tcW w:type="dxa" w:w="31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Data classification, protocol/cipher, certificate/key ownership and renewal.</w:t>
            </w:r>
          </w:p>
        </w:tc>
      </w:tr>
      <w:tr>
        <w:trPr>
          <w:cantSplit/>
        </w:trPr>
        <w:tc>
          <w:tcPr>
            <w:tcW w:type="dxa" w:w="20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Logging and monitoring</w:t>
            </w:r>
          </w:p>
        </w:tc>
        <w:tc>
          <w:tcPr>
            <w:tcW w:type="dxa" w:w="42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Record security-relevant events and route actionable alerts to accountable responders.</w:t>
            </w:r>
          </w:p>
        </w:tc>
        <w:tc>
          <w:tcPr>
            <w:tcW w:type="dxa" w:w="31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Event set, retention, thresholds, review frequency, escalation and evidence.</w:t>
            </w:r>
          </w:p>
        </w:tc>
      </w:tr>
      <w:tr>
        <w:trPr>
          <w:cantSplit/>
        </w:trPr>
        <w:tc>
          <w:tcPr>
            <w:tcW w:type="dxa" w:w="20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Vulnerability and patching</w:t>
            </w:r>
          </w:p>
        </w:tc>
        <w:tc>
          <w:tcPr>
            <w:tcW w:type="dxa" w:w="42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Maintain supported components and apply risk-assessed security updates under change control.</w:t>
            </w:r>
          </w:p>
        </w:tc>
        <w:tc>
          <w:tcPr>
            <w:tcW w:type="dxa" w:w="31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Asset/version baseline, scanning, patch cycle, exceptions and verification.</w:t>
            </w:r>
          </w:p>
        </w:tc>
      </w:tr>
    </w:tbl>
    <w:p>
      <w:pPr>
        <w:spacing w:after="0"/>
      </w:pPr>
    </w:p>
    <w:p>
      <w:pPr>
        <w:pStyle w:val="Heading2"/>
        <w:keepNext/>
      </w:pPr>
      <w:r>
        <w:t>10.2 Electronic signatures</w:t>
      </w:r>
    </w:p>
    <w:p>
      <w:pPr>
        <w:keepNext w:val="0"/>
        <w:keepLines/>
        <w:spacing w:after="120" w:line="264" w:lineRule="auto"/>
      </w:pPr>
      <w:r>
        <w:rPr>
          <w:rFonts w:ascii="Calibri" w:hAnsi="Calibri" w:eastAsia="Calibri"/>
          <w:b w:val="0"/>
          <w:i w:val="0"/>
          <w:sz w:val="22"/>
        </w:rPr>
        <w:t>Where configured for GxP approvals, each electronic signature must be attributable to a unique authorised identity, linked to the signed record, include the applicable meaning and date/time, and remain readable and retrievable with the record. Signature prompts, re-authentication, failure handling, delegation/proxy restrictions and display must be defined in requirements and verified.</w:t>
      </w:r>
    </w:p>
    <w:p>
      <w:pPr>
        <w:pStyle w:val="Heading2"/>
        <w:keepNext/>
      </w:pPr>
      <w:r>
        <w:t>10.3 Audit trail</w:t>
      </w:r>
    </w:p>
    <w:p>
      <w:pPr>
        <w:keepNext w:val="0"/>
        <w:keepLines/>
        <w:spacing w:after="120" w:line="264" w:lineRule="auto"/>
      </w:pPr>
      <w:r>
        <w:rPr>
          <w:rFonts w:ascii="Calibri" w:hAnsi="Calibri" w:eastAsia="Calibri"/>
          <w:b w:val="0"/>
          <w:i w:val="0"/>
          <w:sz w:val="22"/>
        </w:rPr>
        <w:t>The audit trail must capture risk-relevant creation, change, deletion, status, configuration, access and approval events with sufficient metadata to reconstruct who did what, when, and—where required—why. The trail must be protected from unauthorised alteration, time-aligned, searchable/readable for authorised review and retained with the applicable record. The exact event set and review approach will be determined by the data-integrity and audit-trail assessments.</w:t>
      </w:r>
    </w:p>
    <w:tbl>
      <w:tblPr>
        <w:tblW w:type="dxa" w:w="9360"/>
        <w:tblLook w:firstColumn="1" w:firstRow="1" w:lastColumn="0" w:lastRow="0" w:noHBand="0" w:noVBand="1" w:val="04A0"/>
        <w:tblLayout w:type="fixed"/>
        <w:tblInd w:w="120" w:type="dxa"/>
      </w:tblPr>
      <w:tblGrid>
        <w:gridCol w:w="9360"/>
      </w:tblGrid>
      <w:tr>
        <w:trPr>
          <w:cantSplit/>
        </w:trPr>
        <w:tc>
          <w:tcPr>
            <w:tcW w:type="dxa" w:w="9360"/>
            <w:shd w:fill="FFF2CC"/>
          </w:tcPr>
          <w:p>
            <w:pPr>
              <w:spacing w:before="0" w:after="0" w:line="240" w:lineRule="auto"/>
            </w:pPr>
            <w:r/>
            <w:r>
              <w:rPr>
                <w:rFonts w:ascii="Calibri" w:hAnsi="Calibri" w:eastAsia="Calibri"/>
                <w:b/>
                <w:i w:val="0"/>
                <w:color w:val="1F4D78"/>
                <w:sz w:val="18"/>
              </w:rPr>
              <w:t xml:space="preserve">Risk focus: </w:t>
            </w:r>
            <w:r>
              <w:rPr>
                <w:rFonts w:ascii="Calibri" w:hAnsi="Calibri" w:eastAsia="Calibri"/>
                <w:b w:val="0"/>
                <w:i w:val="0"/>
                <w:color w:val="243746"/>
                <w:sz w:val="18"/>
              </w:rPr>
              <w:t>No generic statement that an audit trail 'exists' is sufficient. Downstream assessment must identify every point in the process/data flow where critical data can change and specify control implementation and review for those points.</w:t>
            </w:r>
          </w:p>
        </w:tc>
      </w:tr>
    </w:tbl>
    <w:p>
      <w:pPr>
        <w:spacing w:after="0"/>
      </w:pPr>
    </w:p>
    <w:p>
      <w:pPr>
        <w:pStyle w:val="Heading1"/>
        <w:keepNext/>
      </w:pPr>
      <w:r>
        <w:t>11 Infrastructure, operations and continuity</w:t>
      </w:r>
    </w:p>
    <w:p>
      <w:pPr>
        <w:pStyle w:val="Heading2"/>
        <w:keepNext/>
      </w:pPr>
      <w:r>
        <w:t>11.1 Operational control model</w:t>
      </w:r>
    </w:p>
    <w:tbl>
      <w:tblPr>
        <w:tblW w:type="dxa" w:w="9360"/>
        <w:jc w:val="center"/>
        <w:tblLook w:firstColumn="1" w:firstRow="1" w:lastColumn="0" w:lastRow="0" w:noHBand="0" w:noVBand="1" w:val="04A0"/>
        <w:tblLayout w:type="fixed"/>
        <w:tblInd w:w="120" w:type="dxa"/>
      </w:tblPr>
      <w:tblGrid>
        <w:gridCol w:w="2150"/>
        <w:gridCol w:w="4100"/>
        <w:gridCol w:w="3110"/>
      </w:tblGrid>
      <w:tr>
        <w:trPr>
          <w:cantSplit/>
          <w:tblHeader w:val="true"/>
        </w:trPr>
        <w:tc>
          <w:tcPr>
            <w:tcW w:type="dxa" w:w="215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Operational area</w:t>
            </w:r>
          </w:p>
        </w:tc>
        <w:tc>
          <w:tcPr>
            <w:tcW w:type="dxa" w:w="410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Planned control baseline</w:t>
            </w:r>
          </w:p>
        </w:tc>
        <w:tc>
          <w:tcPr>
            <w:tcW w:type="dxa" w:w="311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Expected controlled record</w:t>
            </w:r>
          </w:p>
        </w:tc>
      </w:tr>
      <w:tr>
        <w:trPr>
          <w:cantSplit/>
        </w:trPr>
        <w:tc>
          <w:tcPr>
            <w:tcW w:type="dxa" w:w="21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Configuration and change</w:t>
            </w:r>
          </w:p>
        </w:tc>
        <w:tc>
          <w:tcPr>
            <w:tcW w:type="dxa" w:w="41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Maintain approved baselines; assess, approve, implement, verify and close changes proportionate to impact.</w:t>
            </w:r>
          </w:p>
        </w:tc>
        <w:tc>
          <w:tcPr>
            <w:tcW w:type="dxa" w:w="31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Configuration records, change record, impact/risk assessment, test and release evidence.</w:t>
            </w:r>
          </w:p>
        </w:tc>
      </w:tr>
      <w:tr>
        <w:trPr>
          <w:cantSplit/>
        </w:trPr>
        <w:tc>
          <w:tcPr>
            <w:tcW w:type="dxa" w:w="21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Monitoring and capacity</w:t>
            </w:r>
          </w:p>
        </w:tc>
        <w:tc>
          <w:tcPr>
            <w:tcW w:type="dxa" w:w="41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Monitor availability, service health, interfaces, jobs, storage/capacity and critical errors; route alerts.</w:t>
            </w:r>
          </w:p>
        </w:tc>
        <w:tc>
          <w:tcPr>
            <w:tcW w:type="dxa" w:w="31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Monitoring design, alert/event history, incident/problem records and capacity review.</w:t>
            </w:r>
          </w:p>
        </w:tc>
      </w:tr>
      <w:tr>
        <w:trPr>
          <w:cantSplit/>
        </w:trPr>
        <w:tc>
          <w:tcPr>
            <w:tcW w:type="dxa" w:w="21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Incident and problem</w:t>
            </w:r>
          </w:p>
        </w:tc>
        <w:tc>
          <w:tcPr>
            <w:tcW w:type="dxa" w:w="41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Restore service safely, assess data/GxP impact, preserve evidence, correct root causes and manage recurrence.</w:t>
            </w:r>
          </w:p>
        </w:tc>
        <w:tc>
          <w:tcPr>
            <w:tcW w:type="dxa" w:w="31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Incident/problem record, impact assessment, workaround, CAPA/change linkage and closure.</w:t>
            </w:r>
          </w:p>
        </w:tc>
      </w:tr>
      <w:tr>
        <w:trPr>
          <w:cantSplit/>
        </w:trPr>
        <w:tc>
          <w:tcPr>
            <w:tcW w:type="dxa" w:w="21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Backup</w:t>
            </w:r>
          </w:p>
        </w:tc>
        <w:tc>
          <w:tcPr>
            <w:tcW w:type="dxa" w:w="41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Back up all in-scope configuration and records needed for approved recovery, with protected copies and monitored jobs.</w:t>
            </w:r>
          </w:p>
        </w:tc>
        <w:tc>
          <w:tcPr>
            <w:tcW w:type="dxa" w:w="31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Backup scope/configuration, job results, exceptions, retention and periodic review.</w:t>
            </w:r>
          </w:p>
        </w:tc>
      </w:tr>
      <w:tr>
        <w:trPr>
          <w:cantSplit/>
        </w:trPr>
        <w:tc>
          <w:tcPr>
            <w:tcW w:type="dxa" w:w="21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Restore and disaster recovery</w:t>
            </w:r>
          </w:p>
        </w:tc>
        <w:tc>
          <w:tcPr>
            <w:tcW w:type="dxa" w:w="41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Demonstrate recoverability, data consistency, authorised recovery and return to controlled operation.</w:t>
            </w:r>
          </w:p>
        </w:tc>
        <w:tc>
          <w:tcPr>
            <w:tcW w:type="dxa" w:w="31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Restore procedure, recovery test/exercise, reconciliation, deviations and approval.</w:t>
            </w:r>
          </w:p>
        </w:tc>
      </w:tr>
      <w:tr>
        <w:trPr>
          <w:cantSplit/>
        </w:trPr>
        <w:tc>
          <w:tcPr>
            <w:tcW w:type="dxa" w:w="21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Periodic review</w:t>
            </w:r>
          </w:p>
        </w:tc>
        <w:tc>
          <w:tcPr>
            <w:tcW w:type="dxa" w:w="41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Evaluate validated state, changes, incidents, access, risk controls, supplier/service status and obsolescence.</w:t>
            </w:r>
          </w:p>
        </w:tc>
        <w:tc>
          <w:tcPr>
            <w:tcW w:type="dxa" w:w="31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Periodic system evaluation plan/report, actions and approval.</w:t>
            </w:r>
          </w:p>
        </w:tc>
      </w:tr>
      <w:tr>
        <w:trPr>
          <w:cantSplit/>
        </w:trPr>
        <w:tc>
          <w:tcPr>
            <w:tcW w:type="dxa" w:w="21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Supplier and service management</w:t>
            </w:r>
          </w:p>
        </w:tc>
        <w:tc>
          <w:tcPr>
            <w:tcW w:type="dxa" w:w="41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Maintain approved responsibilities, service levels, quality/security obligations and change/incident communication.</w:t>
            </w:r>
          </w:p>
        </w:tc>
        <w:tc>
          <w:tcPr>
            <w:tcW w:type="dxa" w:w="31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Assessment, contract/quality agreement, SLA/KPI review and supplier records.</w:t>
            </w:r>
          </w:p>
        </w:tc>
      </w:tr>
      <w:tr>
        <w:trPr>
          <w:cantSplit/>
        </w:trPr>
        <w:tc>
          <w:tcPr>
            <w:tcW w:type="dxa" w:w="21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Training and support</w:t>
            </w:r>
          </w:p>
        </w:tc>
        <w:tc>
          <w:tcPr>
            <w:tcW w:type="dxa" w:w="41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Ensure users and support staff are trained and qualified for assigned responsibilities before access/use.</w:t>
            </w:r>
          </w:p>
        </w:tc>
        <w:tc>
          <w:tcPr>
            <w:tcW w:type="dxa" w:w="31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Training material, assignment/completion evidence and support procedure.</w:t>
            </w:r>
          </w:p>
        </w:tc>
      </w:tr>
    </w:tbl>
    <w:p>
      <w:pPr>
        <w:spacing w:after="0"/>
      </w:pPr>
    </w:p>
    <w:p>
      <w:pPr>
        <w:pStyle w:val="Heading2"/>
        <w:keepNext/>
      </w:pPr>
      <w:r>
        <w:t>11.2 Continuity assumptions</w:t>
      </w:r>
    </w:p>
    <w:p>
      <w:pPr>
        <w:pStyle w:val="ListBullet"/>
        <w:keepLines/>
        <w:spacing w:after="100"/>
      </w:pPr>
      <w:r>
        <w:rPr>
          <w:rFonts w:ascii="Calibri" w:hAnsi="Calibri" w:eastAsia="Calibri"/>
          <w:b w:val="0"/>
          <w:i w:val="0"/>
          <w:sz w:val="22"/>
        </w:rPr>
        <w:t>Business impact and process-continuity assessments will define acceptable downtime, manual/alternative operation and controlled resumption.</w:t>
      </w:r>
    </w:p>
    <w:p>
      <w:pPr>
        <w:pStyle w:val="ListBullet"/>
        <w:keepLines/>
        <w:spacing w:after="100"/>
      </w:pPr>
      <w:r>
        <w:rPr>
          <w:rFonts w:ascii="Calibri" w:hAnsi="Calibri" w:eastAsia="Calibri"/>
          <w:b w:val="0"/>
          <w:i w:val="0"/>
          <w:sz w:val="22"/>
        </w:rPr>
        <w:t>Recovery time objective (RTO), recovery point objective (RPO), backup frequency, retention and restore-test frequency are not yet approved and remain Verify items.</w:t>
      </w:r>
    </w:p>
    <w:p>
      <w:pPr>
        <w:pStyle w:val="ListBullet"/>
        <w:keepLines/>
        <w:spacing w:after="100"/>
      </w:pPr>
      <w:r>
        <w:rPr>
          <w:rFonts w:ascii="Calibri" w:hAnsi="Calibri" w:eastAsia="Calibri"/>
          <w:b w:val="0"/>
          <w:i w:val="0"/>
          <w:sz w:val="22"/>
        </w:rPr>
        <w:t>Recovery must include configuration, application data, metadata, audit trails, signatures, interface state and any dependencies necessary to establish a consistent record set.</w:t>
      </w:r>
    </w:p>
    <w:p>
      <w:pPr>
        <w:pStyle w:val="ListBullet"/>
        <w:keepLines/>
        <w:spacing w:after="100"/>
      </w:pPr>
      <w:r>
        <w:rPr>
          <w:rFonts w:ascii="Calibri" w:hAnsi="Calibri" w:eastAsia="Calibri"/>
          <w:b w:val="0"/>
          <w:i w:val="0"/>
          <w:sz w:val="22"/>
        </w:rPr>
        <w:t>After recovery, authorised roles must reconcile system state, incomplete interfaces, active orders/batches and outstanding exceptions before resuming regulated execution.</w:t>
      </w:r>
    </w:p>
    <w:p>
      <w:pPr>
        <w:pStyle w:val="ListBullet"/>
        <w:keepLines/>
        <w:spacing w:after="100"/>
      </w:pPr>
      <w:r>
        <w:rPr>
          <w:rFonts w:ascii="Calibri" w:hAnsi="Calibri" w:eastAsia="Calibri"/>
          <w:b w:val="0"/>
          <w:i w:val="0"/>
          <w:sz w:val="22"/>
        </w:rPr>
        <w:t>Continuity arrangements for ERP, LIMS, automation, identity, time and network services must be coordinated with their owners and interface agreements.</w:t>
      </w:r>
    </w:p>
    <w:p>
      <w:pPr>
        <w:pStyle w:val="Heading1"/>
        <w:keepNext/>
      </w:pPr>
      <w:r>
        <w:t>12 Ownership, roles and supplier responsibilities</w:t>
      </w:r>
    </w:p>
    <w:p>
      <w:pPr>
        <w:pStyle w:val="Heading2"/>
        <w:keepNext/>
      </w:pPr>
      <w:r>
        <w:t>12.1 Role accountability</w:t>
      </w:r>
    </w:p>
    <w:tbl>
      <w:tblPr>
        <w:tblW w:type="dxa" w:w="9360"/>
        <w:jc w:val="center"/>
        <w:tblLook w:firstColumn="1" w:firstRow="1" w:lastColumn="0" w:lastRow="0" w:noHBand="0" w:noVBand="1" w:val="04A0"/>
        <w:tblLayout w:type="fixed"/>
        <w:tblInd w:w="120" w:type="dxa"/>
      </w:tblPr>
      <w:tblGrid>
        <w:gridCol w:w="2850"/>
        <w:gridCol w:w="6510"/>
      </w:tblGrid>
      <w:tr>
        <w:trPr>
          <w:cantSplit/>
          <w:tblHeader w:val="true"/>
        </w:trPr>
        <w:tc>
          <w:tcPr>
            <w:tcW w:type="dxa" w:w="285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Fictional role</w:t>
            </w:r>
          </w:p>
        </w:tc>
        <w:tc>
          <w:tcPr>
            <w:tcW w:type="dxa" w:w="651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System-description responsibility</w:t>
            </w:r>
          </w:p>
        </w:tc>
      </w:tr>
      <w:tr>
        <w:trPr>
          <w:cantSplit/>
        </w:trPr>
        <w:tc>
          <w:tcPr>
            <w:tcW w:type="dxa" w:w="2850"/>
            <w:vAlign w:val="center"/>
            <w:tcMar>
              <w:top w:w="80" w:type="dxa"/>
              <w:start w:w="120" w:type="dxa"/>
              <w:bottom w:w="80" w:type="dxa"/>
              <w:end w:w="120" w:type="dxa"/>
            </w:tcMar>
          </w:tcPr>
          <w:p>
            <w:pPr>
              <w:spacing w:before="0" w:after="0" w:line="240" w:lineRule="auto"/>
            </w:pPr>
            <w:r>
              <w:rPr>
                <w:rFonts w:ascii="Calibri" w:hAnsi="Calibri" w:eastAsia="Calibri"/>
                <w:b/>
                <w:i w:val="0"/>
                <w:sz w:val="15"/>
              </w:rPr>
            </w:r>
            <w:r>
              <w:rPr>
                <w:rFonts w:ascii="Calibri" w:hAnsi="Calibri" w:eastAsia="Calibri"/>
                <w:b/>
                <w:i w:val="0"/>
                <w:sz w:val="15"/>
              </w:rPr>
              <w:t>Business Process Owner</w:t>
            </w:r>
          </w:p>
        </w:tc>
        <w:tc>
          <w:tcPr>
            <w:tcW w:type="dxa" w:w="65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Confirms intended use, business scope, process criticality, operational needs and continuity priorities.</w:t>
            </w:r>
          </w:p>
        </w:tc>
      </w:tr>
      <w:tr>
        <w:trPr>
          <w:cantSplit/>
        </w:trPr>
        <w:tc>
          <w:tcPr>
            <w:tcW w:type="dxa" w:w="2850"/>
            <w:vAlign w:val="center"/>
            <w:tcMar>
              <w:top w:w="80" w:type="dxa"/>
              <w:start w:w="120" w:type="dxa"/>
              <w:bottom w:w="80" w:type="dxa"/>
              <w:end w:w="120" w:type="dxa"/>
            </w:tcMar>
          </w:tcPr>
          <w:p>
            <w:pPr>
              <w:spacing w:before="0" w:after="0" w:line="240" w:lineRule="auto"/>
            </w:pPr>
            <w:r>
              <w:rPr>
                <w:rFonts w:ascii="Calibri" w:hAnsi="Calibri" w:eastAsia="Calibri"/>
                <w:b/>
                <w:i w:val="0"/>
                <w:sz w:val="15"/>
              </w:rPr>
            </w:r>
            <w:r>
              <w:rPr>
                <w:rFonts w:ascii="Calibri" w:hAnsi="Calibri" w:eastAsia="Calibri"/>
                <w:b/>
                <w:i w:val="0"/>
                <w:sz w:val="15"/>
              </w:rPr>
              <w:t>IT Solution Owner</w:t>
            </w:r>
          </w:p>
        </w:tc>
        <w:tc>
          <w:tcPr>
            <w:tcW w:type="dxa" w:w="65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Overall accountable for compliance, fit for intended use, lifecycle control, resources, stakeholder involvement and required approvals.</w:t>
            </w:r>
          </w:p>
        </w:tc>
      </w:tr>
      <w:tr>
        <w:trPr>
          <w:cantSplit/>
        </w:trPr>
        <w:tc>
          <w:tcPr>
            <w:tcW w:type="dxa" w:w="2850"/>
            <w:vAlign w:val="center"/>
            <w:tcMar>
              <w:top w:w="80" w:type="dxa"/>
              <w:start w:w="120" w:type="dxa"/>
              <w:bottom w:w="80" w:type="dxa"/>
              <w:end w:w="120" w:type="dxa"/>
            </w:tcMar>
          </w:tcPr>
          <w:p>
            <w:pPr>
              <w:spacing w:before="0" w:after="0" w:line="240" w:lineRule="auto"/>
            </w:pPr>
            <w:r>
              <w:rPr>
                <w:rFonts w:ascii="Calibri" w:hAnsi="Calibri" w:eastAsia="Calibri"/>
                <w:b/>
                <w:i w:val="0"/>
                <w:sz w:val="15"/>
              </w:rPr>
            </w:r>
            <w:r>
              <w:rPr>
                <w:rFonts w:ascii="Calibri" w:hAnsi="Calibri" w:eastAsia="Calibri"/>
                <w:b/>
                <w:i w:val="0"/>
                <w:sz w:val="15"/>
              </w:rPr>
              <w:t>IT System Manager</w:t>
            </w:r>
          </w:p>
        </w:tc>
        <w:tc>
          <w:tcPr>
            <w:tcW w:type="dxa" w:w="65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Maintains system overview, architecture/dependency information, operational management, audit readiness and lifecycle records under documented delegation.</w:t>
            </w:r>
          </w:p>
        </w:tc>
      </w:tr>
      <w:tr>
        <w:trPr>
          <w:cantSplit/>
        </w:trPr>
        <w:tc>
          <w:tcPr>
            <w:tcW w:type="dxa" w:w="2850"/>
            <w:vAlign w:val="center"/>
            <w:tcMar>
              <w:top w:w="80" w:type="dxa"/>
              <w:start w:w="120" w:type="dxa"/>
              <w:bottom w:w="80" w:type="dxa"/>
              <w:end w:w="120" w:type="dxa"/>
            </w:tcMar>
          </w:tcPr>
          <w:p>
            <w:pPr>
              <w:spacing w:before="0" w:after="0" w:line="240" w:lineRule="auto"/>
            </w:pPr>
            <w:r>
              <w:rPr>
                <w:rFonts w:ascii="Calibri" w:hAnsi="Calibri" w:eastAsia="Calibri"/>
                <w:b/>
                <w:i w:val="0"/>
                <w:sz w:val="15"/>
              </w:rPr>
            </w:r>
            <w:r>
              <w:rPr>
                <w:rFonts w:ascii="Calibri" w:hAnsi="Calibri" w:eastAsia="Calibri"/>
                <w:b/>
                <w:i w:val="0"/>
                <w:sz w:val="15"/>
              </w:rPr>
              <w:t>Validation Lead</w:t>
            </w:r>
          </w:p>
        </w:tc>
        <w:tc>
          <w:tcPr>
            <w:tcW w:type="dxa" w:w="65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Maintains lifecycle strategy, requirement/risk/verification linkage and validated-state conclusion.</w:t>
            </w:r>
          </w:p>
        </w:tc>
      </w:tr>
      <w:tr>
        <w:trPr>
          <w:cantSplit/>
        </w:trPr>
        <w:tc>
          <w:tcPr>
            <w:tcW w:type="dxa" w:w="2850"/>
            <w:vAlign w:val="center"/>
            <w:tcMar>
              <w:top w:w="80" w:type="dxa"/>
              <w:start w:w="120" w:type="dxa"/>
              <w:bottom w:w="80" w:type="dxa"/>
              <w:end w:w="120" w:type="dxa"/>
            </w:tcMar>
          </w:tcPr>
          <w:p>
            <w:pPr>
              <w:spacing w:before="0" w:after="0" w:line="240" w:lineRule="auto"/>
            </w:pPr>
            <w:r>
              <w:rPr>
                <w:rFonts w:ascii="Calibri" w:hAnsi="Calibri" w:eastAsia="Calibri"/>
                <w:b/>
                <w:i w:val="0"/>
                <w:sz w:val="15"/>
              </w:rPr>
            </w:r>
            <w:r>
              <w:rPr>
                <w:rFonts w:ascii="Calibri" w:hAnsi="Calibri" w:eastAsia="Calibri"/>
                <w:b/>
                <w:i w:val="0"/>
                <w:sz w:val="15"/>
              </w:rPr>
              <w:t>Quality Assurance</w:t>
            </w:r>
          </w:p>
        </w:tc>
        <w:tc>
          <w:tcPr>
            <w:tcW w:type="dxa" w:w="65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Provides independent GxP oversight and approval where required; evaluates lifecycle adequacy and unresolved quality risk.</w:t>
            </w:r>
          </w:p>
        </w:tc>
      </w:tr>
      <w:tr>
        <w:trPr>
          <w:cantSplit/>
        </w:trPr>
        <w:tc>
          <w:tcPr>
            <w:tcW w:type="dxa" w:w="2850"/>
            <w:vAlign w:val="center"/>
            <w:tcMar>
              <w:top w:w="80" w:type="dxa"/>
              <w:start w:w="120" w:type="dxa"/>
              <w:bottom w:w="80" w:type="dxa"/>
              <w:end w:w="120" w:type="dxa"/>
            </w:tcMar>
          </w:tcPr>
          <w:p>
            <w:pPr>
              <w:spacing w:before="0" w:after="0" w:line="240" w:lineRule="auto"/>
            </w:pPr>
            <w:r>
              <w:rPr>
                <w:rFonts w:ascii="Calibri" w:hAnsi="Calibri" w:eastAsia="Calibri"/>
                <w:b/>
                <w:i w:val="0"/>
                <w:sz w:val="15"/>
              </w:rPr>
            </w:r>
            <w:r>
              <w:rPr>
                <w:rFonts w:ascii="Calibri" w:hAnsi="Calibri" w:eastAsia="Calibri"/>
                <w:b/>
                <w:i w:val="0"/>
                <w:sz w:val="15"/>
              </w:rPr>
              <w:t>MES Functional SME</w:t>
            </w:r>
          </w:p>
        </w:tc>
        <w:tc>
          <w:tcPr>
            <w:tcW w:type="dxa" w:w="65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Defines process use, configuration capability, role behaviour and functional requirements.</w:t>
            </w:r>
          </w:p>
        </w:tc>
      </w:tr>
      <w:tr>
        <w:trPr>
          <w:cantSplit/>
        </w:trPr>
        <w:tc>
          <w:tcPr>
            <w:tcW w:type="dxa" w:w="2850"/>
            <w:vAlign w:val="center"/>
            <w:tcMar>
              <w:top w:w="80" w:type="dxa"/>
              <w:start w:w="120" w:type="dxa"/>
              <w:bottom w:w="80" w:type="dxa"/>
              <w:end w:w="120" w:type="dxa"/>
            </w:tcMar>
          </w:tcPr>
          <w:p>
            <w:pPr>
              <w:spacing w:before="0" w:after="0" w:line="240" w:lineRule="auto"/>
            </w:pPr>
            <w:r>
              <w:rPr>
                <w:rFonts w:ascii="Calibri" w:hAnsi="Calibri" w:eastAsia="Calibri"/>
                <w:b/>
                <w:i w:val="0"/>
                <w:sz w:val="15"/>
              </w:rPr>
            </w:r>
            <w:r>
              <w:rPr>
                <w:rFonts w:ascii="Calibri" w:hAnsi="Calibri" w:eastAsia="Calibri"/>
                <w:b/>
                <w:i w:val="0"/>
                <w:sz w:val="15"/>
              </w:rPr>
              <w:t>Technical / Integration Lead</w:t>
            </w:r>
          </w:p>
        </w:tc>
        <w:tc>
          <w:tcPr>
            <w:tcW w:type="dxa" w:w="65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Defines architecture, components, interfaces, technical prerequisites, monitoring and recovery design.</w:t>
            </w:r>
          </w:p>
        </w:tc>
      </w:tr>
      <w:tr>
        <w:trPr>
          <w:cantSplit/>
        </w:trPr>
        <w:tc>
          <w:tcPr>
            <w:tcW w:type="dxa" w:w="2850"/>
            <w:vAlign w:val="center"/>
            <w:tcMar>
              <w:top w:w="80" w:type="dxa"/>
              <w:start w:w="120" w:type="dxa"/>
              <w:bottom w:w="80" w:type="dxa"/>
              <w:end w:w="120" w:type="dxa"/>
            </w:tcMar>
          </w:tcPr>
          <w:p>
            <w:pPr>
              <w:spacing w:before="0" w:after="0" w:line="240" w:lineRule="auto"/>
            </w:pPr>
            <w:r>
              <w:rPr>
                <w:rFonts w:ascii="Calibri" w:hAnsi="Calibri" w:eastAsia="Calibri"/>
                <w:b/>
                <w:i w:val="0"/>
                <w:sz w:val="15"/>
              </w:rPr>
            </w:r>
            <w:r>
              <w:rPr>
                <w:rFonts w:ascii="Calibri" w:hAnsi="Calibri" w:eastAsia="Calibri"/>
                <w:b/>
                <w:i w:val="0"/>
                <w:sz w:val="15"/>
              </w:rPr>
              <w:t>Data Integrity / Security SME</w:t>
            </w:r>
          </w:p>
        </w:tc>
        <w:tc>
          <w:tcPr>
            <w:tcW w:type="dxa" w:w="65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Assesses critical data flows, security/data-integrity risks and implementation of relevant controls.</w:t>
            </w:r>
          </w:p>
        </w:tc>
      </w:tr>
      <w:tr>
        <w:trPr>
          <w:cantSplit/>
        </w:trPr>
        <w:tc>
          <w:tcPr>
            <w:tcW w:type="dxa" w:w="2850"/>
            <w:vAlign w:val="center"/>
            <w:tcMar>
              <w:top w:w="80" w:type="dxa"/>
              <w:start w:w="120" w:type="dxa"/>
              <w:bottom w:w="80" w:type="dxa"/>
              <w:end w:w="120" w:type="dxa"/>
            </w:tcMar>
          </w:tcPr>
          <w:p>
            <w:pPr>
              <w:spacing w:before="0" w:after="0" w:line="240" w:lineRule="auto"/>
            </w:pPr>
            <w:r>
              <w:rPr>
                <w:rFonts w:ascii="Calibri" w:hAnsi="Calibri" w:eastAsia="Calibri"/>
                <w:b/>
                <w:i w:val="0"/>
                <w:sz w:val="15"/>
              </w:rPr>
            </w:r>
            <w:r>
              <w:rPr>
                <w:rFonts w:ascii="Calibri" w:hAnsi="Calibri" w:eastAsia="Calibri"/>
                <w:b/>
                <w:i w:val="0"/>
                <w:sz w:val="15"/>
              </w:rPr>
              <w:t>Test Manager / Executor</w:t>
            </w:r>
          </w:p>
        </w:tc>
        <w:tc>
          <w:tcPr>
            <w:tcW w:type="dxa" w:w="65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Plans, executes and reports risk-based verification with attributable evidence and exception control.</w:t>
            </w:r>
          </w:p>
        </w:tc>
      </w:tr>
      <w:tr>
        <w:trPr>
          <w:cantSplit/>
        </w:trPr>
        <w:tc>
          <w:tcPr>
            <w:tcW w:type="dxa" w:w="2850"/>
            <w:vAlign w:val="center"/>
            <w:tcMar>
              <w:top w:w="80" w:type="dxa"/>
              <w:start w:w="120" w:type="dxa"/>
              <w:bottom w:w="80" w:type="dxa"/>
              <w:end w:w="120" w:type="dxa"/>
            </w:tcMar>
          </w:tcPr>
          <w:p>
            <w:pPr>
              <w:spacing w:before="0" w:after="0" w:line="240" w:lineRule="auto"/>
            </w:pPr>
            <w:r>
              <w:rPr>
                <w:rFonts w:ascii="Calibri" w:hAnsi="Calibri" w:eastAsia="Calibri"/>
                <w:b/>
                <w:i w:val="0"/>
                <w:sz w:val="15"/>
              </w:rPr>
            </w:r>
            <w:r>
              <w:rPr>
                <w:rFonts w:ascii="Calibri" w:hAnsi="Calibri" w:eastAsia="Calibri"/>
                <w:b/>
                <w:i w:val="0"/>
                <w:sz w:val="15"/>
              </w:rPr>
              <w:t>Supplier / Service Provider</w:t>
            </w:r>
          </w:p>
        </w:tc>
        <w:tc>
          <w:tcPr>
            <w:tcW w:type="dxa" w:w="65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Performs agreed design, configuration, support or service activities under controlled responsibilities and evidence requirements.</w:t>
            </w:r>
          </w:p>
        </w:tc>
      </w:tr>
      <w:tr>
        <w:trPr>
          <w:cantSplit/>
        </w:trPr>
        <w:tc>
          <w:tcPr>
            <w:tcW w:type="dxa" w:w="2850"/>
            <w:vAlign w:val="center"/>
            <w:tcMar>
              <w:top w:w="80" w:type="dxa"/>
              <w:start w:w="120" w:type="dxa"/>
              <w:bottom w:w="80" w:type="dxa"/>
              <w:end w:w="120" w:type="dxa"/>
            </w:tcMar>
          </w:tcPr>
          <w:p>
            <w:pPr>
              <w:spacing w:before="0" w:after="0" w:line="240" w:lineRule="auto"/>
            </w:pPr>
            <w:r>
              <w:rPr>
                <w:rFonts w:ascii="Calibri" w:hAnsi="Calibri" w:eastAsia="Calibri"/>
                <w:b/>
                <w:i w:val="0"/>
                <w:sz w:val="15"/>
              </w:rPr>
            </w:r>
            <w:r>
              <w:rPr>
                <w:rFonts w:ascii="Calibri" w:hAnsi="Calibri" w:eastAsia="Calibri"/>
                <w:b/>
                <w:i w:val="0"/>
                <w:sz w:val="15"/>
              </w:rPr>
              <w:t>Training Coordinator / Operations</w:t>
            </w:r>
          </w:p>
        </w:tc>
        <w:tc>
          <w:tcPr>
            <w:tcW w:type="dxa" w:w="651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Ensures role-based training, support readiness and controlled operational adoption.</w:t>
            </w:r>
          </w:p>
        </w:tc>
      </w:tr>
    </w:tbl>
    <w:p>
      <w:pPr>
        <w:spacing w:after="0"/>
      </w:pPr>
    </w:p>
    <w:p>
      <w:pPr>
        <w:pStyle w:val="Heading2"/>
        <w:keepNext/>
      </w:pPr>
      <w:r>
        <w:t>12.2 Supplier and shared-service allocation</w:t>
      </w:r>
    </w:p>
    <w:tbl>
      <w:tblPr>
        <w:tblW w:type="dxa" w:w="9360"/>
        <w:jc w:val="center"/>
        <w:tblLook w:firstColumn="1" w:firstRow="1" w:lastColumn="0" w:lastRow="0" w:noHBand="0" w:noVBand="1" w:val="04A0"/>
        <w:tblLayout w:type="fixed"/>
        <w:tblInd w:w="120" w:type="dxa"/>
      </w:tblPr>
      <w:tblGrid>
        <w:gridCol w:w="1850"/>
        <w:gridCol w:w="2550"/>
        <w:gridCol w:w="3100"/>
        <w:gridCol w:w="1860"/>
      </w:tblGrid>
      <w:tr>
        <w:trPr>
          <w:cantSplit/>
          <w:tblHeader w:val="true"/>
        </w:trPr>
        <w:tc>
          <w:tcPr>
            <w:tcW w:type="dxa" w:w="185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4"/>
              </w:rPr>
            </w:r>
            <w:r>
              <w:rPr>
                <w:rFonts w:ascii="Calibri" w:hAnsi="Calibri" w:eastAsia="Calibri"/>
                <w:b/>
                <w:i w:val="0"/>
                <w:color w:val="FFFFFF"/>
                <w:sz w:val="14"/>
              </w:rPr>
              <w:t>Responsibility area</w:t>
            </w:r>
          </w:p>
        </w:tc>
        <w:tc>
          <w:tcPr>
            <w:tcW w:type="dxa" w:w="255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4"/>
              </w:rPr>
            </w:r>
            <w:r>
              <w:rPr>
                <w:rFonts w:ascii="Calibri" w:hAnsi="Calibri" w:eastAsia="Calibri"/>
                <w:b/>
                <w:i w:val="0"/>
                <w:color w:val="FFFFFF"/>
                <w:sz w:val="14"/>
              </w:rPr>
              <w:t>Novo Life accountability</w:t>
            </w:r>
          </w:p>
        </w:tc>
        <w:tc>
          <w:tcPr>
            <w:tcW w:type="dxa" w:w="310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4"/>
              </w:rPr>
            </w:r>
            <w:r>
              <w:rPr>
                <w:rFonts w:ascii="Calibri" w:hAnsi="Calibri" w:eastAsia="Calibri"/>
                <w:b/>
                <w:i w:val="0"/>
                <w:color w:val="FFFFFF"/>
                <w:sz w:val="14"/>
              </w:rPr>
              <w:t>Supplier / service-provider activity</w:t>
            </w:r>
          </w:p>
        </w:tc>
        <w:tc>
          <w:tcPr>
            <w:tcW w:type="dxa" w:w="186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4"/>
              </w:rPr>
            </w:r>
            <w:r>
              <w:rPr>
                <w:rFonts w:ascii="Calibri" w:hAnsi="Calibri" w:eastAsia="Calibri"/>
                <w:b/>
                <w:i w:val="0"/>
                <w:color w:val="FFFFFF"/>
                <w:sz w:val="14"/>
              </w:rPr>
              <w:t>Allocation status</w:t>
            </w:r>
          </w:p>
        </w:tc>
      </w:tr>
      <w:tr>
        <w:trPr>
          <w:cantSplit/>
        </w:trPr>
        <w:tc>
          <w:tcPr>
            <w:tcW w:type="dxa" w:w="185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Intended use and requirements</w:t>
            </w:r>
          </w:p>
        </w:tc>
        <w:tc>
          <w:tcPr>
            <w:tcW w:type="dxa" w:w="255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Own business intent, GxP criticality, acceptance and approval.</w:t>
            </w:r>
          </w:p>
        </w:tc>
        <w:tc>
          <w:tcPr>
            <w:tcW w:type="dxa" w:w="310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Provide product expertise, feasibility and controlled design input.</w:t>
            </w:r>
          </w:p>
        </w:tc>
        <w:tc>
          <w:tcPr>
            <w:tcW w:type="dxa" w:w="186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Baseline; detailed RACI Verify</w:t>
            </w:r>
          </w:p>
        </w:tc>
      </w:tr>
      <w:tr>
        <w:trPr>
          <w:cantSplit/>
        </w:trPr>
        <w:tc>
          <w:tcPr>
            <w:tcW w:type="dxa" w:w="185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Configuration and technical design</w:t>
            </w:r>
          </w:p>
        </w:tc>
        <w:tc>
          <w:tcPr>
            <w:tcW w:type="dxa" w:w="255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Approve design/risks and ensure controlled evidence.</w:t>
            </w:r>
          </w:p>
        </w:tc>
        <w:tc>
          <w:tcPr>
            <w:tcW w:type="dxa" w:w="310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Configure/build and document within agreed SDLC and quality controls.</w:t>
            </w:r>
          </w:p>
        </w:tc>
        <w:tc>
          <w:tcPr>
            <w:tcW w:type="dxa" w:w="186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Supplier model Verify</w:t>
            </w:r>
          </w:p>
        </w:tc>
      </w:tr>
      <w:tr>
        <w:trPr>
          <w:cantSplit/>
        </w:trPr>
        <w:tc>
          <w:tcPr>
            <w:tcW w:type="dxa" w:w="185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Hosting / infrastructure</w:t>
            </w:r>
          </w:p>
        </w:tc>
        <w:tc>
          <w:tcPr>
            <w:tcW w:type="dxa" w:w="255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Ensure service suitability, agreements and leveraged assurance.</w:t>
            </w:r>
          </w:p>
        </w:tc>
        <w:tc>
          <w:tcPr>
            <w:tcW w:type="dxa" w:w="310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Operate agreed platform controls, monitoring, backup, security and evidence.</w:t>
            </w:r>
          </w:p>
        </w:tc>
        <w:tc>
          <w:tcPr>
            <w:tcW w:type="dxa" w:w="186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Hosting model Verify</w:t>
            </w:r>
          </w:p>
        </w:tc>
      </w:tr>
      <w:tr>
        <w:trPr>
          <w:cantSplit/>
        </w:trPr>
        <w:tc>
          <w:tcPr>
            <w:tcW w:type="dxa" w:w="185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Interfaces</w:t>
            </w:r>
          </w:p>
        </w:tc>
        <w:tc>
          <w:tcPr>
            <w:tcW w:type="dxa" w:w="255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Assign system/interface owners and approve requirements/authority.</w:t>
            </w:r>
          </w:p>
        </w:tc>
        <w:tc>
          <w:tcPr>
            <w:tcW w:type="dxa" w:w="310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Implement, monitor and support the allocated integration components.</w:t>
            </w:r>
          </w:p>
        </w:tc>
        <w:tc>
          <w:tcPr>
            <w:tcW w:type="dxa" w:w="186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Terms of service Verify</w:t>
            </w:r>
          </w:p>
        </w:tc>
      </w:tr>
      <w:tr>
        <w:trPr>
          <w:cantSplit/>
        </w:trPr>
        <w:tc>
          <w:tcPr>
            <w:tcW w:type="dxa" w:w="185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Verification and defects</w:t>
            </w:r>
          </w:p>
        </w:tc>
        <w:tc>
          <w:tcPr>
            <w:tcW w:type="dxa" w:w="255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Own acceptance strategy, risk decisions and final conclusion.</w:t>
            </w:r>
          </w:p>
        </w:tc>
        <w:tc>
          <w:tcPr>
            <w:tcW w:type="dxa" w:w="310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Provide supplier tests/evidence and correct defects under control.</w:t>
            </w:r>
          </w:p>
        </w:tc>
        <w:tc>
          <w:tcPr>
            <w:tcW w:type="dxa" w:w="186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Evidence model Verify</w:t>
            </w:r>
          </w:p>
        </w:tc>
      </w:tr>
      <w:tr>
        <w:trPr>
          <w:cantSplit/>
        </w:trPr>
        <w:tc>
          <w:tcPr>
            <w:tcW w:type="dxa" w:w="185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Operation and support</w:t>
            </w:r>
          </w:p>
        </w:tc>
        <w:tc>
          <w:tcPr>
            <w:tcW w:type="dxa" w:w="255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Maintain validated state, access, change, incident and periodic review.</w:t>
            </w:r>
          </w:p>
        </w:tc>
        <w:tc>
          <w:tcPr>
            <w:tcW w:type="dxa" w:w="310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Deliver contracted service levels, escalation and lifecycle notifications.</w:t>
            </w:r>
          </w:p>
        </w:tc>
        <w:tc>
          <w:tcPr>
            <w:tcW w:type="dxa" w:w="1860"/>
            <w:vAlign w:val="center"/>
            <w:tcMar>
              <w:top w:w="80" w:type="dxa"/>
              <w:start w:w="120" w:type="dxa"/>
              <w:bottom w:w="80" w:type="dxa"/>
              <w:end w:w="120" w:type="dxa"/>
            </w:tcMar>
          </w:tcPr>
          <w:p>
            <w:pPr>
              <w:spacing w:before="0" w:after="0" w:line="240" w:lineRule="auto"/>
            </w:pPr>
            <w:r>
              <w:rPr>
                <w:rFonts w:ascii="Calibri" w:hAnsi="Calibri" w:eastAsia="Calibri"/>
                <w:b w:val="0"/>
                <w:i w:val="0"/>
                <w:sz w:val="14"/>
              </w:rPr>
            </w:r>
            <w:r>
              <w:rPr>
                <w:rFonts w:ascii="Calibri" w:hAnsi="Calibri" w:eastAsia="Calibri"/>
                <w:b w:val="0"/>
                <w:i w:val="0"/>
                <w:sz w:val="14"/>
              </w:rPr>
              <w:t>SLA / quality agreement Verify</w:t>
            </w:r>
          </w:p>
        </w:tc>
      </w:tr>
    </w:tbl>
    <w:p>
      <w:pPr>
        <w:spacing w:after="0"/>
      </w:pPr>
    </w:p>
    <w:p>
      <w:pPr>
        <w:pStyle w:val="Heading1"/>
        <w:keepNext/>
      </w:pPr>
      <w:r>
        <w:t>13 GxP and validation implications</w:t>
      </w:r>
    </w:p>
    <w:p>
      <w:pPr>
        <w:pStyle w:val="Heading2"/>
        <w:keepNext/>
      </w:pPr>
      <w:r>
        <w:t>13.1 Critical aspects</w:t>
      </w:r>
    </w:p>
    <w:p>
      <w:pPr>
        <w:pStyle w:val="ListBullet"/>
        <w:keepLines/>
        <w:spacing w:after="100"/>
      </w:pPr>
      <w:r>
        <w:rPr>
          <w:rFonts w:ascii="Calibri" w:hAnsi="Calibri" w:eastAsia="Calibri"/>
          <w:b w:val="0"/>
          <w:i w:val="0"/>
          <w:sz w:val="22"/>
        </w:rPr>
        <w:t>Correct selection and controlled execution of approved MBR/recipe/workflow configuration.</w:t>
      </w:r>
    </w:p>
    <w:p>
      <w:pPr>
        <w:pStyle w:val="ListBullet"/>
        <w:keepLines/>
        <w:spacing w:after="100"/>
      </w:pPr>
      <w:r>
        <w:rPr>
          <w:rFonts w:ascii="Calibri" w:hAnsi="Calibri" w:eastAsia="Calibri"/>
          <w:b w:val="0"/>
          <w:i w:val="0"/>
          <w:sz w:val="22"/>
        </w:rPr>
        <w:t>Complete, accurate and attributable capture of batch execution data, calculations, events, exceptions and approvals.</w:t>
      </w:r>
    </w:p>
    <w:p>
      <w:pPr>
        <w:pStyle w:val="ListBullet"/>
        <w:keepLines/>
        <w:spacing w:after="100"/>
      </w:pPr>
      <w:r>
        <w:rPr>
          <w:rFonts w:ascii="Calibri" w:hAnsi="Calibri" w:eastAsia="Calibri"/>
          <w:b w:val="0"/>
          <w:i w:val="0"/>
          <w:sz w:val="22"/>
        </w:rPr>
        <w:t>Electronic signature meaning, record linkage, identity and time consistency.</w:t>
      </w:r>
    </w:p>
    <w:p>
      <w:pPr>
        <w:pStyle w:val="ListBullet"/>
        <w:keepLines/>
        <w:spacing w:after="100"/>
      </w:pPr>
      <w:r>
        <w:rPr>
          <w:rFonts w:ascii="Calibri" w:hAnsi="Calibri" w:eastAsia="Calibri"/>
          <w:b w:val="0"/>
          <w:i w:val="0"/>
          <w:sz w:val="22"/>
        </w:rPr>
        <w:t>Audit-trail coverage and ability to reconstruct critical data and configuration changes.</w:t>
      </w:r>
    </w:p>
    <w:p>
      <w:pPr>
        <w:pStyle w:val="ListBullet"/>
        <w:keepLines/>
        <w:spacing w:after="100"/>
      </w:pPr>
      <w:r>
        <w:rPr>
          <w:rFonts w:ascii="Calibri" w:hAnsi="Calibri" w:eastAsia="Calibri"/>
          <w:b w:val="0"/>
          <w:i w:val="0"/>
          <w:sz w:val="22"/>
        </w:rPr>
        <w:t>Interface completeness, accuracy, sequencing, acknowledgement, error recovery and reconciliation.</w:t>
      </w:r>
    </w:p>
    <w:p>
      <w:pPr>
        <w:pStyle w:val="ListBullet"/>
        <w:keepLines/>
        <w:spacing w:after="100"/>
      </w:pPr>
      <w:r>
        <w:rPr>
          <w:rFonts w:ascii="Calibri" w:hAnsi="Calibri" w:eastAsia="Calibri"/>
          <w:b w:val="0"/>
          <w:i w:val="0"/>
          <w:sz w:val="22"/>
        </w:rPr>
        <w:t>Role-based access, privileged administration, segregation of duties and timely access removal.</w:t>
      </w:r>
    </w:p>
    <w:p>
      <w:pPr>
        <w:pStyle w:val="ListBullet"/>
        <w:keepLines/>
        <w:spacing w:after="100"/>
      </w:pPr>
      <w:r>
        <w:rPr>
          <w:rFonts w:ascii="Calibri" w:hAnsi="Calibri" w:eastAsia="Calibri"/>
          <w:b w:val="0"/>
          <w:i w:val="0"/>
          <w:sz w:val="22"/>
        </w:rPr>
        <w:t>Availability, backup, recoverability, retention and continued readability of GxP records and metadata.</w:t>
      </w:r>
    </w:p>
    <w:p>
      <w:pPr>
        <w:pStyle w:val="ListBullet"/>
        <w:keepLines/>
        <w:spacing w:after="100"/>
      </w:pPr>
      <w:r>
        <w:rPr>
          <w:rFonts w:ascii="Calibri" w:hAnsi="Calibri" w:eastAsia="Calibri"/>
          <w:b w:val="0"/>
          <w:i w:val="0"/>
          <w:sz w:val="22"/>
        </w:rPr>
        <w:t>Controlled change, incident/problem assessment, supplier/service oversight and periodic evaluation of validated state.</w:t>
      </w:r>
    </w:p>
    <w:p>
      <w:pPr>
        <w:pStyle w:val="Heading2"/>
        <w:keepNext/>
      </w:pPr>
      <w:r>
        <w:t>13.2 Downstream document traceability</w:t>
      </w:r>
    </w:p>
    <w:tbl>
      <w:tblPr>
        <w:tblW w:type="dxa" w:w="9360"/>
        <w:jc w:val="center"/>
        <w:tblLook w:firstColumn="1" w:firstRow="1" w:lastColumn="0" w:lastRow="0" w:noHBand="0" w:noVBand="1" w:val="04A0"/>
        <w:tblLayout w:type="fixed"/>
        <w:tblInd w:w="120" w:type="dxa"/>
      </w:tblPr>
      <w:tblGrid>
        <w:gridCol w:w="2300"/>
        <w:gridCol w:w="4200"/>
        <w:gridCol w:w="2860"/>
      </w:tblGrid>
      <w:tr>
        <w:trPr>
          <w:cantSplit/>
          <w:tblHeader w:val="true"/>
        </w:trPr>
        <w:tc>
          <w:tcPr>
            <w:tcW w:type="dxa" w:w="230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Downstream deliverable</w:t>
            </w:r>
          </w:p>
        </w:tc>
        <w:tc>
          <w:tcPr>
            <w:tcW w:type="dxa" w:w="420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How this document is used</w:t>
            </w:r>
          </w:p>
        </w:tc>
        <w:tc>
          <w:tcPr>
            <w:tcW w:type="dxa" w:w="286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Planned traceability</w:t>
            </w:r>
          </w:p>
        </w:tc>
      </w:tr>
      <w:tr>
        <w:trPr>
          <w:cantSplit/>
        </w:trPr>
        <w:tc>
          <w:tcPr>
            <w:tcW w:type="dxa" w:w="23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IT Implementation Plan</w:t>
            </w:r>
          </w:p>
        </w:tc>
        <w:tc>
          <w:tcPr>
            <w:tcW w:type="dxa" w:w="42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Uses scope, architecture, environments, roles, dependencies and Verify items to plan controlled implementation.</w:t>
            </w:r>
          </w:p>
        </w:tc>
        <w:tc>
          <w:tcPr>
            <w:tcW w:type="dxa" w:w="28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NL-MES-SYS-001 → implementation work packages and deliverables.</w:t>
            </w:r>
          </w:p>
        </w:tc>
      </w:tr>
      <w:tr>
        <w:trPr>
          <w:cantSplit/>
        </w:trPr>
        <w:tc>
          <w:tcPr>
            <w:tcW w:type="dxa" w:w="23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User Requirements Specification</w:t>
            </w:r>
          </w:p>
        </w:tc>
        <w:tc>
          <w:tcPr>
            <w:tcW w:type="dxa" w:w="42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Translates intended use, capabilities, records, security and continuity needs into no more than 50 uniquely identified URS entries.</w:t>
            </w:r>
          </w:p>
        </w:tc>
        <w:tc>
          <w:tcPr>
            <w:tcW w:type="dxa" w:w="28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NL-MES-SYS-001 sections → URS-###.</w:t>
            </w:r>
          </w:p>
        </w:tc>
      </w:tr>
      <w:tr>
        <w:trPr>
          <w:cantSplit/>
        </w:trPr>
        <w:tc>
          <w:tcPr>
            <w:tcW w:type="dxa" w:w="23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Risk assessments</w:t>
            </w:r>
          </w:p>
        </w:tc>
        <w:tc>
          <w:tcPr>
            <w:tcW w:type="dxa" w:w="42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Use process/data flow, components, interfaces and critical aspects to identify hazards and select controls.</w:t>
            </w:r>
          </w:p>
        </w:tc>
        <w:tc>
          <w:tcPr>
            <w:tcW w:type="dxa" w:w="28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System elements / URS → RISK-### → control requirements.</w:t>
            </w:r>
          </w:p>
        </w:tc>
      </w:tr>
      <w:tr>
        <w:trPr>
          <w:cantSplit/>
        </w:trPr>
        <w:tc>
          <w:tcPr>
            <w:tcW w:type="dxa" w:w="23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Functional/design/configuration specifications</w:t>
            </w:r>
          </w:p>
        </w:tc>
        <w:tc>
          <w:tcPr>
            <w:tcW w:type="dxa" w:w="42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Define how the approved requirements and controls will be realised in PAS-X and supporting components.</w:t>
            </w:r>
          </w:p>
        </w:tc>
        <w:tc>
          <w:tcPr>
            <w:tcW w:type="dxa" w:w="28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URS / risk controls → FS/DS/CS objects.</w:t>
            </w:r>
          </w:p>
        </w:tc>
      </w:tr>
      <w:tr>
        <w:trPr>
          <w:cantSplit/>
        </w:trPr>
        <w:tc>
          <w:tcPr>
            <w:tcW w:type="dxa" w:w="23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Interface documents</w:t>
            </w:r>
          </w:p>
        </w:tc>
        <w:tc>
          <w:tcPr>
            <w:tcW w:type="dxa" w:w="42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Elaborate each INT identifier, mapping, ownership, terms of service, monitoring and end-to-end verification.</w:t>
            </w:r>
          </w:p>
        </w:tc>
        <w:tc>
          <w:tcPr>
            <w:tcW w:type="dxa" w:w="28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INT-MES-*-001 → interface requirements/specifications/tests.</w:t>
            </w:r>
          </w:p>
        </w:tc>
      </w:tr>
      <w:tr>
        <w:trPr>
          <w:cantSplit/>
        </w:trPr>
        <w:tc>
          <w:tcPr>
            <w:tcW w:type="dxa" w:w="23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Verification planning/reporting</w:t>
            </w:r>
          </w:p>
        </w:tc>
        <w:tc>
          <w:tcPr>
            <w:tcW w:type="dxa" w:w="42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Establishes boundary, environments and critical aspects for risk-based evidence and acceptance criteria.</w:t>
            </w:r>
          </w:p>
        </w:tc>
        <w:tc>
          <w:tcPr>
            <w:tcW w:type="dxa" w:w="28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URS/design/risk controls → tests → results/exceptions.</w:t>
            </w:r>
          </w:p>
        </w:tc>
      </w:tr>
      <w:tr>
        <w:trPr>
          <w:cantSplit/>
        </w:trPr>
        <w:tc>
          <w:tcPr>
            <w:tcW w:type="dxa" w:w="23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Release and operational documents</w:t>
            </w:r>
          </w:p>
        </w:tc>
        <w:tc>
          <w:tcPr>
            <w:tcW w:type="dxa" w:w="420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Provides baseline for handover, O&amp;M, access, backup/recovery, incident/change and periodic review controls.</w:t>
            </w:r>
          </w:p>
        </w:tc>
        <w:tc>
          <w:tcPr>
            <w:tcW w:type="dxa" w:w="28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Verified design/configuration → release → maintained validated state.</w:t>
            </w:r>
          </w:p>
        </w:tc>
      </w:tr>
    </w:tbl>
    <w:p>
      <w:pPr>
        <w:spacing w:after="0"/>
      </w:pPr>
    </w:p>
    <w:p>
      <w:pPr>
        <w:pStyle w:val="Heading2"/>
        <w:keepNext/>
      </w:pPr>
      <w:r>
        <w:t>13.3 Validation conclusion limitation</w:t>
      </w:r>
    </w:p>
    <w:tbl>
      <w:tblPr>
        <w:tblW w:type="dxa" w:w="9360"/>
        <w:tblLook w:firstColumn="1" w:firstRow="1" w:lastColumn="0" w:lastRow="0" w:noHBand="0" w:noVBand="1" w:val="04A0"/>
        <w:tblLayout w:type="fixed"/>
        <w:tblInd w:w="120" w:type="dxa"/>
      </w:tblPr>
      <w:tblGrid>
        <w:gridCol w:w="9360"/>
      </w:tblGrid>
      <w:tr>
        <w:trPr>
          <w:cantSplit/>
        </w:trPr>
        <w:tc>
          <w:tcPr>
            <w:tcW w:type="dxa" w:w="9360"/>
            <w:shd w:fill="FCE4D6"/>
          </w:tcPr>
          <w:p>
            <w:pPr>
              <w:spacing w:before="0" w:after="0" w:line="240" w:lineRule="auto"/>
            </w:pPr>
            <w:r/>
            <w:r>
              <w:rPr>
                <w:rFonts w:ascii="Calibri" w:hAnsi="Calibri" w:eastAsia="Calibri"/>
                <w:b w:val="0"/>
                <w:i w:val="0"/>
                <w:color w:val="243746"/>
                <w:sz w:val="18"/>
              </w:rPr>
              <w:t>This document supports scoping and planning only. Fit for intended use can be concluded only after approved requirements, risk controls, design/configuration evidence, traceable verification results, resolved or accepted exceptions, training, release readiness and authorised approval are complete.</w:t>
            </w:r>
          </w:p>
        </w:tc>
      </w:tr>
    </w:tbl>
    <w:p>
      <w:pPr>
        <w:spacing w:after="0"/>
      </w:pPr>
    </w:p>
    <w:p>
      <w:pPr>
        <w:pStyle w:val="Heading1"/>
        <w:keepNext/>
      </w:pPr>
      <w:r>
        <w:t>14 Assumptions and Verify register</w:t>
      </w:r>
    </w:p>
    <w:p>
      <w:pPr>
        <w:pStyle w:val="Heading2"/>
        <w:keepNext/>
      </w:pPr>
      <w:r>
        <w:t>14.1 Controlled assumptions</w:t>
      </w:r>
    </w:p>
    <w:tbl>
      <w:tblPr>
        <w:tblW w:type="dxa" w:w="9360"/>
        <w:jc w:val="center"/>
        <w:tblLook w:firstColumn="1" w:firstRow="1" w:lastColumn="0" w:lastRow="0" w:noHBand="0" w:noVBand="1" w:val="04A0"/>
        <w:tblLayout w:type="fixed"/>
        <w:tblInd w:w="120" w:type="dxa"/>
      </w:tblPr>
      <w:tblGrid>
        <w:gridCol w:w="1450"/>
        <w:gridCol w:w="4750"/>
        <w:gridCol w:w="3160"/>
      </w:tblGrid>
      <w:tr>
        <w:trPr>
          <w:cantSplit/>
          <w:tblHeader w:val="true"/>
        </w:trPr>
        <w:tc>
          <w:tcPr>
            <w:tcW w:type="dxa" w:w="145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Assumption ID</w:t>
            </w:r>
          </w:p>
        </w:tc>
        <w:tc>
          <w:tcPr>
            <w:tcW w:type="dxa" w:w="475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Assumption</w:t>
            </w:r>
          </w:p>
        </w:tc>
        <w:tc>
          <w:tcPr>
            <w:tcW w:type="dxa" w:w="316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5"/>
              </w:rPr>
            </w:r>
            <w:r>
              <w:rPr>
                <w:rFonts w:ascii="Calibri" w:hAnsi="Calibri" w:eastAsia="Calibri"/>
                <w:b/>
                <w:i w:val="0"/>
                <w:color w:val="FFFFFF"/>
                <w:sz w:val="15"/>
              </w:rPr>
              <w:t>Downstream handling</w:t>
            </w:r>
          </w:p>
        </w:tc>
      </w:tr>
      <w:tr>
        <w:trPr>
          <w:cantSplit/>
        </w:trPr>
        <w:tc>
          <w:tcPr>
            <w:tcW w:type="dxa" w:w="14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ASM-SYS-001</w:t>
            </w:r>
          </w:p>
        </w:tc>
        <w:tc>
          <w:tcPr>
            <w:tcW w:type="dxa" w:w="47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Novo Life and all people/roles are fictional.</w:t>
            </w:r>
          </w:p>
        </w:tc>
        <w:tc>
          <w:tcPr>
            <w:tcW w:type="dxa" w:w="31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Retain dummy classification and do not substitute real names/signatures in training copies.</w:t>
            </w:r>
          </w:p>
        </w:tc>
      </w:tr>
      <w:tr>
        <w:trPr>
          <w:cantSplit/>
        </w:trPr>
        <w:tc>
          <w:tcPr>
            <w:tcW w:type="dxa" w:w="14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ASM-SYS-002</w:t>
            </w:r>
          </w:p>
        </w:tc>
        <w:tc>
          <w:tcPr>
            <w:tcW w:type="dxa" w:w="47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The implementation is new and GxP-impacting with ERP, LIMS, automation, historian/reporting and enabling-service integrations.</w:t>
            </w:r>
          </w:p>
        </w:tc>
        <w:tc>
          <w:tcPr>
            <w:tcW w:type="dxa" w:w="31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Confirm in business/application record and implementation planning before real use.</w:t>
            </w:r>
          </w:p>
        </w:tc>
      </w:tr>
      <w:tr>
        <w:trPr>
          <w:cantSplit/>
        </w:trPr>
        <w:tc>
          <w:tcPr>
            <w:tcW w:type="dxa" w:w="14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ASM-SYS-003</w:t>
            </w:r>
          </w:p>
        </w:tc>
        <w:tc>
          <w:tcPr>
            <w:tcW w:type="dxa" w:w="47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MES is the authoritative execution record within its approved boundary; authority outside that boundary varies by data object.</w:t>
            </w:r>
          </w:p>
        </w:tc>
        <w:tc>
          <w:tcPr>
            <w:tcW w:type="dxa" w:w="31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Document data-object authority in URS, data-flow and interface records.</w:t>
            </w:r>
          </w:p>
        </w:tc>
      </w:tr>
      <w:tr>
        <w:trPr>
          <w:cantSplit/>
        </w:trPr>
        <w:tc>
          <w:tcPr>
            <w:tcW w:type="dxa" w:w="14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ASM-SYS-004</w:t>
            </w:r>
          </w:p>
        </w:tc>
        <w:tc>
          <w:tcPr>
            <w:tcW w:type="dxa" w:w="47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Development/configuration, test/validation and production environments will be segregated and controlled.</w:t>
            </w:r>
          </w:p>
        </w:tc>
        <w:tc>
          <w:tcPr>
            <w:tcW w:type="dxa" w:w="31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Confirm exact environment model and baseline/promotion controls.</w:t>
            </w:r>
          </w:p>
        </w:tc>
      </w:tr>
      <w:tr>
        <w:trPr>
          <w:cantSplit/>
        </w:trPr>
        <w:tc>
          <w:tcPr>
            <w:tcW w:type="dxa" w:w="14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ASM-SYS-005</w:t>
            </w:r>
          </w:p>
        </w:tc>
        <w:tc>
          <w:tcPr>
            <w:tcW w:type="dxa" w:w="47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Enterprise identity, time, backup and monitoring services will be approved dependencies with evidence accessible to the MES owner.</w:t>
            </w:r>
          </w:p>
        </w:tc>
        <w:tc>
          <w:tcPr>
            <w:tcW w:type="dxa" w:w="31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Establish service records, agreements, assurance and responsibilities.</w:t>
            </w:r>
          </w:p>
        </w:tc>
      </w:tr>
      <w:tr>
        <w:trPr>
          <w:cantSplit/>
        </w:trPr>
        <w:tc>
          <w:tcPr>
            <w:tcW w:type="dxa" w:w="14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ASM-SYS-006</w:t>
            </w:r>
          </w:p>
        </w:tc>
        <w:tc>
          <w:tcPr>
            <w:tcW w:type="dxa" w:w="475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The supplier will provide product/design/configuration evidence suitable for risk-based assessment and verification.</w:t>
            </w:r>
          </w:p>
        </w:tc>
        <w:tc>
          <w:tcPr>
            <w:tcW w:type="dxa" w:w="3160"/>
            <w:vAlign w:val="center"/>
            <w:tcMar>
              <w:top w:w="80" w:type="dxa"/>
              <w:start w:w="120" w:type="dxa"/>
              <w:bottom w:w="80" w:type="dxa"/>
              <w:end w:w="120" w:type="dxa"/>
            </w:tcMar>
          </w:tcPr>
          <w:p>
            <w:pPr>
              <w:spacing w:before="0" w:after="0" w:line="240" w:lineRule="auto"/>
            </w:pPr>
            <w:r>
              <w:rPr>
                <w:rFonts w:ascii="Calibri" w:hAnsi="Calibri" w:eastAsia="Calibri"/>
                <w:b w:val="0"/>
                <w:i w:val="0"/>
                <w:sz w:val="15"/>
              </w:rPr>
            </w:r>
            <w:r>
              <w:rPr>
                <w:rFonts w:ascii="Calibri" w:hAnsi="Calibri" w:eastAsia="Calibri"/>
                <w:b w:val="0"/>
                <w:i w:val="0"/>
                <w:sz w:val="15"/>
              </w:rPr>
              <w:t>Define deliverables, quality expectations, access and retention in agreements.</w:t>
            </w:r>
          </w:p>
        </w:tc>
      </w:tr>
    </w:tbl>
    <w:p>
      <w:pPr>
        <w:spacing w:after="0"/>
      </w:pPr>
    </w:p>
    <w:p>
      <w:pPr>
        <w:pStyle w:val="Heading2"/>
        <w:keepNext/>
      </w:pPr>
      <w:r>
        <w:t>14.2 Verify register</w:t>
      </w:r>
    </w:p>
    <w:tbl>
      <w:tblPr>
        <w:tblW w:type="dxa" w:w="9360"/>
        <w:jc w:val="center"/>
        <w:tblLook w:firstColumn="1" w:firstRow="1" w:lastColumn="0" w:lastRow="0" w:noHBand="0" w:noVBand="1" w:val="04A0"/>
        <w:tblLayout w:type="fixed"/>
        <w:tblInd w:w="120" w:type="dxa"/>
      </w:tblPr>
      <w:tblGrid>
        <w:gridCol w:w="1300"/>
        <w:gridCol w:w="3600"/>
        <w:gridCol w:w="2450"/>
        <w:gridCol w:w="2010"/>
      </w:tblGrid>
      <w:tr>
        <w:trPr>
          <w:cantSplit/>
          <w:tblHeader w:val="true"/>
        </w:trPr>
        <w:tc>
          <w:tcPr>
            <w:tcW w:type="dxa" w:w="130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3"/>
              </w:rPr>
            </w:r>
            <w:r>
              <w:rPr>
                <w:rFonts w:ascii="Calibri" w:hAnsi="Calibri" w:eastAsia="Calibri"/>
                <w:b/>
                <w:i w:val="0"/>
                <w:color w:val="FFFFFF"/>
                <w:sz w:val="13"/>
              </w:rPr>
              <w:t>Verify ID</w:t>
            </w:r>
          </w:p>
        </w:tc>
        <w:tc>
          <w:tcPr>
            <w:tcW w:type="dxa" w:w="360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3"/>
              </w:rPr>
            </w:r>
            <w:r>
              <w:rPr>
                <w:rFonts w:ascii="Calibri" w:hAnsi="Calibri" w:eastAsia="Calibri"/>
                <w:b/>
                <w:i w:val="0"/>
                <w:color w:val="FFFFFF"/>
                <w:sz w:val="13"/>
              </w:rPr>
              <w:t>Item requiring confirmation</w:t>
            </w:r>
          </w:p>
        </w:tc>
        <w:tc>
          <w:tcPr>
            <w:tcW w:type="dxa" w:w="245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3"/>
              </w:rPr>
            </w:r>
            <w:r>
              <w:rPr>
                <w:rFonts w:ascii="Calibri" w:hAnsi="Calibri" w:eastAsia="Calibri"/>
                <w:b/>
                <w:i w:val="0"/>
                <w:color w:val="FFFFFF"/>
                <w:sz w:val="13"/>
              </w:rPr>
              <w:t>Expected owner / evidence</w:t>
            </w:r>
          </w:p>
        </w:tc>
        <w:tc>
          <w:tcPr>
            <w:tcW w:type="dxa" w:w="201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3"/>
              </w:rPr>
            </w:r>
            <w:r>
              <w:rPr>
                <w:rFonts w:ascii="Calibri" w:hAnsi="Calibri" w:eastAsia="Calibri"/>
                <w:b/>
                <w:i w:val="0"/>
                <w:color w:val="FFFFFF"/>
                <w:sz w:val="13"/>
              </w:rPr>
              <w:t>Downstream impact</w:t>
            </w:r>
          </w:p>
        </w:tc>
      </w:tr>
      <w:tr>
        <w:trPr>
          <w:cantSplit/>
        </w:trPr>
        <w:tc>
          <w:tcPr>
            <w:tcW w:type="dxa" w:w="13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VER-SYS-001</w:t>
            </w:r>
          </w:p>
        </w:tc>
        <w:tc>
          <w:tcPr>
            <w:tcW w:type="dxa" w:w="36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Exact PAS-X modules, version, supplier support status and licensing.</w:t>
            </w:r>
          </w:p>
        </w:tc>
        <w:tc>
          <w:tcPr>
            <w:tcW w:type="dxa" w:w="245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Technical Lead / supplier product baseline.</w:t>
            </w:r>
          </w:p>
        </w:tc>
        <w:tc>
          <w:tcPr>
            <w:tcW w:type="dxa" w:w="201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Architecture, compatibility, design and test scope.</w:t>
            </w:r>
          </w:p>
        </w:tc>
      </w:tr>
      <w:tr>
        <w:trPr>
          <w:cantSplit/>
        </w:trPr>
        <w:tc>
          <w:tcPr>
            <w:tcW w:type="dxa" w:w="13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VER-SYS-002</w:t>
            </w:r>
          </w:p>
        </w:tc>
        <w:tc>
          <w:tcPr>
            <w:tcW w:type="dxa" w:w="36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Approved hosting model, sites, network zones, server/database topology and data residency.</w:t>
            </w:r>
          </w:p>
        </w:tc>
        <w:tc>
          <w:tcPr>
            <w:tcW w:type="dxa" w:w="245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IT Solution Owner / approved architecture.</w:t>
            </w:r>
          </w:p>
        </w:tc>
        <w:tc>
          <w:tcPr>
            <w:tcW w:type="dxa" w:w="201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Infrastructure qualification, security, continuity and privacy.</w:t>
            </w:r>
          </w:p>
        </w:tc>
      </w:tr>
      <w:tr>
        <w:trPr>
          <w:cantSplit/>
        </w:trPr>
        <w:tc>
          <w:tcPr>
            <w:tcW w:type="dxa" w:w="13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VER-SYS-003</w:t>
            </w:r>
          </w:p>
        </w:tc>
        <w:tc>
          <w:tcPr>
            <w:tcW w:type="dxa" w:w="36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Exact DEV/TEST-VAL/PROD/DR environment names, segregation and promotion path.</w:t>
            </w:r>
          </w:p>
        </w:tc>
        <w:tc>
          <w:tcPr>
            <w:tcW w:type="dxa" w:w="245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Technical Lead / environment and configuration plan.</w:t>
            </w:r>
          </w:p>
        </w:tc>
        <w:tc>
          <w:tcPr>
            <w:tcW w:type="dxa" w:w="201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Implementation, baseline and verification validity.</w:t>
            </w:r>
          </w:p>
        </w:tc>
      </w:tr>
      <w:tr>
        <w:trPr>
          <w:cantSplit/>
        </w:trPr>
        <w:tc>
          <w:tcPr>
            <w:tcW w:type="dxa" w:w="13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VER-SYS-004</w:t>
            </w:r>
          </w:p>
        </w:tc>
        <w:tc>
          <w:tcPr>
            <w:tcW w:type="dxa" w:w="36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User terminal, OS/browser/client, database, middleware and certificate prerequisites.</w:t>
            </w:r>
          </w:p>
        </w:tc>
        <w:tc>
          <w:tcPr>
            <w:tcW w:type="dxa" w:w="245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Technical Lead / compatibility matrix and build standard.</w:t>
            </w:r>
          </w:p>
        </w:tc>
        <w:tc>
          <w:tcPr>
            <w:tcW w:type="dxa" w:w="201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Installation, design, security and verification.</w:t>
            </w:r>
          </w:p>
        </w:tc>
      </w:tr>
      <w:tr>
        <w:trPr>
          <w:cantSplit/>
        </w:trPr>
        <w:tc>
          <w:tcPr>
            <w:tcW w:type="dxa" w:w="13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VER-SYS-005</w:t>
            </w:r>
          </w:p>
        </w:tc>
        <w:tc>
          <w:tcPr>
            <w:tcW w:type="dxa" w:w="36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ERP, LIMS, automation/equipment, historian and reporting systems/versions/owners.</w:t>
            </w:r>
          </w:p>
        </w:tc>
        <w:tc>
          <w:tcPr>
            <w:tcW w:type="dxa" w:w="245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Business and Integration Owners / application records.</w:t>
            </w:r>
          </w:p>
        </w:tc>
        <w:tc>
          <w:tcPr>
            <w:tcW w:type="dxa" w:w="201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Interface scope, data authority and end-to-end tests.</w:t>
            </w:r>
          </w:p>
        </w:tc>
      </w:tr>
      <w:tr>
        <w:trPr>
          <w:cantSplit/>
        </w:trPr>
        <w:tc>
          <w:tcPr>
            <w:tcW w:type="dxa" w:w="13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VER-SYS-006</w:t>
            </w:r>
          </w:p>
        </w:tc>
        <w:tc>
          <w:tcPr>
            <w:tcW w:type="dxa" w:w="36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Protocols, endpoints, payloads, mappings, frequencies, acknowledgements and error/replay rules.</w:t>
            </w:r>
          </w:p>
        </w:tc>
        <w:tc>
          <w:tcPr>
            <w:tcW w:type="dxa" w:w="245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Interface Owners / requirements and design.</w:t>
            </w:r>
          </w:p>
        </w:tc>
        <w:tc>
          <w:tcPr>
            <w:tcW w:type="dxa" w:w="201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Interface controls and reconciliation.</w:t>
            </w:r>
          </w:p>
        </w:tc>
      </w:tr>
      <w:tr>
        <w:trPr>
          <w:cantSplit/>
        </w:trPr>
        <w:tc>
          <w:tcPr>
            <w:tcW w:type="dxa" w:w="13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VER-SYS-007</w:t>
            </w:r>
          </w:p>
        </w:tc>
        <w:tc>
          <w:tcPr>
            <w:tcW w:type="dxa" w:w="36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Data-object authority, criticality, classification, retention and archival/disposal arrangements.</w:t>
            </w:r>
          </w:p>
        </w:tc>
        <w:tc>
          <w:tcPr>
            <w:tcW w:type="dxa" w:w="245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Data Owner, QA and Records roles / approved assessments.</w:t>
            </w:r>
          </w:p>
        </w:tc>
        <w:tc>
          <w:tcPr>
            <w:tcW w:type="dxa" w:w="201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Data integrity, reporting, migration and retirement.</w:t>
            </w:r>
          </w:p>
        </w:tc>
      </w:tr>
      <w:tr>
        <w:trPr>
          <w:cantSplit/>
        </w:trPr>
        <w:tc>
          <w:tcPr>
            <w:tcW w:type="dxa" w:w="13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VER-SYS-008</w:t>
            </w:r>
          </w:p>
        </w:tc>
        <w:tc>
          <w:tcPr>
            <w:tcW w:type="dxa" w:w="36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Formal deviation/exception system and cross-system status ownership.</w:t>
            </w:r>
          </w:p>
        </w:tc>
        <w:tc>
          <w:tcPr>
            <w:tcW w:type="dxa" w:w="245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Business Process Owner / approved process map.</w:t>
            </w:r>
          </w:p>
        </w:tc>
        <w:tc>
          <w:tcPr>
            <w:tcW w:type="dxa" w:w="201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Exception linkage, reporting and release decisions.</w:t>
            </w:r>
          </w:p>
        </w:tc>
      </w:tr>
      <w:tr>
        <w:trPr>
          <w:cantSplit/>
        </w:trPr>
        <w:tc>
          <w:tcPr>
            <w:tcW w:type="dxa" w:w="13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VER-SYS-009</w:t>
            </w:r>
          </w:p>
        </w:tc>
        <w:tc>
          <w:tcPr>
            <w:tcW w:type="dxa" w:w="36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Role catalogue, segregation-of-duties conflicts, SSO/MFA and provisioning/review workflow.</w:t>
            </w:r>
          </w:p>
        </w:tc>
        <w:tc>
          <w:tcPr>
            <w:tcW w:type="dxa" w:w="245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Security and Business Owners / role/access design.</w:t>
            </w:r>
          </w:p>
        </w:tc>
        <w:tc>
          <w:tcPr>
            <w:tcW w:type="dxa" w:w="201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Access requirements, configuration and tests.</w:t>
            </w:r>
          </w:p>
        </w:tc>
      </w:tr>
      <w:tr>
        <w:trPr>
          <w:cantSplit/>
        </w:trPr>
        <w:tc>
          <w:tcPr>
            <w:tcW w:type="dxa" w:w="13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VER-SYS-010</w:t>
            </w:r>
          </w:p>
        </w:tc>
        <w:tc>
          <w:tcPr>
            <w:tcW w:type="dxa" w:w="36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Electronic-signature meaning, re-authentication and signature record/display rules.</w:t>
            </w:r>
          </w:p>
        </w:tc>
        <w:tc>
          <w:tcPr>
            <w:tcW w:type="dxa" w:w="245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Business Process Owner and QA / URS and design.</w:t>
            </w:r>
          </w:p>
        </w:tc>
        <w:tc>
          <w:tcPr>
            <w:tcW w:type="dxa" w:w="201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Signature configuration, verification and procedures.</w:t>
            </w:r>
          </w:p>
        </w:tc>
      </w:tr>
      <w:tr>
        <w:trPr>
          <w:cantSplit/>
        </w:trPr>
        <w:tc>
          <w:tcPr>
            <w:tcW w:type="dxa" w:w="13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VER-SYS-011</w:t>
            </w:r>
          </w:p>
        </w:tc>
        <w:tc>
          <w:tcPr>
            <w:tcW w:type="dxa" w:w="36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Audit-trail event set, review scope/frequency, retention and review procedure.</w:t>
            </w:r>
          </w:p>
        </w:tc>
        <w:tc>
          <w:tcPr>
            <w:tcW w:type="dxa" w:w="245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Data Integrity SME and QA / assessment.</w:t>
            </w:r>
          </w:p>
        </w:tc>
        <w:tc>
          <w:tcPr>
            <w:tcW w:type="dxa" w:w="201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Audit-trail specification, verification and operation.</w:t>
            </w:r>
          </w:p>
        </w:tc>
      </w:tr>
      <w:tr>
        <w:trPr>
          <w:cantSplit/>
        </w:trPr>
        <w:tc>
          <w:tcPr>
            <w:tcW w:type="dxa" w:w="13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VER-SYS-012</w:t>
            </w:r>
          </w:p>
        </w:tc>
        <w:tc>
          <w:tcPr>
            <w:tcW w:type="dxa" w:w="36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RTO, RPO, backup frequency/retention, restore-test frequency and continuity procedures.</w:t>
            </w:r>
          </w:p>
        </w:tc>
        <w:tc>
          <w:tcPr>
            <w:tcW w:type="dxa" w:w="245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Business/IT Owners / impact and continuity assessments.</w:t>
            </w:r>
          </w:p>
        </w:tc>
        <w:tc>
          <w:tcPr>
            <w:tcW w:type="dxa" w:w="201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Architecture, SLA, recovery design and exercises.</w:t>
            </w:r>
          </w:p>
        </w:tc>
      </w:tr>
      <w:tr>
        <w:trPr>
          <w:cantSplit/>
        </w:trPr>
        <w:tc>
          <w:tcPr>
            <w:tcW w:type="dxa" w:w="13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VER-SYS-013</w:t>
            </w:r>
          </w:p>
        </w:tc>
        <w:tc>
          <w:tcPr>
            <w:tcW w:type="dxa" w:w="36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Supplier/NN responsibility split, SLA, quality/security obligations and evidence access.</w:t>
            </w:r>
          </w:p>
        </w:tc>
        <w:tc>
          <w:tcPr>
            <w:tcW w:type="dxa" w:w="245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IT Solution Owner / contract and quality agreements.</w:t>
            </w:r>
          </w:p>
        </w:tc>
        <w:tc>
          <w:tcPr>
            <w:tcW w:type="dxa" w:w="201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Lifecycle accountability and operational control.</w:t>
            </w:r>
          </w:p>
        </w:tc>
      </w:tr>
      <w:tr>
        <w:trPr>
          <w:cantSplit/>
        </w:trPr>
        <w:tc>
          <w:tcPr>
            <w:tcW w:type="dxa" w:w="13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VER-SYS-014</w:t>
            </w:r>
          </w:p>
        </w:tc>
        <w:tc>
          <w:tcPr>
            <w:tcW w:type="dxa" w:w="36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Current controlled source/template versions and applicability at time of real use.</w:t>
            </w:r>
          </w:p>
        </w:tc>
        <w:tc>
          <w:tcPr>
            <w:tcW w:type="dxa" w:w="245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Document Owner and QA / controlled repository check.</w:t>
            </w:r>
          </w:p>
        </w:tc>
        <w:tc>
          <w:tcPr>
            <w:tcW w:type="dxa" w:w="201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Document validity and compliance basis.</w:t>
            </w:r>
          </w:p>
        </w:tc>
      </w:tr>
      <w:tr>
        <w:trPr>
          <w:cantSplit/>
        </w:trPr>
        <w:tc>
          <w:tcPr>
            <w:tcW w:type="dxa" w:w="13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VER-SYS-015</w:t>
            </w:r>
          </w:p>
        </w:tc>
        <w:tc>
          <w:tcPr>
            <w:tcW w:type="dxa" w:w="360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ServiceNow ITOM business-application record and applicable system identifier.</w:t>
            </w:r>
          </w:p>
        </w:tc>
        <w:tc>
          <w:tcPr>
            <w:tcW w:type="dxa" w:w="245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IT System Manager / ServiceNow record.</w:t>
            </w:r>
          </w:p>
        </w:tc>
        <w:tc>
          <w:tcPr>
            <w:tcW w:type="dxa" w:w="2010"/>
            <w:vAlign w:val="center"/>
            <w:tcMar>
              <w:top w:w="80" w:type="dxa"/>
              <w:start w:w="120" w:type="dxa"/>
              <w:bottom w:w="80" w:type="dxa"/>
              <w:end w:w="120" w:type="dxa"/>
            </w:tcMar>
          </w:tcPr>
          <w:p>
            <w:pPr>
              <w:spacing w:before="0" w:after="0" w:line="240" w:lineRule="auto"/>
            </w:pPr>
            <w:r>
              <w:rPr>
                <w:rFonts w:ascii="Calibri" w:hAnsi="Calibri" w:eastAsia="Calibri"/>
                <w:b w:val="0"/>
                <w:i w:val="0"/>
                <w:sz w:val="13"/>
              </w:rPr>
            </w:r>
            <w:r>
              <w:rPr>
                <w:rFonts w:ascii="Calibri" w:hAnsi="Calibri" w:eastAsia="Calibri"/>
                <w:b w:val="0"/>
                <w:i w:val="0"/>
                <w:sz w:val="13"/>
              </w:rPr>
              <w:t>Authoritative system description, ownership and lifecycle status.</w:t>
            </w:r>
          </w:p>
        </w:tc>
      </w:tr>
    </w:tbl>
    <w:p>
      <w:pPr>
        <w:spacing w:after="0"/>
      </w:pPr>
    </w:p>
    <w:p>
      <w:pPr>
        <w:pStyle w:val="Heading1"/>
        <w:keepNext/>
      </w:pPr>
      <w:r>
        <w:t>15 Glossary and maintenance</w:t>
      </w:r>
    </w:p>
    <w:p>
      <w:pPr>
        <w:pStyle w:val="Heading2"/>
        <w:keepNext/>
      </w:pPr>
      <w:r>
        <w:t>15.1 Glossary</w:t>
      </w:r>
    </w:p>
    <w:tbl>
      <w:tblPr>
        <w:tblW w:type="dxa" w:w="9360"/>
        <w:jc w:val="center"/>
        <w:tblLook w:firstColumn="1" w:firstRow="1" w:lastColumn="0" w:lastRow="0" w:noHBand="0" w:noVBand="1" w:val="04A0"/>
        <w:tblLayout w:type="fixed"/>
        <w:tblInd w:w="120" w:type="dxa"/>
      </w:tblPr>
      <w:tblGrid>
        <w:gridCol w:w="1900"/>
        <w:gridCol w:w="7460"/>
      </w:tblGrid>
      <w:tr>
        <w:trPr>
          <w:cantSplit/>
          <w:tblHeader w:val="true"/>
        </w:trPr>
        <w:tc>
          <w:tcPr>
            <w:tcW w:type="dxa" w:w="190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6"/>
              </w:rPr>
            </w:r>
            <w:r>
              <w:rPr>
                <w:rFonts w:ascii="Calibri" w:hAnsi="Calibri" w:eastAsia="Calibri"/>
                <w:b/>
                <w:i w:val="0"/>
                <w:color w:val="FFFFFF"/>
                <w:sz w:val="16"/>
              </w:rPr>
              <w:t>Term</w:t>
            </w:r>
          </w:p>
        </w:tc>
        <w:tc>
          <w:tcPr>
            <w:tcW w:type="dxa" w:w="746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6"/>
              </w:rPr>
            </w:r>
            <w:r>
              <w:rPr>
                <w:rFonts w:ascii="Calibri" w:hAnsi="Calibri" w:eastAsia="Calibri"/>
                <w:b/>
                <w:i w:val="0"/>
                <w:color w:val="FFFFFF"/>
                <w:sz w:val="16"/>
              </w:rPr>
              <w:t>Meaning in this document</w:t>
            </w:r>
          </w:p>
        </w:tc>
      </w:tr>
      <w:tr>
        <w:trPr>
          <w:cantSplit/>
        </w:trPr>
        <w:tc>
          <w:tcPr>
            <w:tcW w:type="dxa" w:w="19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CSA</w:t>
            </w:r>
          </w:p>
        </w:tc>
        <w:tc>
          <w:tcPr>
            <w:tcW w:type="dxa" w:w="74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Computer Software Assurance; a risk-focused approach to establishing confidence in software used for production or quality systems.</w:t>
            </w:r>
          </w:p>
        </w:tc>
      </w:tr>
      <w:tr>
        <w:trPr>
          <w:cantSplit/>
        </w:trPr>
        <w:tc>
          <w:tcPr>
            <w:tcW w:type="dxa" w:w="19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CSV</w:t>
            </w:r>
          </w:p>
        </w:tc>
        <w:tc>
          <w:tcPr>
            <w:tcW w:type="dxa" w:w="74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Computerised System Validation.</w:t>
            </w:r>
          </w:p>
        </w:tc>
      </w:tr>
      <w:tr>
        <w:trPr>
          <w:cantSplit/>
        </w:trPr>
        <w:tc>
          <w:tcPr>
            <w:tcW w:type="dxa" w:w="19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EBR</w:t>
            </w:r>
          </w:p>
        </w:tc>
        <w:tc>
          <w:tcPr>
            <w:tcW w:type="dxa" w:w="74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Electronic Batch Record.</w:t>
            </w:r>
          </w:p>
        </w:tc>
      </w:tr>
      <w:tr>
        <w:trPr>
          <w:cantSplit/>
        </w:trPr>
        <w:tc>
          <w:tcPr>
            <w:tcW w:type="dxa" w:w="19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GxP</w:t>
            </w:r>
          </w:p>
        </w:tc>
        <w:tc>
          <w:tcPr>
            <w:tcW w:type="dxa" w:w="74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Regulated good-practice requirements applicable to the supported pharmaceutical process.</w:t>
            </w:r>
          </w:p>
        </w:tc>
      </w:tr>
      <w:tr>
        <w:trPr>
          <w:cantSplit/>
        </w:trPr>
        <w:tc>
          <w:tcPr>
            <w:tcW w:type="dxa" w:w="19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LIMS</w:t>
            </w:r>
          </w:p>
        </w:tc>
        <w:tc>
          <w:tcPr>
            <w:tcW w:type="dxa" w:w="74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Laboratory Information Management System.</w:t>
            </w:r>
          </w:p>
        </w:tc>
      </w:tr>
      <w:tr>
        <w:trPr>
          <w:cantSplit/>
        </w:trPr>
        <w:tc>
          <w:tcPr>
            <w:tcW w:type="dxa" w:w="19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MBR</w:t>
            </w:r>
          </w:p>
        </w:tc>
        <w:tc>
          <w:tcPr>
            <w:tcW w:type="dxa" w:w="74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Master Batch Record / master execution instruction as represented in the controlled MES context.</w:t>
            </w:r>
          </w:p>
        </w:tc>
      </w:tr>
      <w:tr>
        <w:trPr>
          <w:cantSplit/>
        </w:trPr>
        <w:tc>
          <w:tcPr>
            <w:tcW w:type="dxa" w:w="19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MES</w:t>
            </w:r>
          </w:p>
        </w:tc>
        <w:tc>
          <w:tcPr>
            <w:tcW w:type="dxa" w:w="74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Manufacturing Execution System.</w:t>
            </w:r>
          </w:p>
        </w:tc>
      </w:tr>
      <w:tr>
        <w:trPr>
          <w:cantSplit/>
        </w:trPr>
        <w:tc>
          <w:tcPr>
            <w:tcW w:type="dxa" w:w="19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PAS-X</w:t>
            </w:r>
          </w:p>
        </w:tc>
        <w:tc>
          <w:tcPr>
            <w:tcW w:type="dxa" w:w="74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The planned MES product family; exact modules and release are Verify items.</w:t>
            </w:r>
          </w:p>
        </w:tc>
      </w:tr>
      <w:tr>
        <w:trPr>
          <w:cantSplit/>
        </w:trPr>
        <w:tc>
          <w:tcPr>
            <w:tcW w:type="dxa" w:w="19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RPO</w:t>
            </w:r>
          </w:p>
        </w:tc>
        <w:tc>
          <w:tcPr>
            <w:tcW w:type="dxa" w:w="74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Recovery Point Objective.</w:t>
            </w:r>
          </w:p>
        </w:tc>
      </w:tr>
      <w:tr>
        <w:trPr>
          <w:cantSplit/>
        </w:trPr>
        <w:tc>
          <w:tcPr>
            <w:tcW w:type="dxa" w:w="19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RTO</w:t>
            </w:r>
          </w:p>
        </w:tc>
        <w:tc>
          <w:tcPr>
            <w:tcW w:type="dxa" w:w="74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Recovery Time Objective.</w:t>
            </w:r>
          </w:p>
        </w:tc>
      </w:tr>
      <w:tr>
        <w:trPr>
          <w:cantSplit/>
        </w:trPr>
        <w:tc>
          <w:tcPr>
            <w:tcW w:type="dxa" w:w="19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System boundary</w:t>
            </w:r>
          </w:p>
        </w:tc>
        <w:tc>
          <w:tcPr>
            <w:tcW w:type="dxa" w:w="74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The components, functions, records, users and interfaces for which lifecycle controls are allocated to the MES solution.</w:t>
            </w:r>
          </w:p>
        </w:tc>
      </w:tr>
      <w:tr>
        <w:trPr>
          <w:cantSplit/>
        </w:trPr>
        <w:tc>
          <w:tcPr>
            <w:tcW w:type="dxa" w:w="19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Verify item</w:t>
            </w:r>
          </w:p>
        </w:tc>
        <w:tc>
          <w:tcPr>
            <w:tcW w:type="dxa" w:w="74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A fact, applicability decision or design detail intentionally left unresolved pending an accessible authoritative source or owner confirmation.</w:t>
            </w:r>
          </w:p>
        </w:tc>
      </w:tr>
    </w:tbl>
    <w:p>
      <w:pPr>
        <w:spacing w:after="0"/>
      </w:pPr>
    </w:p>
    <w:p>
      <w:pPr>
        <w:pStyle w:val="Heading2"/>
        <w:keepNext/>
      </w:pPr>
      <w:r>
        <w:t>15.2 Maintenance and change control</w:t>
      </w:r>
    </w:p>
    <w:p>
      <w:pPr>
        <w:keepNext w:val="0"/>
        <w:keepLines/>
        <w:spacing w:after="120" w:line="264" w:lineRule="auto"/>
      </w:pPr>
      <w:r>
        <w:rPr>
          <w:rFonts w:ascii="Calibri" w:hAnsi="Calibri" w:eastAsia="Calibri"/>
          <w:b w:val="0"/>
          <w:i w:val="0"/>
          <w:sz w:val="22"/>
        </w:rPr>
        <w:t>The IT System Manager or documented delegate should maintain the authoritative system description/business application record throughout the lifecycle. This standalone dummy document should be reviewed whenever intended use, scope, criticality, architecture, environment, component, interface, hosting, data authority, security, supplier, continuity or ownership information changes.</w:t>
      </w:r>
    </w:p>
    <w:tbl>
      <w:tblPr>
        <w:tblW w:type="dxa" w:w="9360"/>
        <w:jc w:val="center"/>
        <w:tblLook w:firstColumn="1" w:firstRow="1" w:lastColumn="0" w:lastRow="0" w:noHBand="0" w:noVBand="1" w:val="04A0"/>
        <w:tblLayout w:type="fixed"/>
        <w:tblInd w:w="120" w:type="dxa"/>
      </w:tblPr>
      <w:tblGrid>
        <w:gridCol w:w="2800"/>
        <w:gridCol w:w="6560"/>
      </w:tblGrid>
      <w:tr>
        <w:trPr>
          <w:cantSplit/>
          <w:tblHeader w:val="true"/>
        </w:trPr>
        <w:tc>
          <w:tcPr>
            <w:tcW w:type="dxa" w:w="280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6"/>
              </w:rPr>
            </w:r>
            <w:r>
              <w:rPr>
                <w:rFonts w:ascii="Calibri" w:hAnsi="Calibri" w:eastAsia="Calibri"/>
                <w:b/>
                <w:i w:val="0"/>
                <w:color w:val="FFFFFF"/>
                <w:sz w:val="16"/>
              </w:rPr>
              <w:t>Change trigger</w:t>
            </w:r>
          </w:p>
        </w:tc>
        <w:tc>
          <w:tcPr>
            <w:tcW w:type="dxa" w:w="6560"/>
            <w:vAlign w:val="center"/>
            <w:tcMar>
              <w:top w:w="80" w:type="dxa"/>
              <w:start w:w="120" w:type="dxa"/>
              <w:bottom w:w="80" w:type="dxa"/>
              <w:end w:w="120" w:type="dxa"/>
            </w:tcMar>
            <w:shd w:fill="2E74B5"/>
          </w:tcPr>
          <w:p>
            <w:pPr>
              <w:spacing w:before="0" w:after="0" w:line="240" w:lineRule="auto"/>
            </w:pPr>
            <w:r>
              <w:rPr>
                <w:rFonts w:ascii="Calibri" w:hAnsi="Calibri" w:eastAsia="Calibri"/>
                <w:b/>
                <w:i w:val="0"/>
                <w:color w:val="FFFFFF"/>
                <w:sz w:val="16"/>
              </w:rPr>
            </w:r>
            <w:r>
              <w:rPr>
                <w:rFonts w:ascii="Calibri" w:hAnsi="Calibri" w:eastAsia="Calibri"/>
                <w:b/>
                <w:i w:val="0"/>
                <w:color w:val="FFFFFF"/>
                <w:sz w:val="16"/>
              </w:rPr>
              <w:t>Required action</w:t>
            </w:r>
          </w:p>
        </w:tc>
      </w:tr>
      <w:tr>
        <w:trPr>
          <w:cantSplit/>
        </w:trPr>
        <w:tc>
          <w:tcPr>
            <w:tcW w:type="dxa" w:w="28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Intended-use or process change</w:t>
            </w:r>
          </w:p>
        </w:tc>
        <w:tc>
          <w:tcPr>
            <w:tcW w:type="dxa" w:w="65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Reassess criticality, requirements, risks, validation impact, training and approvals.</w:t>
            </w:r>
          </w:p>
        </w:tc>
      </w:tr>
      <w:tr>
        <w:trPr>
          <w:cantSplit/>
        </w:trPr>
        <w:tc>
          <w:tcPr>
            <w:tcW w:type="dxa" w:w="28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New/changed component or version</w:t>
            </w:r>
          </w:p>
        </w:tc>
        <w:tc>
          <w:tcPr>
            <w:tcW w:type="dxa" w:w="65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Update architecture/prerequisites, assess supplier/security/compatibility and verify affected controls.</w:t>
            </w:r>
          </w:p>
        </w:tc>
      </w:tr>
      <w:tr>
        <w:trPr>
          <w:cantSplit/>
        </w:trPr>
        <w:tc>
          <w:tcPr>
            <w:tcW w:type="dxa" w:w="28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New/changed interface or data flow</w:t>
            </w:r>
          </w:p>
        </w:tc>
        <w:tc>
          <w:tcPr>
            <w:tcW w:type="dxa" w:w="65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Update authority, mapping, interface ownership, risk, terms of service and end-to-end verification.</w:t>
            </w:r>
          </w:p>
        </w:tc>
      </w:tr>
      <w:tr>
        <w:trPr>
          <w:cantSplit/>
        </w:trPr>
        <w:tc>
          <w:tcPr>
            <w:tcW w:type="dxa" w:w="28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Hosting/security/continuity change</w:t>
            </w:r>
          </w:p>
        </w:tc>
        <w:tc>
          <w:tcPr>
            <w:tcW w:type="dxa" w:w="65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Update physical/logical arrangement, service responsibilities, risk controls and recovery evidence.</w:t>
            </w:r>
          </w:p>
        </w:tc>
      </w:tr>
      <w:tr>
        <w:trPr>
          <w:cantSplit/>
        </w:trPr>
        <w:tc>
          <w:tcPr>
            <w:tcW w:type="dxa" w:w="28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Ownership or supplier change</w:t>
            </w:r>
          </w:p>
        </w:tc>
        <w:tc>
          <w:tcPr>
            <w:tcW w:type="dxa" w:w="65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Document delegation/agreements, preserve knowledge/evidence and confirm continued accountable oversight.</w:t>
            </w:r>
          </w:p>
        </w:tc>
      </w:tr>
      <w:tr>
        <w:trPr>
          <w:cantSplit/>
        </w:trPr>
        <w:tc>
          <w:tcPr>
            <w:tcW w:type="dxa" w:w="2800"/>
            <w:vAlign w:val="center"/>
            <w:tcMar>
              <w:top w:w="80" w:type="dxa"/>
              <w:start w:w="120" w:type="dxa"/>
              <w:bottom w:w="80" w:type="dxa"/>
              <w:end w:w="120" w:type="dxa"/>
            </w:tcMar>
          </w:tcPr>
          <w:p>
            <w:pPr>
              <w:spacing w:before="0" w:after="0" w:line="240" w:lineRule="auto"/>
            </w:pPr>
            <w:r>
              <w:rPr>
                <w:rFonts w:ascii="Calibri" w:hAnsi="Calibri" w:eastAsia="Calibri"/>
                <w:b/>
                <w:i w:val="0"/>
                <w:sz w:val="16"/>
              </w:rPr>
            </w:r>
            <w:r>
              <w:rPr>
                <w:rFonts w:ascii="Calibri" w:hAnsi="Calibri" w:eastAsia="Calibri"/>
                <w:b/>
                <w:i w:val="0"/>
                <w:sz w:val="16"/>
              </w:rPr>
              <w:t>Periodic evaluation or inspection finding</w:t>
            </w:r>
          </w:p>
        </w:tc>
        <w:tc>
          <w:tcPr>
            <w:tcW w:type="dxa" w:w="6560"/>
            <w:vAlign w:val="center"/>
            <w:tcMar>
              <w:top w:w="80" w:type="dxa"/>
              <w:start w:w="120" w:type="dxa"/>
              <w:bottom w:w="80" w:type="dxa"/>
              <w:end w:w="120" w:type="dxa"/>
            </w:tcMar>
          </w:tcPr>
          <w:p>
            <w:pPr>
              <w:spacing w:before="0" w:after="0" w:line="240" w:lineRule="auto"/>
            </w:pPr>
            <w:r>
              <w:rPr>
                <w:rFonts w:ascii="Calibri" w:hAnsi="Calibri" w:eastAsia="Calibri"/>
                <w:b w:val="0"/>
                <w:i w:val="0"/>
                <w:sz w:val="16"/>
              </w:rPr>
            </w:r>
            <w:r>
              <w:rPr>
                <w:rFonts w:ascii="Calibri" w:hAnsi="Calibri" w:eastAsia="Calibri"/>
                <w:b w:val="0"/>
                <w:i w:val="0"/>
                <w:sz w:val="16"/>
              </w:rPr>
              <w:t>Assess whether description remains accurate and update controlled records/actions under change control.</w:t>
            </w:r>
          </w:p>
        </w:tc>
      </w:tr>
    </w:tbl>
    <w:p>
      <w:pPr>
        <w:spacing w:after="0"/>
      </w:pPr>
    </w:p>
    <w:p>
      <w:pPr>
        <w:pStyle w:val="Heading2"/>
        <w:keepNext/>
      </w:pPr>
      <w:r>
        <w:t>15.3 Final simulated status</w:t>
      </w:r>
    </w:p>
    <w:tbl>
      <w:tblPr>
        <w:tblW w:type="dxa" w:w="9360"/>
        <w:tblLook w:firstColumn="1" w:firstRow="1" w:lastColumn="0" w:lastRow="0" w:noHBand="0" w:noVBand="1" w:val="04A0"/>
        <w:tblLayout w:type="fixed"/>
        <w:tblInd w:w="120" w:type="dxa"/>
      </w:tblPr>
      <w:tblGrid>
        <w:gridCol w:w="9360"/>
      </w:tblGrid>
      <w:tr>
        <w:trPr>
          <w:cantSplit/>
        </w:trPr>
        <w:tc>
          <w:tcPr>
            <w:tcW w:type="dxa" w:w="9360"/>
            <w:shd w:fill="E2F0D9"/>
          </w:tcPr>
          <w:p>
            <w:pPr>
              <w:spacing w:before="0" w:after="0" w:line="240" w:lineRule="auto"/>
            </w:pPr>
            <w:r/>
            <w:r>
              <w:rPr>
                <w:rFonts w:ascii="Calibri" w:hAnsi="Calibri" w:eastAsia="Calibri"/>
                <w:b/>
                <w:i w:val="0"/>
                <w:color w:val="1F4D78"/>
                <w:sz w:val="18"/>
              </w:rPr>
              <w:t xml:space="preserve">Status: </w:t>
            </w:r>
            <w:r>
              <w:rPr>
                <w:rFonts w:ascii="Calibri" w:hAnsi="Calibri" w:eastAsia="Calibri"/>
                <w:b w:val="0"/>
                <w:i w:val="0"/>
                <w:color w:val="243746"/>
                <w:sz w:val="18"/>
              </w:rPr>
              <w:t>Simulated Reviewed and Approved for Demo/Training Use Only. No handwritten or electronic signature has been applied; the review entries on the cover are simulated and have no operational or regulatory effect.</w:t>
            </w:r>
          </w:p>
        </w:tc>
      </w:tr>
    </w:tbl>
    <w:p>
      <w:pPr>
        <w:spacing w:after="0"/>
      </w:pPr>
    </w:p>
    <w:sectPr>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3E6A" w14:textId="77777777">
      <w:pPr>
        <w:spacing w:after="0" w:line="240" w:lineRule="auto"/>
      </w:pPr>
      <w:r>
        <w:separator/>
      </w:r>
    </w:p>
  </w:endnote>
  <w:endnote w:type="continuationSeparator" w:id="0">
    <w:p w14:paraId="3ADA83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669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5F75" w14:textId="77777777">
    <w:pPr>
      <w:pStyle w:val="Footer"/>
      <w:spacing w:after="0"/>
      <w:jc w:val="center"/>
    </w:pPr>
    <w:r>
      <w:rPr>
        <w:rFonts w:ascii="Calibri" w:hAnsi="Calibri" w:eastAsia="Calibri"/>
        <w:b w:val="0"/>
        <w:i w:val="0"/>
        <w:color w:val="666666"/>
        <w:sz w:val="15"/>
      </w:rPr>
      <w:t>Dummy document created for hackathon/training simulation only. Not valid for operational, regulatory, inspection, or GxP release use.</w:t>
    </w:r>
  </w:p>
  <w:p w14:paraId="7C0ECF76" w14:textId="77777777">
    <w:pPr>
      <w:spacing w:after="0"/>
      <w:jc w:val="right"/>
    </w:pPr>
    <w:r>
      <w:rPr>
        <w:color w:val="5B6573"/>
        <w:sz w:val="16"/>
      </w:rPr>
      <w:t xml:space="preserve">Page </w:t>
    </w:r>
    <w:r>
      <w:rPr>
        <w:color w:val="5B6573"/>
        <w:sz w:val="16"/>
      </w:rPr>
      <w:fldChar w:fldCharType="begin"/>
    </w:r>
    <w:r>
      <w:rPr>
        <w:color w:val="5B6573"/>
        <w:sz w:val="16"/>
      </w:rPr>
      <w:instrText>PAGE</w:instrText>
    </w:r>
    <w:r>
      <w:rPr>
        <w:color w:val="5B6573"/>
        <w:sz w:val="16"/>
      </w:rPr>
      <w:fldChar w:fldCharType="separate"/>
    </w:r>
    <w:r>
      <w:rPr>
        <w:color w:val="5B6573"/>
        <w:sz w:val="16"/>
      </w:rPr>
      <w:t>1</w:t>
    </w:r>
    <w:r>
      <w:rPr>
        <w:color w:val="5B6573"/>
        <w:sz w:val="16"/>
      </w:rPr>
      <w:fldChar w:fldCharType="end"/>
    </w:r>
    <w:r>
      <w:rPr>
        <w:color w:val="5B6573"/>
        <w:sz w:val="16"/>
      </w:rPr>
      <w:t xml:space="preserve"> of </w:t>
    </w:r>
    <w:r>
      <w:rPr>
        <w:color w:val="5B6573"/>
        <w:sz w:val="16"/>
      </w:rPr>
      <w:fldChar w:fldCharType="begin"/>
    </w:r>
    <w:r>
      <w:rPr>
        <w:color w:val="5B6573"/>
        <w:sz w:val="16"/>
      </w:rPr>
      <w:instrText>NUMPAGES</w:instrText>
    </w:r>
    <w:r>
      <w:rPr>
        <w:color w:val="5B6573"/>
        <w:sz w:val="16"/>
      </w:rPr>
      <w:fldChar w:fldCharType="separate"/>
    </w:r>
    <w:r>
      <w:rPr>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CFD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B648" w14:textId="77777777">
      <w:pPr>
        <w:spacing w:after="0" w:line="240" w:lineRule="auto"/>
      </w:pPr>
      <w:r>
        <w:separator/>
      </w:r>
    </w:p>
  </w:footnote>
  <w:footnote w:type="continuationSeparator" w:id="0">
    <w:p w14:paraId="76C7BA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9EE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3027" w14:textId="77777777">
    <w:pPr>
      <w:pStyle w:val="Header"/>
      <w:spacing w:after="0"/>
    </w:pPr>
    <w:r>
      <w:rPr>
        <w:b/>
        <w:color w:val="5B6573"/>
        <w:sz w:val="16"/>
      </w:rPr>
      <w:t>NOVO LIFE | MES PAS-X</w:t>
    </w:r>
    <w:r>
      <w:rPr>
        <w:color w:val="5B6573"/>
        <w:sz w:val="16"/>
      </w:rPr>
      <w:tab/>
      <w:t>NL-MES-SYS-001 | v0.1 | DUMMY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5A9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7304A22"/>
    <w:multiLevelType w:val="singleLevel"/>
    <w:tmpl w:val="A2B22B1C"/>
    <w:lvl w:ilvl="0">
      <w:start w:val="1"/>
      <w:numFmt w:val="decimal"/>
      <w:lvlText w:val="%1."/>
      <w:lvlJc w:val="left"/>
      <w:pPr>
        <w:tabs>
          <w:tab w:val="num" w:pos="720"/>
        </w:tabs>
        <w:spacing w:after="160" w:line="280" w:lineRule="auto"/>
        <w:ind w:left="720" w:hanging="360"/>
      </w:pPr>
    </w:lvl>
  </w:abstractNum>
  <w:abstractNum w:abstractNumId="10" w15:restartNumberingAfterBreak="0">
    <w:nsid w:val="362B53A3"/>
    <w:multiLevelType w:val="singleLevel"/>
    <w:tmpl w:val="94A4DAFC"/>
    <w:lvl w:ilvl="0">
      <w:start w:val="1"/>
      <w:numFmt w:val="bullet"/>
      <w:pStyle w:val="ListBullet"/>
      <w:lvlText w:val="•"/>
      <w:lvlJc w:val="left"/>
      <w:pPr>
        <w:tabs>
          <w:tab w:val="num" w:pos="720"/>
        </w:tabs>
        <w:spacing w:after="160" w:line="280" w:lineRule="auto"/>
        <w:ind w:left="720" w:hanging="360"/>
      </w:pPr>
      <w:rPr>
        <w:rFonts w:ascii="Symbol" w:hAnsi="Symbol"/>
      </w:rPr>
    </w:lvl>
  </w:abstractNum>
  <w:abstractNum w:abstractNumId="11" w15:restartNumberingAfterBreak="0">
    <w:nsid w:val="4D9063BD"/>
    <w:multiLevelType w:val="singleLevel"/>
    <w:tmpl w:val="2AB001EC"/>
    <w:lvl w:ilvl="0">
      <w:start w:val="1"/>
      <w:numFmt w:val="bullet"/>
      <w:lvlText w:val="•"/>
      <w:lvlJc w:val="left"/>
      <w:pPr>
        <w:tabs>
          <w:tab w:val="num" w:pos="720"/>
        </w:tabs>
        <w:spacing w:after="160" w:line="280" w:lineRule="auto"/>
        <w:ind w:left="720" w:hanging="360"/>
      </w:pPr>
      <w:rPr>
        <w:rFonts w:ascii="Symbol" w:hAnsi="Symbol"/>
      </w:rPr>
    </w:lvl>
  </w:abstractNum>
  <w:num w:numId="1" w16cid:durableId="632953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92F"/>
    <w:rsid w:val="00494C71"/>
    <w:rsid w:val="00AA1D8D"/>
    <w:rsid w:val="00B16FBD"/>
    <w:rsid w:val="00B47730"/>
    <w:rsid w:val="00CB0664"/>
    <w:rsid w:val="00EB1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1A3CA818-E3A8-4F18-84E6-76203475E23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eastAsia="Calibri"/>
      <w:color w:val="000000"/>
      <w:sz w:val="22"/>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vonordisk-my.sharepoint.com/personal/spkd_novonordisk_com/Documents/MIT%20SPKD/MIT/Global%20PAT/PAT%20AI%20Agent/NN%20SOPs%20from%20QD"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743b317-4758-44cb-8b65-8b43e4619766}" enabled="1" method="Standard" siteId="{fdfed7bd-9f6a-44a1-b694-6e39c468c15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17</Pages>
  <Words>5482</Words>
  <Characters>31248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2013-12-23T23:15:00Z</dcterms:created>
  <dcterms:modified xsi:type="dcterms:W3CDTF">2026-08-10T07:02:00Z</dcterms:modified>
  <cp:category/>
</cp:coreProperties>
</file>