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t>System: Validated LIMS (SYS-LIMS-001)</w:t>
        <w:br/>
        <w:t>Assessment Timestamp: 2026-09-03 17:05:58 UTC</w:t>
        <w:br/>
        <w:t>Audit Readiness Index: 82%</w:t>
        <w:br/>
        <w:t>Framework Alignment: 21 CFR Part 11 | EU Annex 11 | GAMP 5 | ALCOA+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an automated, continuous verification of Validated LIMS against established GxP regulatory compliance standards. The current deterministic audit readiness score is evaluated at 82%. A total of 0 compliance controls were evaluated, resulting in 0 identified compliance gaps requiring formal remediation and Quality Unit oversight.</w:t>
      </w:r>
    </w:p>
    <w:p>
      <w:pPr>
        <w:pStyle w:val="Heading1"/>
      </w:pPr>
      <w:r>
        <w:t>2. Compliance Checklist Verification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Requirement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Result</w:t>
            </w:r>
          </w:p>
        </w:tc>
      </w:tr>
    </w:tbl>
    <w:p>
      <w:pPr>
        <w:pStyle w:val="Heading1"/>
      </w:pPr>
      <w:r>
        <w:t>3. Compliance Findings &amp; Evidence Citations</w:t>
      </w:r>
    </w:p>
    <w:p>
      <w:pPr>
        <w:pStyle w:val="Heading1"/>
      </w:pPr>
      <w:r>
        <w:t>4. Risk Assessment &amp; GxP Impact Analysis</w:t>
      </w:r>
    </w:p>
    <w:p>
      <w:pPr>
        <w:pStyle w:val="Heading1"/>
      </w:pPr>
      <w:r>
        <w:t>5. Corrective Action Plan &amp; Human Approval Gates</w:t>
      </w:r>
    </w:p>
    <w:p>
      <w:pPr>
        <w:pStyle w:val="Heading1"/>
      </w:pPr>
      <w:r>
        <w:t>6. Cryptographic Audit Trail Summary</w:t>
      </w:r>
    </w:p>
    <w:p>
      <w:r>
        <w:t>The following immutable log events document all automated and human actions leading to this report: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Actor</w:t>
            </w:r>
          </w:p>
        </w:tc>
        <w:tc>
          <w:tcPr>
            <w:tcW w:type="dxa" w:w="2160"/>
          </w:tcPr>
          <w:p>
            <w:r>
              <w:t>Action</w:t>
            </w:r>
          </w:p>
        </w:tc>
        <w:tc>
          <w:tcPr>
            <w:tcW w:type="dxa" w:w="2160"/>
          </w:tcPr>
          <w:p>
            <w:r>
              <w:t>SHA-256 Hash</w:t>
            </w:r>
          </w:p>
        </w:tc>
      </w:tr>
      <w:tr>
        <w:tc>
          <w:tcPr>
            <w:tcW w:type="dxa" w:w="2160"/>
          </w:tcPr>
          <w:p>
            <w:r>
              <w:t>2026-09-03T17:05:58</w:t>
            </w:r>
          </w:p>
        </w:tc>
        <w:tc>
          <w:tcPr>
            <w:tcW w:type="dxa" w:w="2160"/>
          </w:tcPr>
          <w:p>
            <w:r>
              <w:t>USER (qa@demo.local)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ecdbcfdbe16662f8...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AGENT (supervisor_agent)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daf7f9b93014cc15...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a31c1b2488f75a05...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0462967e1e57ec46...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bb05b662b097cb20...</w:t>
            </w:r>
          </w:p>
        </w:tc>
      </w:tr>
      <w:tr>
        <w:tc>
          <w:tcPr>
            <w:tcW w:type="dxa" w:w="2160"/>
          </w:tcPr>
          <w:p>
            <w:r>
              <w:t>2026-09-03T17:05:23</w:t>
            </w:r>
          </w:p>
        </w:tc>
        <w:tc>
          <w:tcPr>
            <w:tcW w:type="dxa" w:w="2160"/>
          </w:tcPr>
          <w:p>
            <w:r>
              <w:t>SYSTEM (ingestion_pipeline)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09d46111823a4ad8...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