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User Requirement Specification - Novo Life MES PAS-X</w:t>
        <w:br/>
      </w:r>
      <w:r>
        <w:rPr>
          <w:i/>
          <w:color w:val="5A5A5A"/>
          <w:sz w:val="19"/>
        </w:rPr>
        <w:t>Document ID: NL-MES-URS-001  |  Version: 1.0  |  Status: Baseline Approved (Simulated)  |  Date: 2025-02-01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Executive Summary &amp; Objective</w:t>
      </w:r>
    </w:p>
    <w:p>
      <w:r>
        <w:t>This document defines the 50 baseline user requirements for the Novo Life MES PAS-X solution (SYS-MES-001). The baseline consists of exactly 25 Functional Requirements and 25 Non-Functional Requirements. All requirements must maintain bidirectional traceability to design specifications, risk assessment items, and qualification protocols.</w:t>
      </w:r>
    </w:p>
    <w:p>
      <w:pPr>
        <w:pStyle w:val="Heading1"/>
      </w:pPr>
      <w:r>
        <w:t>2. Functional Requirements (25 Baseline URS)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URS-001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Master Batch Record (MBR) creation, lifecycle versioning, and electronic routing.</w:t>
            </w:r>
          </w:p>
        </w:tc>
      </w:tr>
      <w:tr>
        <w:tc>
          <w:tcPr>
            <w:tcW w:type="dxa" w:w="2880"/>
          </w:tcPr>
          <w:p>
            <w:r>
              <w:t>URS-002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Weighing and dispensing material verification with electronic tolerance interlocks.</w:t>
            </w:r>
          </w:p>
        </w:tc>
      </w:tr>
      <w:tr>
        <w:tc>
          <w:tcPr>
            <w:tcW w:type="dxa" w:w="2880"/>
          </w:tcPr>
          <w:p>
            <w:r>
              <w:t>URS-003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Electronic Signatures adhering to 21 CFR Part 11 and EU Annex 11 dual-witness criteria.</w:t>
            </w:r>
          </w:p>
        </w:tc>
      </w:tr>
      <w:tr>
        <w:tc>
          <w:tcPr>
            <w:tcW w:type="dxa" w:w="2880"/>
          </w:tcPr>
          <w:p>
            <w:r>
              <w:t>URS-004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Material genealogy and end-to-end container tracking from dispensary to primary packaging.</w:t>
            </w:r>
          </w:p>
        </w:tc>
      </w:tr>
      <w:tr>
        <w:tc>
          <w:tcPr>
            <w:tcW w:type="dxa" w:w="2880"/>
          </w:tcPr>
          <w:p>
            <w:r>
              <w:t>URS-005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Equipment calibration, cleaning status, and maintenance lockout interlocks.</w:t>
            </w:r>
          </w:p>
        </w:tc>
      </w:tr>
      <w:tr>
        <w:tc>
          <w:tcPr>
            <w:tcW w:type="dxa" w:w="2880"/>
          </w:tcPr>
          <w:p>
            <w:r>
              <w:t>URS-006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In-Process Control (IPC) real-time data capture with automated limit verification.</w:t>
            </w:r>
          </w:p>
        </w:tc>
      </w:tr>
      <w:tr>
        <w:tc>
          <w:tcPr>
            <w:tcW w:type="dxa" w:w="2880"/>
          </w:tcPr>
          <w:p>
            <w:r>
              <w:t>URS-007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Deviation and exception logging with automated event capture during batch execution.</w:t>
            </w:r>
          </w:p>
        </w:tc>
      </w:tr>
      <w:tr>
        <w:tc>
          <w:tcPr>
            <w:tcW w:type="dxa" w:w="2880"/>
          </w:tcPr>
          <w:p>
            <w:r>
              <w:t>URS-008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Review by Exception (RBE) batch reporting highlighting out-of-spec parameters.</w:t>
            </w:r>
          </w:p>
        </w:tc>
      </w:tr>
      <w:tr>
        <w:tc>
          <w:tcPr>
            <w:tcW w:type="dxa" w:w="2880"/>
          </w:tcPr>
          <w:p>
            <w:r>
              <w:t>URS-009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ERP (SAP S/4HANA) bidirectional interface for Process Orders and material consumption.</w:t>
            </w:r>
          </w:p>
        </w:tc>
      </w:tr>
      <w:tr>
        <w:tc>
          <w:tcPr>
            <w:tcW w:type="dxa" w:w="2880"/>
          </w:tcPr>
          <w:p>
            <w:r>
              <w:t>URS-010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LIMS bi-directional interface for analytical sample creation and result synchronization.</w:t>
            </w:r>
          </w:p>
        </w:tc>
      </w:tr>
      <w:tr>
        <w:tc>
          <w:tcPr>
            <w:tcW w:type="dxa" w:w="2880"/>
          </w:tcPr>
          <w:p>
            <w:r>
              <w:t>URS-011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Warehouse Management (WMS) barcode verification and container release validation.</w:t>
            </w:r>
          </w:p>
        </w:tc>
      </w:tr>
      <w:tr>
        <w:tc>
          <w:tcPr>
            <w:tcW w:type="dxa" w:w="2880"/>
          </w:tcPr>
          <w:p>
            <w:r>
              <w:t>URS-012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Recipe authoring conforming to ISA-88 batch control standards.</w:t>
            </w:r>
          </w:p>
        </w:tc>
      </w:tr>
      <w:tr>
        <w:tc>
          <w:tcPr>
            <w:tcW w:type="dxa" w:w="2880"/>
          </w:tcPr>
          <w:p>
            <w:r>
              <w:t>URS-013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Critical Process Parameter (CPP) alarm bounds enforcement and operator override logging.</w:t>
            </w:r>
          </w:p>
        </w:tc>
      </w:tr>
      <w:tr>
        <w:tc>
          <w:tcPr>
            <w:tcW w:type="dxa" w:w="2880"/>
          </w:tcPr>
          <w:p>
            <w:r>
              <w:t>URS-014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Granular Role-Based Access Control (RBAC) ensuring segregation of shopfloor duties.</w:t>
            </w:r>
          </w:p>
        </w:tc>
      </w:tr>
      <w:tr>
        <w:tc>
          <w:tcPr>
            <w:tcW w:type="dxa" w:w="2880"/>
          </w:tcPr>
          <w:p>
            <w:r>
              <w:t>URS-015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Contemporaneous electronic audit trail recording all parameter edits and acknowledgments.</w:t>
            </w:r>
          </w:p>
        </w:tc>
      </w:tr>
      <w:tr>
        <w:tc>
          <w:tcPr>
            <w:tcW w:type="dxa" w:w="2880"/>
          </w:tcPr>
          <w:p>
            <w:r>
              <w:t>URS-016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Bill of Materials (BOM) quantity reconciliation and automatic yield calculations.</w:t>
            </w:r>
          </w:p>
        </w:tc>
      </w:tr>
      <w:tr>
        <w:tc>
          <w:tcPr>
            <w:tcW w:type="dxa" w:w="2880"/>
          </w:tcPr>
          <w:p>
            <w:r>
              <w:t>URS-017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Workstation handheld and fixed 2D barcode scanner hardware interfacing.</w:t>
            </w:r>
          </w:p>
        </w:tc>
      </w:tr>
      <w:tr>
        <w:tc>
          <w:tcPr>
            <w:tcW w:type="dxa" w:w="2880"/>
          </w:tcPr>
          <w:p>
            <w:r>
              <w:t>URS-018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Precision benchtop weigh scale serial RS-232 and Ethernet TCP/IP connectivity.</w:t>
            </w:r>
          </w:p>
        </w:tc>
      </w:tr>
      <w:tr>
        <w:tc>
          <w:tcPr>
            <w:tcW w:type="dxa" w:w="2880"/>
          </w:tcPr>
          <w:p>
            <w:r>
              <w:t>URS-019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Automated PDF batch dossier generation with digital document sealing.</w:t>
            </w:r>
          </w:p>
        </w:tc>
      </w:tr>
      <w:tr>
        <w:tc>
          <w:tcPr>
            <w:tcW w:type="dxa" w:w="2880"/>
          </w:tcPr>
          <w:p>
            <w:r>
              <w:t>URS-020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Container cleanliness, sanitization expiration, and room classification tracking.</w:t>
            </w:r>
          </w:p>
        </w:tc>
      </w:tr>
      <w:tr>
        <w:tc>
          <w:tcPr>
            <w:tcW w:type="dxa" w:w="2880"/>
          </w:tcPr>
          <w:p>
            <w:r>
              <w:t>URS-021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Operator training qualification gating via LMS API prior to critical step access.</w:t>
            </w:r>
          </w:p>
        </w:tc>
      </w:tr>
      <w:tr>
        <w:tc>
          <w:tcPr>
            <w:tcW w:type="dxa" w:w="2880"/>
          </w:tcPr>
          <w:p>
            <w:r>
              <w:t>URS-022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Sampling plan auto-generation and barcoded sample label thermal printing.</w:t>
            </w:r>
          </w:p>
        </w:tc>
      </w:tr>
      <w:tr>
        <w:tc>
          <w:tcPr>
            <w:tcW w:type="dxa" w:w="2880"/>
          </w:tcPr>
          <w:p>
            <w:r>
              <w:t>URS-023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Environmental monitoring (cleanroom particle counter/temp) automated data linkage.</w:t>
            </w:r>
          </w:p>
        </w:tc>
      </w:tr>
      <w:tr>
        <w:tc>
          <w:tcPr>
            <w:tcW w:type="dxa" w:w="2880"/>
          </w:tcPr>
          <w:p>
            <w:r>
              <w:t>URS-024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Master recipe approval workflow state machine (Draft, Review, Approved, Obsolete).</w:t>
            </w:r>
          </w:p>
        </w:tc>
      </w:tr>
      <w:tr>
        <w:tc>
          <w:tcPr>
            <w:tcW w:type="dxa" w:w="2880"/>
          </w:tcPr>
          <w:p>
            <w:r>
              <w:t>URS-025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Batch execution pause, hold, resume, and controlled abort emergency controls.</w:t>
            </w:r>
          </w:p>
        </w:tc>
      </w:tr>
    </w:tbl>
    <w:p>
      <w:pPr>
        <w:pStyle w:val="Heading1"/>
      </w:pPr>
      <w:r>
        <w:t>3. Non-Functional Requirements (25 Baseline URS)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URS-026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High Availability: System availability shall exceed 99.9% across active production shifts.</w:t>
            </w:r>
          </w:p>
        </w:tc>
      </w:tr>
      <w:tr>
        <w:tc>
          <w:tcPr>
            <w:tcW w:type="dxa" w:w="2880"/>
          </w:tcPr>
          <w:p>
            <w:r>
              <w:t>URS-027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Performance: Peak transaction response time shall not exceed 1.5 seconds under full load.</w:t>
            </w:r>
          </w:p>
        </w:tc>
      </w:tr>
      <w:tr>
        <w:tc>
          <w:tcPr>
            <w:tcW w:type="dxa" w:w="2880"/>
          </w:tcPr>
          <w:p>
            <w:r>
              <w:t>URS-028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Audit Trail Display: Electronic audit trail shall be viewable and filterable within the application.</w:t>
            </w:r>
          </w:p>
        </w:tc>
      </w:tr>
      <w:tr>
        <w:tc>
          <w:tcPr>
            <w:tcW w:type="dxa" w:w="2880"/>
          </w:tcPr>
          <w:p>
            <w:r>
              <w:t>URS-029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Disaster Recovery: RTO &lt; 4 hours and RPO &lt; 15 minutes for shopfloor recovery.</w:t>
            </w:r>
          </w:p>
        </w:tc>
      </w:tr>
      <w:tr>
        <w:tc>
          <w:tcPr>
            <w:tcW w:type="dxa" w:w="2880"/>
          </w:tcPr>
          <w:p>
            <w:r>
              <w:t>URS-030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Automated Hourly Database Backup: Backups shall execute without transaction downtime.</w:t>
            </w:r>
          </w:p>
        </w:tc>
      </w:tr>
      <w:tr>
        <w:tc>
          <w:tcPr>
            <w:tcW w:type="dxa" w:w="2880"/>
          </w:tcPr>
          <w:p>
            <w:r>
              <w:t>URS-031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Active Directory / Azure SSO: Authentication shall integrate with corporate IdP.</w:t>
            </w:r>
          </w:p>
        </w:tc>
      </w:tr>
      <w:tr>
        <w:tc>
          <w:tcPr>
            <w:tcW w:type="dxa" w:w="2880"/>
          </w:tcPr>
          <w:p>
            <w:r>
              <w:t>URS-032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Inactivity Timeout: Workstation sessions shall lock after 15 minutes of idle time.</w:t>
            </w:r>
          </w:p>
        </w:tc>
      </w:tr>
      <w:tr>
        <w:tc>
          <w:tcPr>
            <w:tcW w:type="dxa" w:w="2880"/>
          </w:tcPr>
          <w:p>
            <w:r>
              <w:t>URS-033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Encryption in Transit: All internal and external network communication shall use TLS 1.3.</w:t>
            </w:r>
          </w:p>
        </w:tc>
      </w:tr>
      <w:tr>
        <w:tc>
          <w:tcPr>
            <w:tcW w:type="dxa" w:w="2880"/>
          </w:tcPr>
          <w:p>
            <w:r>
              <w:t>URS-034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Encryption at Rest: Database volumes and exported records shall use AES-256 encryption.</w:t>
            </w:r>
          </w:p>
        </w:tc>
      </w:tr>
      <w:tr>
        <w:tc>
          <w:tcPr>
            <w:tcW w:type="dxa" w:w="2880"/>
          </w:tcPr>
          <w:p>
            <w:r>
              <w:t>URS-035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Audit Trail Immutability: Audit records shall be append-only with SHA-256 verification.</w:t>
            </w:r>
          </w:p>
        </w:tc>
      </w:tr>
      <w:tr>
        <w:tc>
          <w:tcPr>
            <w:tcW w:type="dxa" w:w="2880"/>
          </w:tcPr>
          <w:p>
            <w:r>
              <w:t>URS-036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Concurrency: Support at least 250 simultaneous active shopfloor packaging operators.</w:t>
            </w:r>
          </w:p>
        </w:tc>
      </w:tr>
      <w:tr>
        <w:tc>
          <w:tcPr>
            <w:tcW w:type="dxa" w:w="2880"/>
          </w:tcPr>
          <w:p>
            <w:r>
              <w:t>URS-037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Browser Compatibility: Responsive web client shall support Chromium and Edge enterprise builds.</w:t>
            </w:r>
          </w:p>
        </w:tc>
      </w:tr>
      <w:tr>
        <w:tc>
          <w:tcPr>
            <w:tcW w:type="dxa" w:w="2880"/>
          </w:tcPr>
          <w:p>
            <w:r>
              <w:t>URS-038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Network Resilience: Workstations shall tolerate network latency up to 150 milliseconds.</w:t>
            </w:r>
          </w:p>
        </w:tc>
      </w:tr>
      <w:tr>
        <w:tc>
          <w:tcPr>
            <w:tcW w:type="dxa" w:w="2880"/>
          </w:tcPr>
          <w:p>
            <w:r>
              <w:t>URS-039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Operating System Support: Server instances shall run on validated RHEL 9 or Windows Server 2022.</w:t>
            </w:r>
          </w:p>
        </w:tc>
      </w:tr>
      <w:tr>
        <w:tc>
          <w:tcPr>
            <w:tcW w:type="dxa" w:w="2880"/>
          </w:tcPr>
          <w:p>
            <w:r>
              <w:t>URS-040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Time Synchronization: Server clocks shall synchronize with NTP stratum 1 within 100ms.</w:t>
            </w:r>
          </w:p>
        </w:tc>
      </w:tr>
      <w:tr>
        <w:tc>
          <w:tcPr>
            <w:tcW w:type="dxa" w:w="2880"/>
          </w:tcPr>
          <w:p>
            <w:r>
              <w:t>URS-041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Crash Recovery: System crash during step execution shall recover without data corruption.</w:t>
            </w:r>
          </w:p>
        </w:tc>
      </w:tr>
      <w:tr>
        <w:tc>
          <w:tcPr>
            <w:tcW w:type="dxa" w:w="2880"/>
          </w:tcPr>
          <w:p>
            <w:r>
              <w:t>URS-042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Data Retention: All batch records and audit logs shall be retained for 25 years.</w:t>
            </w:r>
          </w:p>
        </w:tc>
      </w:tr>
      <w:tr>
        <w:tc>
          <w:tcPr>
            <w:tcW w:type="dxa" w:w="2880"/>
          </w:tcPr>
          <w:p>
            <w:r>
              <w:t>URS-043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Multi-Language Support: Shopfloor prompts shall support both English and Danish.</w:t>
            </w:r>
          </w:p>
        </w:tc>
      </w:tr>
      <w:tr>
        <w:tc>
          <w:tcPr>
            <w:tcW w:type="dxa" w:w="2880"/>
          </w:tcPr>
          <w:p>
            <w:r>
              <w:t>URS-044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Audit Trail Export: Export format shall include human-readable PDF and delimited CSV.</w:t>
            </w:r>
          </w:p>
        </w:tc>
      </w:tr>
      <w:tr>
        <w:tc>
          <w:tcPr>
            <w:tcW w:type="dxa" w:w="2880"/>
          </w:tcPr>
          <w:p>
            <w:r>
              <w:t>URS-045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Modular Scalability: System architecture shall allow modular expansion to future packaging lines.</w:t>
            </w:r>
          </w:p>
        </w:tc>
      </w:tr>
      <w:tr>
        <w:tc>
          <w:tcPr>
            <w:tcW w:type="dxa" w:w="2880"/>
          </w:tcPr>
          <w:p>
            <w:r>
              <w:t>URS-046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Antivirus Compatibility: Real-time endpoint agent protection shall not impede serial communication.</w:t>
            </w:r>
          </w:p>
        </w:tc>
      </w:tr>
      <w:tr>
        <w:tc>
          <w:tcPr>
            <w:tcW w:type="dxa" w:w="2880"/>
          </w:tcPr>
          <w:p>
            <w:r>
              <w:t>URS-047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Health Telemetry: Provide automated REST API endpoint for system operational monitoring.</w:t>
            </w:r>
          </w:p>
        </w:tc>
      </w:tr>
      <w:tr>
        <w:tc>
          <w:tcPr>
            <w:tcW w:type="dxa" w:w="2880"/>
          </w:tcPr>
          <w:p>
            <w:r>
              <w:t>URS-048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Maintenance Banner: Display scheduled downtime warning to operators 2 hours in advance.</w:t>
            </w:r>
          </w:p>
        </w:tc>
      </w:tr>
      <w:tr>
        <w:tc>
          <w:tcPr>
            <w:tcW w:type="dxa" w:w="2880"/>
          </w:tcPr>
          <w:p>
            <w:r>
              <w:t>URS-049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Offline Workstation Cache: Allow buffered local barcode scanning during 30-second network blips.</w:t>
            </w:r>
          </w:p>
        </w:tc>
      </w:tr>
      <w:tr>
        <w:tc>
          <w:tcPr>
            <w:tcW w:type="dxa" w:w="2880"/>
          </w:tcPr>
          <w:p>
            <w:r>
              <w:t>URS-050</w:t>
            </w:r>
          </w:p>
        </w:tc>
        <w:tc>
          <w:tcPr>
            <w:tcW w:type="dxa" w:w="2880"/>
          </w:tcPr>
          <w:p>
            <w:r>
              <w:t>NON-FUNCTIONAL</w:t>
            </w:r>
          </w:p>
        </w:tc>
        <w:tc>
          <w:tcPr>
            <w:tcW w:type="dxa" w:w="2880"/>
          </w:tcPr>
          <w:p>
            <w:r>
              <w:t>ALCOA+ Data Integrity: Ensure records are Attributable, Legible, Contemporaneous, Original, and Accurate.</w:t>
            </w:r>
          </w:p>
        </w:tc>
      </w:tr>
    </w:tbl>
    <w:p>
      <w:pPr>
        <w:pStyle w:val="Heading1"/>
      </w:pPr>
      <w:r>
        <w:t>4. Document Approvals &amp; Signatures</w:t>
      </w:r>
    </w:p>
    <w:p>
      <w:r>
        <w:t>• Business Owner: Sarah Jenkins — Approved 2025-02-01</w:t>
        <w:br/>
        <w:t>• IT Validation Lead: Henrik Lindqvist — Approved 2025-02-01</w:t>
        <w:br/>
        <w:t>• Quality Assurance (QA Compliance Unit): MISSING - PENDING RE-AUTHORIZATION (Simulated Gap)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NL-MES-URS-001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