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keepLines/>
      </w:pPr>
      <w:r>
        <w:rPr>
          <w:rFonts w:ascii="Calibri" w:hAnsi="Calibri"/>
          <w:b/>
          <w:i w:val="0"/>
          <w:color w:val="1F4D78"/>
          <w:sz w:val="18"/>
        </w:rPr>
        <w:t>DUMMY AUDIT SIMULATION PACKAGE | INTEGRATION DESIGN</w:t>
      </w:r>
    </w:p>
    <w:p>
      <w:pPr>
        <w:pStyle w:val="Title"/>
        <w:keepLines/>
      </w:pPr>
      <w:r>
        <w:t>Integration Specification</w:t>
      </w:r>
    </w:p>
    <w:p>
      <w:pPr>
        <w:pStyle w:val="Subtitle"/>
        <w:keepLines/>
      </w:pPr>
      <w:r>
        <w:t>MES PAS-X New Implementation | Novo Life</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DCE6F1"/>
            <w:tcMar>
              <w:top w:w="100" w:type="dxa"/>
              <w:start w:w="120" w:type="dxa"/>
              <w:bottom w:w="100" w:type="dxa"/>
              <w:end w:w="120" w:type="dxa"/>
            </w:tcMar>
          </w:tcPr>
          <w:p>
            <w:r>
              <w:rPr>
                <w:rFonts w:ascii="Calibri" w:hAnsi="Calibri"/>
                <w:b/>
                <w:i w:val="0"/>
                <w:color w:val="0B2545"/>
                <w:sz w:val="17"/>
              </w:rPr>
              <w:t xml:space="preserve">Use limitation: </w:t>
            </w:r>
            <w:r>
              <w:rPr>
                <w:rFonts w:ascii="Calibri" w:hAnsi="Calibri"/>
                <w:b w:val="0"/>
                <w:i w:val="0"/>
                <w:color w:val="202020"/>
                <w:sz w:val="17"/>
              </w:rPr>
              <w:t>This controlled dummy specification defines planned logical interface contracts only. It contains no live endpoint, credential, payload, environment, supplier or executed verification evidence.</w:t>
            </w:r>
          </w:p>
        </w:tc>
      </w:tr>
    </w:tbl>
    <w:p>
      <w:pPr>
        <w:spacing w:after="0"/>
      </w:pPr>
    </w:p>
    <w:p>
      <w:pPr>
        <w:pStyle w:val="Heading2"/>
        <w:keepNext/>
        <w:keepLines/>
      </w:pPr>
      <w:r>
        <w:t>Document control</w:t>
      </w:r>
    </w:p>
    <w:tbl>
      <w:tblPr>
        <w:tblStyle w:val="TableGrid"/>
        <w:tblW w:type="auto" w:w="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Control field</w:t>
            </w:r>
          </w:p>
        </w:tc>
        <w:tc>
          <w:tcPr>
            <w:tcW w:type="dxa" w:w="696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Value</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Document ID</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NL-MES-IS-001</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Version</w:t>
            </w:r>
          </w:p>
        </w:tc>
        <w:tc>
          <w:tcPr>
            <w:tcW w:type="dxa" w:w="6960"/>
            <w:vAlign w:val="top"/>
            <w:tcMar>
              <w:top w:w="70" w:type="dxa"/>
              <w:start w:w="85" w:type="dxa"/>
              <w:bottom w:w="70" w:type="dxa"/>
              <w:end w:w="85" w:type="dxa"/>
            </w:tcMar>
            <w:shd w:fill="EEF4F9"/>
          </w:tcPr>
          <w:p>
            <w:pPr>
              <w:spacing w:before="0" w:after="0" w:line="240" w:lineRule="auto"/>
            </w:pPr>
            <w:r>
              <w:rPr>
                <w:rFonts w:ascii="Calibri" w:hAnsi="Calibri"/>
                <w:color w:val="202020"/>
                <w:sz w:val="16"/>
              </w:rPr>
              <w:t>0.1</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Document type</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Integration Specification</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Package classification</w:t>
            </w:r>
          </w:p>
        </w:tc>
        <w:tc>
          <w:tcPr>
            <w:tcW w:type="dxa" w:w="6960"/>
            <w:vAlign w:val="top"/>
            <w:tcMar>
              <w:top w:w="70" w:type="dxa"/>
              <w:start w:w="85" w:type="dxa"/>
              <w:bottom w:w="70" w:type="dxa"/>
              <w:end w:w="85" w:type="dxa"/>
            </w:tcMar>
            <w:shd w:fill="EEF4F9"/>
          </w:tcPr>
          <w:p>
            <w:pPr>
              <w:spacing w:before="0" w:after="0" w:line="240" w:lineRule="auto"/>
            </w:pPr>
            <w:r>
              <w:rPr>
                <w:rFonts w:ascii="Calibri" w:hAnsi="Calibri"/>
                <w:color w:val="202020"/>
                <w:sz w:val="16"/>
              </w:rPr>
              <w:t>DUMMY - HACKATHON / TRAINING / DEMO ONLY</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Lifecycle status</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Simulated Reviewed and Approved for Demo/Training Use Only.</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System</w:t>
            </w:r>
          </w:p>
        </w:tc>
        <w:tc>
          <w:tcPr>
            <w:tcW w:type="dxa" w:w="6960"/>
            <w:vAlign w:val="top"/>
            <w:tcMar>
              <w:top w:w="70" w:type="dxa"/>
              <w:start w:w="85" w:type="dxa"/>
              <w:bottom w:w="70" w:type="dxa"/>
              <w:end w:w="85" w:type="dxa"/>
            </w:tcMar>
            <w:shd w:fill="EEF4F9"/>
          </w:tcPr>
          <w:p>
            <w:pPr>
              <w:spacing w:before="0" w:after="0" w:line="240" w:lineRule="auto"/>
            </w:pPr>
            <w:r>
              <w:rPr>
                <w:rFonts w:ascii="Calibri" w:hAnsi="Calibri"/>
                <w:color w:val="202020"/>
                <w:sz w:val="16"/>
              </w:rPr>
              <w:t>MES PAS-X</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Company</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Novo Life (fictional pharmaceutical organisation)</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Implementation</w:t>
            </w:r>
          </w:p>
        </w:tc>
        <w:tc>
          <w:tcPr>
            <w:tcW w:type="dxa" w:w="6960"/>
            <w:vAlign w:val="top"/>
            <w:tcMar>
              <w:top w:w="70" w:type="dxa"/>
              <w:start w:w="85" w:type="dxa"/>
              <w:bottom w:w="70" w:type="dxa"/>
              <w:end w:w="85" w:type="dxa"/>
            </w:tcMar>
            <w:shd w:fill="EEF4F9"/>
          </w:tcPr>
          <w:p>
            <w:pPr>
              <w:spacing w:before="0" w:after="0" w:line="240" w:lineRule="auto"/>
            </w:pPr>
            <w:r>
              <w:rPr>
                <w:rFonts w:ascii="Calibri" w:hAnsi="Calibri"/>
                <w:color w:val="202020"/>
                <w:sz w:val="16"/>
              </w:rPr>
              <w:t>New GxP-impacting MES implementation with seven conceptual interface families</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Prepared date</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10 Aug 2026</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Document owner</w:t>
            </w:r>
          </w:p>
        </w:tc>
        <w:tc>
          <w:tcPr>
            <w:tcW w:type="dxa" w:w="6960"/>
            <w:vAlign w:val="top"/>
            <w:tcMar>
              <w:top w:w="70" w:type="dxa"/>
              <w:start w:w="85" w:type="dxa"/>
              <w:bottom w:w="70" w:type="dxa"/>
              <w:end w:w="85" w:type="dxa"/>
            </w:tcMar>
            <w:shd w:fill="EEF4F9"/>
          </w:tcPr>
          <w:p>
            <w:pPr>
              <w:spacing w:before="0" w:after="0" w:line="240" w:lineRule="auto"/>
            </w:pPr>
            <w:r>
              <w:rPr>
                <w:rFonts w:ascii="Calibri" w:hAnsi="Calibri"/>
                <w:color w:val="202020"/>
                <w:sz w:val="16"/>
              </w:rPr>
              <w:t>Fictional IT Interface Owner role</w:t>
            </w:r>
          </w:p>
        </w:tc>
      </w:tr>
    </w:tbl>
    <w:p>
      <w:pPr>
        <w:spacing w:after="0"/>
      </w:pPr>
    </w:p>
    <w:p>
      <w:pPr>
        <w:pStyle w:val="Heading2"/>
        <w:keepNext/>
        <w:keepLines/>
      </w:pPr>
      <w:r>
        <w:t>Change log</w:t>
      </w:r>
    </w:p>
    <w:tbl>
      <w:tblPr>
        <w:tblStyle w:val="TableGrid"/>
        <w:tblW w:type="auto" w:w="0"/>
        <w:jc w:val="left"/>
        <w:tblLayout w:type="fixed"/>
        <w:tblLook w:firstColumn="1" w:firstRow="1" w:lastColumn="0" w:lastRow="0" w:noHBand="0" w:noVBand="1" w:val="04A0"/>
        <w:tblInd w:w="120" w:type="dxa"/>
      </w:tblPr>
      <w:tblGrid>
        <w:gridCol w:w="850"/>
        <w:gridCol w:w="1300"/>
        <w:gridCol w:w="2200"/>
        <w:gridCol w:w="5010"/>
      </w:tblGrid>
      <w:tr>
        <w:trPr>
          <w:tblHeader w:val="true"/>
          <w:cantSplit/>
        </w:trPr>
        <w:tc>
          <w:tcPr>
            <w:tcW w:type="dxa" w:w="85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Version</w:t>
            </w:r>
          </w:p>
        </w:tc>
        <w:tc>
          <w:tcPr>
            <w:tcW w:type="dxa" w:w="130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Date</w:t>
            </w:r>
          </w:p>
        </w:tc>
        <w:tc>
          <w:tcPr>
            <w:tcW w:type="dxa" w:w="220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Authoring role</w:t>
            </w:r>
          </w:p>
        </w:tc>
        <w:tc>
          <w:tcPr>
            <w:tcW w:type="dxa" w:w="501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Change description</w:t>
            </w:r>
          </w:p>
        </w:tc>
      </w:tr>
      <w:tr>
        <w:trPr>
          <w:trHeight w:hRule="atLeast"/>
          <w:cantSplit/>
        </w:trPr>
        <w:tc>
          <w:tcPr>
            <w:tcW w:type="dxa" w:w="85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6"/>
              </w:rPr>
              <w:t>10 Aug 2026</w:t>
            </w:r>
          </w:p>
        </w:tc>
        <w:tc>
          <w:tcPr>
            <w:tcW w:type="dxa" w:w="2200"/>
            <w:vAlign w:val="top"/>
            <w:tcMar>
              <w:top w:w="70" w:type="dxa"/>
              <w:start w:w="85" w:type="dxa"/>
              <w:bottom w:w="70" w:type="dxa"/>
              <w:end w:w="85" w:type="dxa"/>
            </w:tcMar>
          </w:tcPr>
          <w:p>
            <w:pPr>
              <w:spacing w:before="0" w:after="0" w:line="240" w:lineRule="auto"/>
            </w:pPr>
            <w:r>
              <w:rPr>
                <w:rFonts w:ascii="Calibri" w:hAnsi="Calibri"/>
                <w:color w:val="202020"/>
                <w:sz w:val="16"/>
              </w:rPr>
              <w:t>Fictional Integration Architect</w:t>
            </w:r>
          </w:p>
        </w:tc>
        <w:tc>
          <w:tcPr>
            <w:tcW w:type="dxa" w:w="5010"/>
            <w:vAlign w:val="top"/>
            <w:tcMar>
              <w:top w:w="70" w:type="dxa"/>
              <w:start w:w="85" w:type="dxa"/>
              <w:bottom w:w="70" w:type="dxa"/>
              <w:end w:w="85" w:type="dxa"/>
            </w:tcMar>
          </w:tcPr>
          <w:p>
            <w:pPr>
              <w:spacing w:before="0" w:after="0" w:line="240" w:lineRule="auto"/>
            </w:pPr>
            <w:r>
              <w:rPr>
                <w:rFonts w:ascii="Calibri" w:hAnsi="Calibri"/>
                <w:color w:val="202020"/>
                <w:sz w:val="16"/>
              </w:rPr>
              <w:t>Initial dummy Integration Specification with seven interface families and complete package traceability.</w:t>
            </w:r>
          </w:p>
        </w:tc>
      </w:tr>
    </w:tbl>
    <w:p>
      <w:pPr>
        <w:spacing w:after="0"/>
      </w:pPr>
    </w:p>
    <w:p>
      <w:r>
        <w:br w:type="page"/>
      </w:r>
    </w:p>
    <w:p>
      <w:pPr>
        <w:pStyle w:val="Heading2"/>
        <w:keepNext/>
        <w:keepLines/>
      </w:pPr>
      <w:r>
        <w:t>Simulated review and approval</w:t>
      </w:r>
    </w:p>
    <w:tbl>
      <w:tblPr>
        <w:tblStyle w:val="TableGrid"/>
        <w:tblW w:type="auto" w:w="0"/>
        <w:jc w:val="left"/>
        <w:tblLayout w:type="fixed"/>
        <w:tblLook w:firstColumn="1" w:firstRow="1" w:lastColumn="0" w:lastRow="0" w:noHBand="0" w:noVBand="1" w:val="04A0"/>
        <w:tblInd w:w="120" w:type="dxa"/>
      </w:tblPr>
      <w:tblGrid>
        <w:gridCol w:w="1900"/>
        <w:gridCol w:w="2760"/>
        <w:gridCol w:w="2550"/>
        <w:gridCol w:w="2150"/>
      </w:tblGrid>
      <w:tr>
        <w:trPr>
          <w:tblHeader w:val="true"/>
          <w:cantSplit/>
        </w:trPr>
        <w:tc>
          <w:tcPr>
            <w:tcW w:type="dxa" w:w="19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Role</w:t>
            </w:r>
          </w:p>
        </w:tc>
        <w:tc>
          <w:tcPr>
            <w:tcW w:type="dxa" w:w="27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Review / approval purpose</w:t>
            </w:r>
          </w:p>
        </w:tc>
        <w:tc>
          <w:tcPr>
            <w:tcW w:type="dxa" w:w="25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Simulation evidence</w:t>
            </w:r>
          </w:p>
        </w:tc>
        <w:tc>
          <w:tcPr>
            <w:tcW w:type="dxa" w:w="21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Status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Fictional IT Interface Owner</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Confirms logical interface purpose, ownership model and lifecycle obligations.</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4"/>
              </w:rPr>
              <w:t>Simulated Reviewed and Approved for Demo/Training Use Only.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Fictional IT Solution Architect</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Confirms solution boundary, contract structure, reuse and downstream design allocation.</w:t>
            </w:r>
          </w:p>
        </w:tc>
        <w:tc>
          <w:tcPr>
            <w:tcW w:type="dxa" w:w="25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Simulated Reviewed and Approved for Demo/Training Use Only.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Fictional Quality Assurance Reviewer</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Confirms GxP, data-integrity, risk and traceability coverage.</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4"/>
              </w:rPr>
              <w:t>Simulated Reviewed and Approved for Demo/Training Use Only.</w:t>
            </w:r>
          </w:p>
        </w:tc>
      </w:tr>
    </w:tbl>
    <w:p>
      <w:pPr>
        <w:spacing w:after="0"/>
      </w:pPr>
    </w:p>
    <w:p>
      <w:pPr>
        <w:pStyle w:val="Heading1"/>
        <w:keepNext/>
        <w:keepLines/>
      </w:pPr>
      <w:r>
        <w:t>Contents</w:t>
      </w:r>
    </w:p>
    <w:tbl>
      <w:tblPr>
        <w:tblStyle w:val="TableGrid"/>
        <w:tblW w:type="auto" w:w="0"/>
        <w:jc w:val="left"/>
        <w:tblLayout w:type="fixed"/>
        <w:tblLook w:firstColumn="1" w:firstRow="1" w:lastColumn="0" w:lastRow="0" w:noHBand="0" w:noVBand="1" w:val="04A0"/>
        <w:tblInd w:w="120" w:type="dxa"/>
      </w:tblPr>
      <w:tblGrid>
        <w:gridCol w:w="1100"/>
        <w:gridCol w:w="8260"/>
      </w:tblGrid>
      <w:tr>
        <w:trPr>
          <w:tblHeader w:val="true"/>
          <w:cantSplit/>
        </w:trPr>
        <w:tc>
          <w:tcPr>
            <w:tcW w:type="dxa" w:w="110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Section</w:t>
            </w:r>
          </w:p>
        </w:tc>
        <w:tc>
          <w:tcPr>
            <w:tcW w:type="dxa" w:w="8260"/>
            <w:shd w:fill="0B2545"/>
            <w:tcMar>
              <w:top w:w="75" w:type="dxa"/>
              <w:start w:w="80" w:type="dxa"/>
              <w:bottom w:w="75" w:type="dxa"/>
              <w:end w:w="80" w:type="dxa"/>
            </w:tcMar>
            <w:vAlign w:val="center"/>
          </w:tcPr>
          <w:p>
            <w:pPr>
              <w:spacing w:before="0" w:after="0" w:line="240" w:lineRule="auto"/>
            </w:pPr>
            <w:r>
              <w:rPr>
                <w:rFonts w:ascii="Calibri" w:hAnsi="Calibri"/>
                <w:b/>
                <w:color w:val="FFFFFF"/>
                <w:sz w:val="16"/>
              </w:rPr>
              <w:t>Title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Purpose, scope and lifecycle relationship</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2</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Controlled sources and template adaptation</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3</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Roles, ownership and specification structure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4</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Solution and data-flow overview</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5</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Common interface architecture and control model</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6</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Detailed integration requirements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7</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Logical resources, inputs, mappings and outputs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8</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Environment values, policies and dependencies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9</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Monitoring, error handling, reconciliation and recovery</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10</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Risk-control realization</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11</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Requirement and live traceability update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12</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Verification, deployment and operational handoff</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13</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Assumptions, Verify items and quality gate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6"/>
              </w:rPr>
              <w:t>14</w:t>
            </w:r>
          </w:p>
        </w:tc>
        <w:tc>
          <w:tcPr>
            <w:tcW w:type="dxa" w:w="8260"/>
            <w:vAlign w:val="top"/>
            <w:tcMar>
              <w:top w:w="70" w:type="dxa"/>
              <w:start w:w="85" w:type="dxa"/>
              <w:bottom w:w="70" w:type="dxa"/>
              <w:end w:w="85" w:type="dxa"/>
            </w:tcMar>
            <w:shd w:fill="EEF4F9"/>
          </w:tcPr>
          <w:p>
            <w:pPr>
              <w:spacing w:before="0" w:after="0" w:line="240" w:lineRule="auto"/>
            </w:pPr>
            <w:r>
              <w:rPr>
                <w:rFonts w:ascii="Calibri" w:hAnsi="Calibri"/>
                <w:color w:val="202020"/>
                <w:sz w:val="16"/>
              </w:rPr>
              <w:t>References, enclosures, glossary and final status</w:t>
            </w:r>
          </w:p>
        </w:tc>
      </w:tr>
    </w:tbl>
    <w:p>
      <w:pPr>
        <w:spacing w:after="0"/>
      </w:pPr>
    </w:p>
    <w:p>
      <w:pPr>
        <w:pStyle w:val="Heading1"/>
        <w:keepNext/>
        <w:keepLines/>
      </w:pPr>
      <w:r>
        <w:t>Executive summary</w:t>
      </w:r>
    </w:p>
    <w:p>
      <w:pPr>
        <w:keepLines/>
      </w:pPr>
      <w:r>
        <w:t>NL-MES-IS-001 converts the seven conceptual MES interface families into uniquely identified, verifiable integration requirements and logical data contracts. It addresses providers/consumers, message resources, inputs, mappings, outputs, identity and security, sequencing, acknowledgement, retry/replay, error/quarantine/reconciliation, monitoring, versioning, recovery and lifecycle ownership without inventing technology-specific values.</w:t>
      </w:r>
    </w:p>
    <w:p>
      <w:pPr>
        <w:keepLines/>
      </w:pPr>
      <w:r>
        <w:t>The document applies the approved Q0723783 API template to a technology-neutral integration specification because the target platform, API/messaging patterns, endpoints and detailed schemas are not yet approved. These values remain controlled Verify items for NL-MES-DS-001 and NL-MES-CS-001 and must be reviewed through NL-MES-DRR-001 before acceptance verification.</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FFF2CC"/>
            <w:tcMar>
              <w:top w:w="100" w:type="dxa"/>
              <w:start w:w="120" w:type="dxa"/>
              <w:bottom w:w="100" w:type="dxa"/>
              <w:end w:w="120" w:type="dxa"/>
            </w:tcMar>
          </w:tcPr>
          <w:p>
            <w:r>
              <w:rPr>
                <w:rFonts w:ascii="Calibri" w:hAnsi="Calibri"/>
                <w:b/>
                <w:i w:val="0"/>
                <w:color w:val="0B2545"/>
                <w:sz w:val="17"/>
              </w:rPr>
              <w:t xml:space="preserve">Controlled interpretation: </w:t>
            </w:r>
            <w:r>
              <w:rPr>
                <w:rFonts w:ascii="Calibri" w:hAnsi="Calibri"/>
                <w:b w:val="0"/>
                <w:i w:val="0"/>
                <w:color w:val="202020"/>
                <w:sz w:val="17"/>
              </w:rPr>
              <w:t>Simulated Reviewed and Approved for Demo/Training Use Only. The status applies only to this training artifact; it does not demonstrate implementation, interface availability, supplier evidence, verification execution or operational release.</w:t>
            </w:r>
          </w:p>
        </w:tc>
      </w:tr>
    </w:tbl>
    <w:p>
      <w:pPr>
        <w:spacing w:after="0"/>
      </w:pPr>
    </w:p>
    <w:p>
      <w:pPr>
        <w:pStyle w:val="Heading1"/>
        <w:keepNext/>
        <w:keepLines/>
      </w:pPr>
      <w:r>
        <w:t>1 Purpose, scope and lifecycle relationship</w:t>
      </w:r>
    </w:p>
    <w:p>
      <w:pPr>
        <w:pStyle w:val="Heading2"/>
        <w:keepNext/>
        <w:keepLines/>
      </w:pPr>
      <w:r>
        <w:t>1.1 Purpose</w:t>
      </w:r>
    </w:p>
    <w:p>
      <w:pPr>
        <w:keepLines/>
      </w:pPr>
      <w:r>
        <w:t>The purpose of this Integration Specification is to describe the planned functional and logical design of the interfaces by which MES PAS-X exchanges data or service state with ERP, LIMS, automation, historian/reporting, enterprise identity, authoritative time and operational services. Each integration requirement has a unique INT-MES-[IF]-### identifier and an objective acceptance focus.</w:t>
      </w:r>
    </w:p>
    <w:p>
      <w:pPr>
        <w:pStyle w:val="Heading2"/>
        <w:keepNext/>
        <w:keepLines/>
      </w:pPr>
      <w:r>
        <w:t>1.2 Scope</w:t>
      </w:r>
    </w:p>
    <w:p>
      <w:pPr>
        <w:pStyle w:val="ListBullet"/>
        <w:spacing w:after="40" w:line="252" w:lineRule="auto"/>
        <w:keepLines/>
      </w:pPr>
      <w:r>
        <w:rPr>
          <w:rFonts w:ascii="Calibri" w:hAnsi="Calibri"/>
          <w:b w:val="0"/>
          <w:i w:val="0"/>
          <w:color w:val="202020"/>
          <w:sz w:val="18"/>
        </w:rPr>
        <w:t>Seven existing interface families and their providers, consumers, directions, logical resources/messages and data ownership assumptions.</w:t>
      </w:r>
    </w:p>
    <w:p>
      <w:pPr>
        <w:pStyle w:val="ListBullet"/>
        <w:spacing w:after="40" w:line="252" w:lineRule="auto"/>
        <w:keepLines/>
      </w:pPr>
      <w:r>
        <w:rPr>
          <w:rFonts w:ascii="Calibri" w:hAnsi="Calibri"/>
          <w:b w:val="0"/>
          <w:i w:val="0"/>
          <w:color w:val="202020"/>
          <w:sz w:val="18"/>
        </w:rPr>
        <w:t>Logical field groups, required context, validation, transformation/mapping and output/acknowledgement states.</w:t>
      </w:r>
    </w:p>
    <w:p>
      <w:pPr>
        <w:pStyle w:val="ListBullet"/>
        <w:spacing w:after="40" w:line="252" w:lineRule="auto"/>
        <w:keepLines/>
      </w:pPr>
      <w:r>
        <w:rPr>
          <w:rFonts w:ascii="Calibri" w:hAnsi="Calibri"/>
          <w:b w:val="0"/>
          <w:i w:val="0"/>
          <w:color w:val="202020"/>
          <w:sz w:val="18"/>
        </w:rPr>
        <w:t>Authentication, authorisation, encryption intent, sequencing, duplicate/idempotency, timeout, retry/replay, quarantine and reconciliation controls.</w:t>
      </w:r>
    </w:p>
    <w:p>
      <w:pPr>
        <w:pStyle w:val="ListBullet"/>
        <w:spacing w:after="40" w:line="252" w:lineRule="auto"/>
        <w:keepLines/>
      </w:pPr>
      <w:r>
        <w:rPr>
          <w:rFonts w:ascii="Calibri" w:hAnsi="Calibri"/>
          <w:b w:val="0"/>
          <w:i w:val="0"/>
          <w:color w:val="202020"/>
          <w:sz w:val="18"/>
        </w:rPr>
        <w:t>Monitoring, auditability, version/deprecation, deployment, backup/recovery, support and retirement handoffs.</w:t>
      </w:r>
    </w:p>
    <w:p>
      <w:pPr>
        <w:pStyle w:val="ListBullet"/>
        <w:spacing w:after="40" w:line="252" w:lineRule="auto"/>
        <w:keepLines/>
      </w:pPr>
      <w:r>
        <w:rPr>
          <w:rFonts w:ascii="Calibri" w:hAnsi="Calibri"/>
          <w:b w:val="0"/>
          <w:i w:val="0"/>
          <w:color w:val="202020"/>
          <w:sz w:val="18"/>
        </w:rPr>
        <w:t>Traceability to all 50 URS, 50 FS and 26 shared risks, with direct integration allocation or an explicit no-direct-interface state.</w:t>
      </w:r>
    </w:p>
    <w:p>
      <w:pPr>
        <w:pStyle w:val="Heading2"/>
        <w:keepNext/>
        <w:keepLines/>
      </w:pPr>
      <w:r>
        <w:t>1.3 Exclusions</w:t>
      </w:r>
    </w:p>
    <w:p>
      <w:pPr>
        <w:pStyle w:val="ListBullet"/>
        <w:spacing w:after="40" w:line="252" w:lineRule="auto"/>
        <w:keepLines/>
      </w:pPr>
      <w:r>
        <w:rPr>
          <w:rFonts w:ascii="Calibri" w:hAnsi="Calibri"/>
          <w:b w:val="0"/>
          <w:i w:val="0"/>
          <w:color w:val="202020"/>
          <w:sz w:val="18"/>
        </w:rPr>
        <w:t>No actual URL, endpoint, port, protocol, certificate, secret, account, repository, schema file, vendor payload or environment value is included.</w:t>
      </w:r>
    </w:p>
    <w:p>
      <w:pPr>
        <w:pStyle w:val="ListBullet"/>
        <w:spacing w:after="40" w:line="252" w:lineRule="auto"/>
        <w:keepLines/>
      </w:pPr>
      <w:r>
        <w:rPr>
          <w:rFonts w:ascii="Calibri" w:hAnsi="Calibri"/>
          <w:b w:val="0"/>
          <w:i w:val="0"/>
          <w:color w:val="202020"/>
          <w:sz w:val="18"/>
        </w:rPr>
        <w:t>No final integration platform, API type, synchronous/asynchronous pattern, product release, throughput, response-time, timeout, retry, retention, RTO/RPO or SLO value is asserted.</w:t>
      </w:r>
    </w:p>
    <w:p>
      <w:pPr>
        <w:pStyle w:val="ListBullet"/>
        <w:spacing w:after="40" w:line="252" w:lineRule="auto"/>
        <w:keepLines/>
      </w:pPr>
      <w:r>
        <w:rPr>
          <w:rFonts w:ascii="Calibri" w:hAnsi="Calibri"/>
          <w:b w:val="0"/>
          <w:i w:val="0"/>
          <w:color w:val="202020"/>
          <w:sz w:val="18"/>
        </w:rPr>
        <w:t>No detailed technical topology, code, configuration baseline, executed test, defect/deviation, change/incident or release evidence is represented.</w:t>
      </w:r>
    </w:p>
    <w:p>
      <w:pPr>
        <w:pStyle w:val="ListBullet"/>
        <w:spacing w:after="40" w:line="252" w:lineRule="auto"/>
        <w:keepLines/>
      </w:pPr>
      <w:r>
        <w:rPr>
          <w:rFonts w:ascii="Calibri" w:hAnsi="Calibri"/>
          <w:b w:val="0"/>
          <w:i w:val="0"/>
          <w:color w:val="202020"/>
          <w:sz w:val="18"/>
        </w:rPr>
        <w:t>Interface terms of service, permanent ownership, consumer inventory, deployment pipeline and operational procedures remain downstream controlled records.</w:t>
      </w:r>
    </w:p>
    <w:p>
      <w:pPr>
        <w:pStyle w:val="Heading2"/>
        <w:keepNext/>
        <w:keepLines/>
      </w:pPr>
      <w:r>
        <w:t>1.4 Lifecycle relationship</w:t>
      </w:r>
    </w:p>
    <w:tbl>
      <w:tblPr>
        <w:tblStyle w:val="TableGrid"/>
        <w:tblW w:type="auto" w:w="0"/>
        <w:jc w:val="left"/>
        <w:tblLayout w:type="fixed"/>
        <w:tblLook w:firstColumn="1" w:firstRow="1" w:lastColumn="0" w:lastRow="0" w:noHBand="0" w:noVBand="1" w:val="04A0"/>
        <w:tblInd w:w="120" w:type="dxa"/>
      </w:tblPr>
      <w:tblGrid>
        <w:gridCol w:w="1700"/>
        <w:gridCol w:w="2400"/>
        <w:gridCol w:w="5260"/>
      </w:tblGrid>
      <w:tr>
        <w:trPr>
          <w:tblHeader w:val="true"/>
          <w:cantSplit/>
        </w:trPr>
        <w:tc>
          <w:tcPr>
            <w:tcW w:type="dxa" w:w="17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Relationship</w:t>
            </w:r>
          </w:p>
        </w:tc>
        <w:tc>
          <w:tcPr>
            <w:tcW w:type="dxa" w:w="24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Document / record</w:t>
            </w:r>
          </w:p>
        </w:tc>
        <w:tc>
          <w:tcPr>
            <w:tcW w:type="dxa" w:w="52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How this IS links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Governing plan</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NL-MES-MLGP-001</w:t>
            </w:r>
          </w:p>
        </w:tc>
        <w:tc>
          <w:tcPr>
            <w:tcW w:type="dxa" w:w="5260"/>
            <w:vAlign w:val="top"/>
            <w:tcMar>
              <w:top w:w="70" w:type="dxa"/>
              <w:start w:w="85" w:type="dxa"/>
              <w:bottom w:w="70" w:type="dxa"/>
              <w:end w:w="85" w:type="dxa"/>
            </w:tcMar>
          </w:tcPr>
          <w:p>
            <w:pPr>
              <w:spacing w:before="0" w:after="0" w:line="240" w:lineRule="auto"/>
            </w:pPr>
            <w:r>
              <w:rPr>
                <w:rFonts w:ascii="Calibri" w:hAnsi="Calibri"/>
                <w:color w:val="202020"/>
                <w:sz w:val="15"/>
              </w:rPr>
              <w:t>Provides naming, lifecycle sequence, trace fields and gates.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System context</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NL-MES-SYS-001</w:t>
            </w:r>
          </w:p>
        </w:tc>
        <w:tc>
          <w:tcPr>
            <w:tcW w:type="dxa" w:w="5260"/>
            <w:vAlign w:val="top"/>
            <w:tcMar>
              <w:top w:w="70" w:type="dxa"/>
              <w:start w:w="85" w:type="dxa"/>
              <w:bottom w:w="70" w:type="dxa"/>
              <w:end w:w="85" w:type="dxa"/>
            </w:tcMar>
            <w:shd w:fill="EEF4F9"/>
          </w:tcPr>
          <w:p>
            <w:pPr>
              <w:spacing w:before="0" w:after="0" w:line="240" w:lineRule="auto"/>
            </w:pPr>
            <w:r>
              <w:rPr>
                <w:rFonts w:ascii="Calibri" w:hAnsi="Calibri"/>
                <w:color w:val="202020"/>
                <w:sz w:val="15"/>
              </w:rPr>
              <w:t>Provides seven interface anchors, components, environments and conceptual flows.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Implementation plan</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NL-MES-IPLAN-001</w:t>
            </w:r>
          </w:p>
        </w:tc>
        <w:tc>
          <w:tcPr>
            <w:tcW w:type="dxa" w:w="5260"/>
            <w:vAlign w:val="top"/>
            <w:tcMar>
              <w:top w:w="70" w:type="dxa"/>
              <w:start w:w="85" w:type="dxa"/>
              <w:bottom w:w="70" w:type="dxa"/>
              <w:end w:w="85" w:type="dxa"/>
            </w:tcMar>
          </w:tcPr>
          <w:p>
            <w:pPr>
              <w:spacing w:before="0" w:after="0" w:line="240" w:lineRule="auto"/>
            </w:pPr>
            <w:r>
              <w:rPr>
                <w:rFonts w:ascii="Calibri" w:hAnsi="Calibri"/>
                <w:color w:val="202020"/>
                <w:sz w:val="15"/>
              </w:rPr>
              <w:t>Places IS in Design phase P2 / W07-W13 and before final design review.</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Requirements</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NL-MES-URS-001</w:t>
            </w:r>
          </w:p>
        </w:tc>
        <w:tc>
          <w:tcPr>
            <w:tcW w:type="dxa" w:w="5260"/>
            <w:vAlign w:val="top"/>
            <w:tcMar>
              <w:top w:w="70" w:type="dxa"/>
              <w:start w:w="85" w:type="dxa"/>
              <w:bottom w:w="70" w:type="dxa"/>
              <w:end w:w="85" w:type="dxa"/>
            </w:tcMar>
            <w:shd w:fill="EEF4F9"/>
          </w:tcPr>
          <w:p>
            <w:pPr>
              <w:spacing w:before="0" w:after="0" w:line="240" w:lineRule="auto"/>
            </w:pPr>
            <w:r>
              <w:rPr>
                <w:rFonts w:ascii="Calibri" w:hAnsi="Calibri"/>
                <w:color w:val="202020"/>
                <w:sz w:val="15"/>
              </w:rPr>
              <w:t>Provides the 50 controlled URS; nine integration URS plus supporting cross-cutting requirements.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Risk</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NL-MES-ITRA-001 / ITRRA-001</w:t>
            </w:r>
          </w:p>
        </w:tc>
        <w:tc>
          <w:tcPr>
            <w:tcW w:type="dxa" w:w="5260"/>
            <w:vAlign w:val="top"/>
            <w:tcMar>
              <w:top w:w="70" w:type="dxa"/>
              <w:start w:w="85" w:type="dxa"/>
              <w:bottom w:w="70" w:type="dxa"/>
              <w:end w:w="85" w:type="dxa"/>
            </w:tcMar>
          </w:tcPr>
          <w:p>
            <w:pPr>
              <w:spacing w:before="0" w:after="0" w:line="240" w:lineRule="auto"/>
            </w:pPr>
            <w:r>
              <w:rPr>
                <w:rFonts w:ascii="Calibri" w:hAnsi="Calibri"/>
                <w:color w:val="202020"/>
                <w:sz w:val="15"/>
              </w:rPr>
              <w:t>Provides 26 shared risks and requirement-level working rigor.</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Supplier</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NL-MES-SUPA-001</w:t>
            </w:r>
          </w:p>
        </w:tc>
        <w:tc>
          <w:tcPr>
            <w:tcW w:type="dxa" w:w="5260"/>
            <w:vAlign w:val="top"/>
            <w:tcMar>
              <w:top w:w="70" w:type="dxa"/>
              <w:start w:w="85" w:type="dxa"/>
              <w:bottom w:w="70" w:type="dxa"/>
              <w:end w:w="85" w:type="dxa"/>
            </w:tcMar>
            <w:shd w:fill="EEF4F9"/>
          </w:tcPr>
          <w:p>
            <w:pPr>
              <w:spacing w:before="0" w:after="0" w:line="240" w:lineRule="auto"/>
            </w:pPr>
            <w:r>
              <w:rPr>
                <w:rFonts w:ascii="Calibri" w:hAnsi="Calibri"/>
                <w:color w:val="202020"/>
                <w:sz w:val="15"/>
              </w:rPr>
              <w:t>Provides open supplier/interface evidence and agreement dependencies.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Functional design</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NL-MES-FS-001</w:t>
            </w:r>
          </w:p>
        </w:tc>
        <w:tc>
          <w:tcPr>
            <w:tcW w:type="dxa" w:w="5260"/>
            <w:vAlign w:val="top"/>
            <w:tcMar>
              <w:top w:w="70" w:type="dxa"/>
              <w:start w:w="85" w:type="dxa"/>
              <w:bottom w:w="70" w:type="dxa"/>
              <w:end w:w="85" w:type="dxa"/>
            </w:tcMar>
          </w:tcPr>
          <w:p>
            <w:pPr>
              <w:spacing w:before="0" w:after="0" w:line="240" w:lineRule="auto"/>
            </w:pPr>
            <w:r>
              <w:rPr>
                <w:rFonts w:ascii="Calibri" w:hAnsi="Calibri"/>
                <w:color w:val="202020"/>
                <w:sz w:val="15"/>
              </w:rPr>
              <w:t>Provides FS-MES-001 to 050 and common interface state/control behavior.</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Downstream</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NL-MES-DS-001 / CS-001 / DIA-001</w:t>
            </w:r>
          </w:p>
        </w:tc>
        <w:tc>
          <w:tcPr>
            <w:tcW w:type="dxa" w:w="5260"/>
            <w:vAlign w:val="top"/>
            <w:tcMar>
              <w:top w:w="70" w:type="dxa"/>
              <w:start w:w="85" w:type="dxa"/>
              <w:bottom w:w="70" w:type="dxa"/>
              <w:end w:w="85" w:type="dxa"/>
            </w:tcMar>
            <w:shd w:fill="EEF4F9"/>
          </w:tcPr>
          <w:p>
            <w:pPr>
              <w:spacing w:before="0" w:after="0" w:line="240" w:lineRule="auto"/>
            </w:pPr>
            <w:r>
              <w:rPr>
                <w:rFonts w:ascii="Calibri" w:hAnsi="Calibri"/>
                <w:color w:val="202020"/>
                <w:sz w:val="15"/>
              </w:rPr>
              <w:t>Must allocate technology, configuration, schemas/mappings and data-integrity implementation.</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Review / trace / test</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NL-MES-DRR-001 / TRM-001 / verification records</w:t>
            </w:r>
          </w:p>
        </w:tc>
        <w:tc>
          <w:tcPr>
            <w:tcW w:type="dxa" w:w="5260"/>
            <w:vAlign w:val="top"/>
            <w:tcMar>
              <w:top w:w="70" w:type="dxa"/>
              <w:start w:w="85" w:type="dxa"/>
              <w:bottom w:w="70" w:type="dxa"/>
              <w:end w:w="85" w:type="dxa"/>
            </w:tcMar>
          </w:tcPr>
          <w:p>
            <w:pPr>
              <w:spacing w:before="0" w:after="0" w:line="240" w:lineRule="auto"/>
            </w:pPr>
            <w:r>
              <w:rPr>
                <w:rFonts w:ascii="Calibri" w:hAnsi="Calibri"/>
                <w:color w:val="202020"/>
                <w:sz w:val="15"/>
              </w:rPr>
              <w:t>Must confirm design completeness and carry IS references into evidence.</w:t>
            </w:r>
          </w:p>
        </w:tc>
      </w:tr>
    </w:tbl>
    <w:p>
      <w:pPr>
        <w:spacing w:after="0"/>
      </w:pPr>
    </w:p>
    <w:p>
      <w:pPr>
        <w:pStyle w:val="Heading1"/>
        <w:keepNext/>
        <w:keepLines/>
      </w:pPr>
      <w:r>
        <w:t>2 Controlled sources and template adaptation</w:t>
      </w:r>
    </w:p>
    <w:p>
      <w:pPr>
        <w:pStyle w:val="Heading2"/>
        <w:keepNext/>
        <w:keepLines/>
      </w:pPr>
      <w:r>
        <w:t>2.1 Source control metadata</w:t>
      </w:r>
    </w:p>
    <w:tbl>
      <w:tblPr>
        <w:tblStyle w:val="TableGrid"/>
        <w:tblW w:type="auto" w:w="0"/>
        <w:jc w:val="left"/>
        <w:tblLayout w:type="fixed"/>
        <w:tblLook w:firstColumn="1" w:firstRow="1" w:lastColumn="0" w:lastRow="0" w:noHBand="0" w:noVBand="1" w:val="04A0"/>
        <w:tblInd w:w="120" w:type="dxa"/>
      </w:tblPr>
      <w:tblGrid>
        <w:gridCol w:w="780"/>
        <w:gridCol w:w="2440"/>
        <w:gridCol w:w="2750"/>
        <w:gridCol w:w="3390"/>
      </w:tblGrid>
      <w:tr>
        <w:trPr>
          <w:tblHeader w:val="true"/>
          <w:cantSplit/>
        </w:trPr>
        <w:tc>
          <w:tcPr>
            <w:tcW w:type="dxa" w:w="78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Ref.</w:t>
            </w:r>
          </w:p>
        </w:tc>
        <w:tc>
          <w:tcPr>
            <w:tcW w:type="dxa" w:w="244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Source</w:t>
            </w:r>
          </w:p>
        </w:tc>
        <w:tc>
          <w:tcPr>
            <w:tcW w:type="dxa" w:w="27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Visible control information</w:t>
            </w:r>
          </w:p>
        </w:tc>
        <w:tc>
          <w:tcPr>
            <w:tcW w:type="dxa" w:w="339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Application in this IS</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Q0873805</w:t>
            </w:r>
          </w:p>
        </w:tc>
        <w:tc>
          <w:tcPr>
            <w:tcW w:type="dxa" w:w="2440"/>
            <w:vAlign w:val="top"/>
            <w:tcMar>
              <w:top w:w="70" w:type="dxa"/>
              <w:start w:w="85" w:type="dxa"/>
              <w:bottom w:w="70" w:type="dxa"/>
              <w:end w:w="85" w:type="dxa"/>
            </w:tcMar>
          </w:tcPr>
          <w:p>
            <w:pPr>
              <w:spacing w:before="0" w:after="0" w:line="240" w:lineRule="auto"/>
            </w:pPr>
            <w:r>
              <w:rPr>
                <w:rFonts w:ascii="Calibri" w:hAnsi="Calibri"/>
                <w:color w:val="202020"/>
                <w:sz w:val="13"/>
              </w:rPr>
              <w:t>Manage IT interfaces</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Ver 1.0; Approved 03 Apr 2024; Guidance</w:t>
            </w:r>
          </w:p>
        </w:tc>
        <w:tc>
          <w:tcPr>
            <w:tcW w:type="dxa" w:w="3390"/>
            <w:vAlign w:val="top"/>
            <w:tcMar>
              <w:top w:w="70" w:type="dxa"/>
              <w:start w:w="85" w:type="dxa"/>
              <w:bottom w:w="70" w:type="dxa"/>
              <w:end w:w="85" w:type="dxa"/>
            </w:tcMar>
          </w:tcPr>
          <w:p>
            <w:pPr>
              <w:spacing w:before="0" w:after="0" w:line="240" w:lineRule="auto"/>
            </w:pPr>
            <w:r>
              <w:rPr>
                <w:rFonts w:ascii="Calibri" w:hAnsi="Calibri"/>
                <w:color w:val="202020"/>
                <w:sz w:val="13"/>
              </w:rPr>
              <w:t>Primary interface lifecycle, ownership, reuse, design, multi-system testing, operation, change and retirement authority.</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Q0723783</w:t>
            </w:r>
          </w:p>
        </w:tc>
        <w:tc>
          <w:tcPr>
            <w:tcW w:type="dxa" w:w="2440"/>
            <w:vAlign w:val="top"/>
            <w:tcMar>
              <w:top w:w="70" w:type="dxa"/>
              <w:start w:w="85" w:type="dxa"/>
              <w:bottom w:w="70" w:type="dxa"/>
              <w:end w:w="85" w:type="dxa"/>
            </w:tcMar>
            <w:shd w:fill="EEF4F9"/>
          </w:tcPr>
          <w:p>
            <w:pPr>
              <w:spacing w:before="0" w:after="0" w:line="240" w:lineRule="auto"/>
            </w:pPr>
            <w:r>
              <w:rPr>
                <w:rFonts w:ascii="Calibri" w:hAnsi="Calibri"/>
                <w:color w:val="202020"/>
                <w:sz w:val="13"/>
              </w:rPr>
              <w:t>IT API Design Specification Template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1.0; Approved; approval tasks 09/13 Dec 2021; visible Approved Date blank</w:t>
            </w:r>
          </w:p>
        </w:tc>
        <w:tc>
          <w:tcPr>
            <w:tcW w:type="dxa" w:w="3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Primary specification structure: overview, resources, inputs, mapping, outputs, environment, policies, dependencies, monitoring/error handling and traceability.</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Q0723392</w:t>
            </w:r>
          </w:p>
        </w:tc>
        <w:tc>
          <w:tcPr>
            <w:tcW w:type="dxa" w:w="2440"/>
            <w:vAlign w:val="top"/>
            <w:tcMar>
              <w:top w:w="70" w:type="dxa"/>
              <w:start w:w="85" w:type="dxa"/>
              <w:bottom w:w="70" w:type="dxa"/>
              <w:end w:w="85" w:type="dxa"/>
            </w:tcMar>
          </w:tcPr>
          <w:p>
            <w:pPr>
              <w:spacing w:before="0" w:after="0" w:line="240" w:lineRule="auto"/>
            </w:pPr>
            <w:r>
              <w:rPr>
                <w:rFonts w:ascii="Calibri" w:hAnsi="Calibri"/>
                <w:color w:val="202020"/>
                <w:sz w:val="13"/>
              </w:rPr>
              <w:t>Design and development of IT solutions</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Ver 1.0; Approved 28 Aug 2025; Guidance</w:t>
            </w:r>
          </w:p>
        </w:tc>
        <w:tc>
          <w:tcPr>
            <w:tcW w:type="dxa" w:w="3390"/>
            <w:vAlign w:val="top"/>
            <w:tcMar>
              <w:top w:w="70" w:type="dxa"/>
              <w:start w:w="85" w:type="dxa"/>
              <w:bottom w:w="70" w:type="dxa"/>
              <w:end w:w="85" w:type="dxa"/>
            </w:tcMar>
          </w:tcPr>
          <w:p>
            <w:pPr>
              <w:spacing w:before="0" w:after="0" w:line="240" w:lineRule="auto"/>
            </w:pPr>
            <w:r>
              <w:rPr>
                <w:rFonts w:ascii="Calibri" w:hAnsi="Calibri"/>
                <w:color w:val="202020"/>
                <w:sz w:val="13"/>
              </w:rPr>
              <w:t>SW category 4/5 design, unique IDs, interface relationships, input validation, traceability and design/code review.</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Q187219</w:t>
            </w:r>
          </w:p>
        </w:tc>
        <w:tc>
          <w:tcPr>
            <w:tcW w:type="dxa" w:w="2440"/>
            <w:vAlign w:val="top"/>
            <w:tcMar>
              <w:top w:w="70" w:type="dxa"/>
              <w:start w:w="85" w:type="dxa"/>
              <w:bottom w:w="70" w:type="dxa"/>
              <w:end w:w="85" w:type="dxa"/>
            </w:tcMar>
            <w:shd w:fill="EEF4F9"/>
          </w:tcPr>
          <w:p>
            <w:pPr>
              <w:spacing w:before="0" w:after="0" w:line="240" w:lineRule="auto"/>
            </w:pPr>
            <w:r>
              <w:rPr>
                <w:rFonts w:ascii="Calibri" w:hAnsi="Calibri"/>
                <w:color w:val="202020"/>
                <w:sz w:val="13"/>
              </w:rPr>
              <w:t>Manage IT systems including digital solutions</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12.0; Effective 20 Aug 2025</w:t>
            </w:r>
          </w:p>
        </w:tc>
        <w:tc>
          <w:tcPr>
            <w:tcW w:type="dxa" w:w="3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Design/risk controls, final design review and acceptance-verification dependency.</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Q0749711</w:t>
            </w:r>
          </w:p>
        </w:tc>
        <w:tc>
          <w:tcPr>
            <w:tcW w:type="dxa" w:w="2440"/>
            <w:vAlign w:val="top"/>
            <w:tcMar>
              <w:top w:w="70" w:type="dxa"/>
              <w:start w:w="85" w:type="dxa"/>
              <w:bottom w:w="70" w:type="dxa"/>
              <w:end w:w="85" w:type="dxa"/>
            </w:tcMar>
          </w:tcPr>
          <w:p>
            <w:pPr>
              <w:spacing w:before="0" w:after="0" w:line="240" w:lineRule="auto"/>
            </w:pPr>
            <w:r>
              <w:rPr>
                <w:rFonts w:ascii="Calibri" w:hAnsi="Calibri"/>
                <w:color w:val="202020"/>
                <w:sz w:val="13"/>
              </w:rPr>
              <w:t>Design review for IT solutions</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Ver 1.0; Approved 18 May 2022</w:t>
            </w:r>
          </w:p>
        </w:tc>
        <w:tc>
          <w:tcPr>
            <w:tcW w:type="dxa" w:w="3390"/>
            <w:vAlign w:val="top"/>
            <w:tcMar>
              <w:top w:w="70" w:type="dxa"/>
              <w:start w:w="85" w:type="dxa"/>
              <w:bottom w:w="70" w:type="dxa"/>
              <w:end w:w="85" w:type="dxa"/>
            </w:tcMar>
          </w:tcPr>
          <w:p>
            <w:pPr>
              <w:spacing w:before="0" w:after="0" w:line="240" w:lineRule="auto"/>
            </w:pPr>
            <w:r>
              <w:rPr>
                <w:rFonts w:ascii="Calibri" w:hAnsi="Calibri"/>
                <w:color w:val="202020"/>
                <w:sz w:val="13"/>
              </w:rPr>
              <w:t>Completeness, correctness, consistency, unambiguity, feasibility, maintainability, interface and risk-control review.</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Q0750180</w:t>
            </w:r>
          </w:p>
        </w:tc>
        <w:tc>
          <w:tcPr>
            <w:tcW w:type="dxa" w:w="2440"/>
            <w:vAlign w:val="top"/>
            <w:tcMar>
              <w:top w:w="70" w:type="dxa"/>
              <w:start w:w="85" w:type="dxa"/>
              <w:bottom w:w="70" w:type="dxa"/>
              <w:end w:w="85" w:type="dxa"/>
            </w:tcMar>
            <w:shd w:fill="EEF4F9"/>
          </w:tcPr>
          <w:p>
            <w:pPr>
              <w:spacing w:before="0" w:after="0" w:line="240" w:lineRule="auto"/>
            </w:pPr>
            <w:r>
              <w:rPr>
                <w:rFonts w:ascii="Calibri" w:hAnsi="Calibri"/>
                <w:color w:val="202020"/>
                <w:sz w:val="13"/>
              </w:rPr>
              <w:t>Software testing for IT solutions</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1.0; Approved 30 May 2022</w:t>
            </w:r>
          </w:p>
        </w:tc>
        <w:tc>
          <w:tcPr>
            <w:tcW w:type="dxa" w:w="3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Interface/integration/system testing plus positive, negative, boundary, state, performance and security focus.</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Q204010</w:t>
            </w:r>
          </w:p>
        </w:tc>
        <w:tc>
          <w:tcPr>
            <w:tcW w:type="dxa" w:w="2440"/>
            <w:vAlign w:val="top"/>
            <w:tcMar>
              <w:top w:w="70" w:type="dxa"/>
              <w:start w:w="85" w:type="dxa"/>
              <w:bottom w:w="70" w:type="dxa"/>
              <w:end w:w="85" w:type="dxa"/>
            </w:tcMar>
          </w:tcPr>
          <w:p>
            <w:pPr>
              <w:spacing w:before="0" w:after="0" w:line="240" w:lineRule="auto"/>
            </w:pPr>
            <w:r>
              <w:rPr>
                <w:rFonts w:ascii="Calibri" w:hAnsi="Calibri"/>
                <w:color w:val="202020"/>
                <w:sz w:val="13"/>
              </w:rPr>
              <w:t>Manage data integrity in IT solutions</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Ver 8.0; issued/proposed effective 25 Jun 2026; training copy; approved 12 Jun 2026</w:t>
            </w:r>
          </w:p>
        </w:tc>
        <w:tc>
          <w:tcPr>
            <w:tcW w:type="dxa" w:w="3390"/>
            <w:vAlign w:val="top"/>
            <w:tcMar>
              <w:top w:w="70" w:type="dxa"/>
              <w:start w:w="85" w:type="dxa"/>
              <w:bottom w:w="70" w:type="dxa"/>
              <w:end w:w="85" w:type="dxa"/>
            </w:tcMar>
          </w:tcPr>
          <w:p>
            <w:pPr>
              <w:spacing w:before="0" w:after="0" w:line="240" w:lineRule="auto"/>
            </w:pPr>
            <w:r>
              <w:rPr>
                <w:rFonts w:ascii="Calibri" w:hAnsi="Calibri"/>
                <w:color w:val="202020"/>
                <w:sz w:val="13"/>
              </w:rPr>
              <w:t>Preserve content/meaning/metadata/audit/signatures and control every data change point; source status limitation retained.</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Q187655</w:t>
            </w:r>
          </w:p>
        </w:tc>
        <w:tc>
          <w:tcPr>
            <w:tcW w:type="dxa" w:w="2440"/>
            <w:vAlign w:val="top"/>
            <w:tcMar>
              <w:top w:w="70" w:type="dxa"/>
              <w:start w:w="85" w:type="dxa"/>
              <w:bottom w:w="70" w:type="dxa"/>
              <w:end w:w="85" w:type="dxa"/>
            </w:tcMar>
            <w:shd w:fill="EEF4F9"/>
          </w:tcPr>
          <w:p>
            <w:pPr>
              <w:spacing w:before="0" w:after="0" w:line="240" w:lineRule="auto"/>
            </w:pPr>
            <w:r>
              <w:rPr>
                <w:rFonts w:ascii="Calibri" w:hAnsi="Calibri"/>
                <w:color w:val="202020"/>
                <w:sz w:val="13"/>
              </w:rPr>
              <w:t>Manage Information Security in IT Solutions</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3.0; Effective 02 Oct 2023</w:t>
            </w:r>
          </w:p>
        </w:tc>
        <w:tc>
          <w:tcPr>
            <w:tcW w:type="dxa" w:w="3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Security-by-design across components, environments, suppliers and responsibility boundaries.</w:t>
            </w:r>
          </w:p>
        </w:tc>
      </w:tr>
      <w:tr>
        <w:trPr>
          <w:trHeight w:hRule="atLeast"/>
          <w:cantSplit/>
        </w:trPr>
        <w:tc>
          <w:tcPr>
            <w:tcW w:type="dxa" w:w="78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Q0726202</w:t>
            </w:r>
          </w:p>
        </w:tc>
        <w:tc>
          <w:tcPr>
            <w:tcW w:type="dxa" w:w="2440"/>
            <w:vAlign w:val="top"/>
            <w:tcMar>
              <w:top w:w="70" w:type="dxa"/>
              <w:start w:w="85" w:type="dxa"/>
              <w:bottom w:w="70" w:type="dxa"/>
              <w:end w:w="85" w:type="dxa"/>
            </w:tcMar>
          </w:tcPr>
          <w:p>
            <w:pPr>
              <w:spacing w:before="0" w:after="0" w:line="240" w:lineRule="auto"/>
            </w:pPr>
            <w:r>
              <w:rPr>
                <w:rFonts w:ascii="Calibri" w:hAnsi="Calibri"/>
                <w:color w:val="202020"/>
                <w:sz w:val="13"/>
              </w:rPr>
              <w:t>Preparing an IT traceability matrix (TRM)</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Ver 1.0; Approved 03 Jan 2022</w:t>
            </w:r>
          </w:p>
        </w:tc>
        <w:tc>
          <w:tcPr>
            <w:tcW w:type="dxa" w:w="3390"/>
            <w:vAlign w:val="top"/>
            <w:tcMar>
              <w:top w:w="70" w:type="dxa"/>
              <w:start w:w="85" w:type="dxa"/>
              <w:bottom w:w="70" w:type="dxa"/>
              <w:end w:w="85" w:type="dxa"/>
            </w:tcMar>
          </w:tcPr>
          <w:p>
            <w:pPr>
              <w:spacing w:before="0" w:after="0" w:line="240" w:lineRule="auto"/>
            </w:pPr>
            <w:r>
              <w:rPr>
                <w:rFonts w:ascii="Calibri" w:hAnsi="Calibri"/>
                <w:color w:val="202020"/>
                <w:sz w:val="13"/>
              </w:rPr>
              <w:t>Maintain URS-FS-design-test trace across design and verification.</w:t>
            </w:r>
          </w:p>
        </w:tc>
      </w:tr>
    </w:tbl>
    <w:p>
      <w:pPr>
        <w:spacing w:after="0"/>
      </w:pPr>
    </w:p>
    <w:p>
      <w:pPr>
        <w:pStyle w:val="Heading2"/>
        <w:keepNext/>
        <w:keepLines/>
      </w:pPr>
      <w:r>
        <w:t>2.2 Template adaptation decision</w:t>
      </w:r>
    </w:p>
    <w:p>
      <w:pPr>
        <w:keepLines/>
      </w:pPr>
      <w:r>
        <w:t>Q0723783 is the closest approved integration design template and contains the minimum information needed to describe design, function and integrations. Because the seven in-scope exchanges may be APIs, messages, events or service integrations, its API-specific resource/URL fields are represented here as technology-neutral logical contracts and environment routing values. No template topic is omitted; non-applicable or unresolved technical values are explicitly Verify.</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FFF2CC"/>
            <w:tcMar>
              <w:top w:w="100" w:type="dxa"/>
              <w:start w:w="120" w:type="dxa"/>
              <w:bottom w:w="100" w:type="dxa"/>
              <w:end w:w="120" w:type="dxa"/>
            </w:tcMar>
          </w:tcPr>
          <w:p>
            <w:r>
              <w:rPr>
                <w:rFonts w:ascii="Calibri" w:hAnsi="Calibri"/>
                <w:b/>
                <w:i w:val="0"/>
                <w:color w:val="0B2545"/>
                <w:sz w:val="17"/>
              </w:rPr>
              <w:t xml:space="preserve">Identifier continuity: </w:t>
            </w:r>
            <w:r>
              <w:rPr>
                <w:rFonts w:ascii="Calibri" w:hAnsi="Calibri"/>
                <w:b w:val="0"/>
                <w:i w:val="0"/>
                <w:color w:val="202020"/>
                <w:sz w:val="17"/>
              </w:rPr>
              <w:t>The existing package uses HIS, TIM and OPS in its seven interface IDs, while an older MLGP example lists HIST and TIME and does not list OPS. This IS preserves the established SYS/FS identifiers and records catalogue reconciliation as VRF-IS-002; no interfaces are silently renamed.</w:t>
            </w:r>
          </w:p>
        </w:tc>
      </w:tr>
    </w:tbl>
    <w:p>
      <w:pPr>
        <w:spacing w:after="0"/>
      </w:pPr>
    </w:p>
    <w:p>
      <w:pPr>
        <w:pStyle w:val="Heading1"/>
        <w:keepNext/>
        <w:keepLines/>
      </w:pPr>
      <w:r>
        <w:t>3 Roles, ownership and specification structure</w:t>
      </w:r>
    </w:p>
    <w:p>
      <w:pPr>
        <w:pStyle w:val="Heading2"/>
        <w:keepNext/>
        <w:keepLines/>
      </w:pPr>
      <w:r>
        <w:t>3.1 Fictional roles and responsibilities</w:t>
      </w:r>
    </w:p>
    <w:tbl>
      <w:tblPr>
        <w:tblStyle w:val="TableGrid"/>
        <w:tblW w:type="auto" w:w="0"/>
        <w:jc w:val="left"/>
        <w:tblLayout w:type="fixed"/>
        <w:tblLook w:firstColumn="1" w:firstRow="1" w:lastColumn="0" w:lastRow="0" w:noHBand="0" w:noVBand="1" w:val="04A0"/>
        <w:tblInd w:w="120" w:type="dxa"/>
      </w:tblPr>
      <w:tblGrid>
        <w:gridCol w:w="2100"/>
        <w:gridCol w:w="4200"/>
        <w:gridCol w:w="3060"/>
      </w:tblGrid>
      <w:tr>
        <w:trPr>
          <w:tblHeader w:val="true"/>
          <w:cantSplit/>
        </w:trPr>
        <w:tc>
          <w:tcPr>
            <w:tcW w:type="dxa" w:w="21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Fictional role</w:t>
            </w:r>
          </w:p>
        </w:tc>
        <w:tc>
          <w:tcPr>
            <w:tcW w:type="dxa" w:w="42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Responsibility in this IS</w:t>
            </w:r>
          </w:p>
        </w:tc>
        <w:tc>
          <w:tcPr>
            <w:tcW w:type="dxa" w:w="30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Restriction / handoff</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Owner</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4"/>
              </w:rPr>
              <w:t>Accountable for business value, quality, lifecycle, consumer communication and interface terms of service.</w:t>
            </w:r>
          </w:p>
        </w:tc>
        <w:tc>
          <w:tcPr>
            <w:tcW w:type="dxa" w:w="3060"/>
            <w:vAlign w:val="top"/>
            <w:tcMar>
              <w:top w:w="70" w:type="dxa"/>
              <w:start w:w="85" w:type="dxa"/>
              <w:bottom w:w="70" w:type="dxa"/>
              <w:end w:w="85" w:type="dxa"/>
            </w:tcMar>
          </w:tcPr>
          <w:p>
            <w:pPr>
              <w:spacing w:before="0" w:after="0" w:line="240" w:lineRule="auto"/>
            </w:pPr>
            <w:r>
              <w:rPr>
                <w:rFonts w:ascii="Calibri" w:hAnsi="Calibri"/>
                <w:color w:val="202020"/>
                <w:sz w:val="14"/>
              </w:rPr>
              <w:t>Permanent individual ownership and service record remain Verify; role only here.</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Process Owner</w:t>
            </w:r>
          </w:p>
        </w:tc>
        <w:tc>
          <w:tcPr>
            <w:tcW w:type="dxa" w:w="42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Confirms process triggers, outcomes, permitted failure behavior and future-use needs.</w:t>
            </w:r>
          </w:p>
        </w:tc>
        <w:tc>
          <w:tcPr>
            <w:tcW w:type="dxa" w:w="3060"/>
            <w:vAlign w:val="top"/>
            <w:tcMar>
              <w:top w:w="70" w:type="dxa"/>
              <w:start w:w="85" w:type="dxa"/>
              <w:bottom w:w="70" w:type="dxa"/>
              <w:end w:w="85" w:type="dxa"/>
            </w:tcMar>
            <w:shd w:fill="EEF4F9"/>
          </w:tcPr>
          <w:p>
            <w:pPr>
              <w:spacing w:before="0" w:after="0" w:line="240" w:lineRule="auto"/>
            </w:pPr>
            <w:r>
              <w:rPr>
                <w:rFonts w:ascii="Calibri" w:hAnsi="Calibri"/>
                <w:color w:val="202020"/>
                <w:sz w:val="14"/>
              </w:rPr>
              <w:t>Does not approve technical/security design alone.</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Data Owner</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4"/>
              </w:rPr>
              <w:t>Confirms source authority, permitted attributes, meaning, quality and reuse constraints.</w:t>
            </w:r>
          </w:p>
        </w:tc>
        <w:tc>
          <w:tcPr>
            <w:tcW w:type="dxa" w:w="3060"/>
            <w:vAlign w:val="top"/>
            <w:tcMar>
              <w:top w:w="70" w:type="dxa"/>
              <w:start w:w="85" w:type="dxa"/>
              <w:bottom w:w="70" w:type="dxa"/>
              <w:end w:w="85" w:type="dxa"/>
            </w:tcMar>
          </w:tcPr>
          <w:p>
            <w:pPr>
              <w:spacing w:before="0" w:after="0" w:line="240" w:lineRule="auto"/>
            </w:pPr>
            <w:r>
              <w:rPr>
                <w:rFonts w:ascii="Calibri" w:hAnsi="Calibri"/>
                <w:color w:val="202020"/>
                <w:sz w:val="14"/>
              </w:rPr>
              <w:t>Ownership per data domain remains Verify.</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System Owner / Manager</w:t>
            </w:r>
          </w:p>
        </w:tc>
        <w:tc>
          <w:tcPr>
            <w:tcW w:type="dxa" w:w="42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Confirms provider/consumer system behavior, lifecycle and change impacts.</w:t>
            </w:r>
          </w:p>
        </w:tc>
        <w:tc>
          <w:tcPr>
            <w:tcW w:type="dxa" w:w="30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Seven adjacent-system owner assignments remain Verify.</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Solution / Integration Architect</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4"/>
              </w:rPr>
              <w:t>Allocates platform, pattern, contract, security, dependency and deployment design.</w:t>
            </w:r>
          </w:p>
        </w:tc>
        <w:tc>
          <w:tcPr>
            <w:tcW w:type="dxa" w:w="3060"/>
            <w:vAlign w:val="top"/>
            <w:tcMar>
              <w:top w:w="70" w:type="dxa"/>
              <w:start w:w="85" w:type="dxa"/>
              <w:bottom w:w="70" w:type="dxa"/>
              <w:end w:w="85" w:type="dxa"/>
            </w:tcMar>
          </w:tcPr>
          <w:p>
            <w:pPr>
              <w:spacing w:before="0" w:after="0" w:line="240" w:lineRule="auto"/>
            </w:pPr>
            <w:r>
              <w:rPr>
                <w:rFonts w:ascii="Calibri" w:hAnsi="Calibri"/>
                <w:color w:val="202020"/>
                <w:sz w:val="14"/>
              </w:rPr>
              <w:t>Technical selections must be captured in DS/CS and reviewed.</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Developer / Configurator</w:t>
            </w:r>
          </w:p>
        </w:tc>
        <w:tc>
          <w:tcPr>
            <w:tcW w:type="dxa" w:w="4200"/>
            <w:vAlign w:val="top"/>
            <w:tcMar>
              <w:top w:w="70" w:type="dxa"/>
              <w:start w:w="85" w:type="dxa"/>
              <w:bottom w:w="70" w:type="dxa"/>
              <w:end w:w="85" w:type="dxa"/>
            </w:tcMar>
            <w:shd w:fill="EEF4F9"/>
          </w:tcPr>
          <w:p>
            <w:pPr>
              <w:spacing w:before="0" w:after="0" w:line="240" w:lineRule="auto"/>
            </w:pPr>
            <w:r>
              <w:rPr>
                <w:rFonts w:ascii="Calibri" w:hAnsi="Calibri"/>
                <w:color w:val="202020"/>
                <w:sz w:val="14"/>
              </w:rPr>
              <w:t>Implements approved contract, mappings, policies and pipeline controls.</w:t>
            </w:r>
          </w:p>
        </w:tc>
        <w:tc>
          <w:tcPr>
            <w:tcW w:type="dxa" w:w="30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Code/configuration must follow controlled baseline; code-review applicability Verify.</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Information Security role</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4"/>
              </w:rPr>
              <w:t>Reviews trust, identity, encryption, secrets, logging and vulnerability controls.</w:t>
            </w:r>
          </w:p>
        </w:tc>
        <w:tc>
          <w:tcPr>
            <w:tcW w:type="dxa" w:w="3060"/>
            <w:vAlign w:val="top"/>
            <w:tcMar>
              <w:top w:w="70" w:type="dxa"/>
              <w:start w:w="85" w:type="dxa"/>
              <w:bottom w:w="70" w:type="dxa"/>
              <w:end w:w="85" w:type="dxa"/>
            </w:tcMar>
          </w:tcPr>
          <w:p>
            <w:pPr>
              <w:spacing w:before="0" w:after="0" w:line="240" w:lineRule="auto"/>
            </w:pPr>
            <w:r>
              <w:rPr>
                <w:rFonts w:ascii="Calibri" w:hAnsi="Calibri"/>
                <w:color w:val="202020"/>
                <w:sz w:val="14"/>
              </w:rPr>
              <w:t>Mechanisms and residual security risk remain open.</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Validation / Test Lead</w:t>
            </w:r>
          </w:p>
        </w:tc>
        <w:tc>
          <w:tcPr>
            <w:tcW w:type="dxa" w:w="420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Plans multi-system, contract, data-integrity, negative, security, performance and recovery verification.</w:t>
            </w:r>
          </w:p>
        </w:tc>
        <w:tc>
          <w:tcPr>
            <w:tcW w:type="dxa" w:w="306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 test ID/result is assigned in this IS.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Operations / Support role</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4"/>
              </w:rPr>
              <w:t>Monitors, reconciles, supports incidents/recovery and maintains service/consumer information.</w:t>
            </w:r>
          </w:p>
        </w:tc>
        <w:tc>
          <w:tcPr>
            <w:tcW w:type="dxa" w:w="3060"/>
            <w:vAlign w:val="top"/>
            <w:tcMar>
              <w:top w:w="70" w:type="dxa"/>
              <w:start w:w="85" w:type="dxa"/>
              <w:bottom w:w="70" w:type="dxa"/>
              <w:end w:w="85" w:type="dxa"/>
            </w:tcMar>
          </w:tcPr>
          <w:p>
            <w:pPr>
              <w:spacing w:before="0" w:after="0" w:line="240" w:lineRule="auto"/>
            </w:pPr>
            <w:r>
              <w:rPr>
                <w:rFonts w:ascii="Calibri" w:hAnsi="Calibri"/>
                <w:color w:val="202020"/>
                <w:sz w:val="14"/>
              </w:rPr>
              <w:t>SLO, contacts and procedures remain O&amp;M/terms-of-service outputs.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Quality Assurance Reviewer</w:t>
            </w:r>
          </w:p>
        </w:tc>
        <w:tc>
          <w:tcPr>
            <w:tcW w:type="dxa" w:w="420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Reviews GxP design, data integrity, traceability, open items and gate readiness.</w:t>
            </w:r>
          </w:p>
        </w:tc>
        <w:tc>
          <w:tcPr>
            <w:tcW w:type="dxa" w:w="30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Simulated approval only; no real signature.</w:t>
            </w:r>
          </w:p>
        </w:tc>
      </w:tr>
    </w:tbl>
    <w:p>
      <w:pPr>
        <w:spacing w:after="0"/>
      </w:pPr>
    </w:p>
    <w:p>
      <w:pPr>
        <w:pStyle w:val="Heading2"/>
        <w:keepNext/>
        <w:keepLines/>
      </w:pPr>
      <w:r>
        <w:t>3.2 Provisional family ownership</w:t>
      </w:r>
    </w:p>
    <w:tbl>
      <w:tblPr>
        <w:tblStyle w:val="TableGrid"/>
        <w:tblW w:type="auto" w:w="0"/>
        <w:jc w:val="left"/>
        <w:tblLayout w:type="fixed"/>
        <w:tblLook w:firstColumn="1" w:firstRow="1" w:lastColumn="0" w:lastRow="0" w:noHBand="0" w:noVBand="1" w:val="04A0"/>
        <w:tblInd w:w="120" w:type="dxa"/>
      </w:tblPr>
      <w:tblGrid>
        <w:gridCol w:w="1350"/>
        <w:gridCol w:w="1600"/>
        <w:gridCol w:w="1850"/>
        <w:gridCol w:w="2750"/>
        <w:gridCol w:w="18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Family anchor</w:t>
            </w:r>
          </w:p>
        </w:tc>
        <w:tc>
          <w:tcPr>
            <w:tcW w:type="dxa" w:w="16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Type</w:t>
            </w:r>
          </w:p>
        </w:tc>
        <w:tc>
          <w:tcPr>
            <w:tcW w:type="dxa" w:w="18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Provisional owner</w:t>
            </w:r>
          </w:p>
        </w:tc>
        <w:tc>
          <w:tcPr>
            <w:tcW w:type="dxa" w:w="27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Permanent-owner decision basis</w:t>
            </w:r>
          </w:p>
        </w:tc>
        <w:tc>
          <w:tcPr>
            <w:tcW w:type="dxa" w:w="181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INT-MES-ERP-001</w:t>
            </w:r>
          </w:p>
        </w:tc>
        <w:tc>
          <w:tcPr>
            <w:tcW w:type="dxa" w:w="1600"/>
            <w:vAlign w:val="top"/>
            <w:tcMar>
              <w:top w:w="70" w:type="dxa"/>
              <w:start w:w="85" w:type="dxa"/>
              <w:bottom w:w="70" w:type="dxa"/>
              <w:end w:w="85" w:type="dxa"/>
            </w:tcMar>
          </w:tcPr>
          <w:p>
            <w:pPr>
              <w:spacing w:before="0" w:after="0" w:line="240" w:lineRule="auto"/>
            </w:pPr>
            <w:r>
              <w:rPr>
                <w:rFonts w:ascii="Calibri" w:hAnsi="Calibri"/>
                <w:color w:val="202020"/>
                <w:sz w:val="13"/>
              </w:rPr>
              <w:t>System IT interface - provisional; classification/owner Verify</w:t>
            </w:r>
          </w:p>
        </w:tc>
        <w:tc>
          <w:tcPr>
            <w:tcW w:type="dxa" w:w="1850"/>
            <w:vAlign w:val="top"/>
            <w:tcMar>
              <w:top w:w="70" w:type="dxa"/>
              <w:start w:w="85" w:type="dxa"/>
              <w:bottom w:w="70" w:type="dxa"/>
              <w:end w:w="85" w:type="dxa"/>
            </w:tcMar>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INT-MES-LIMS-001</w:t>
            </w:r>
          </w:p>
        </w:tc>
        <w:tc>
          <w:tcPr>
            <w:tcW w:type="dxa" w:w="1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System IT interface - provisional; classification/owner Verify</w:t>
            </w:r>
          </w:p>
        </w:tc>
        <w:tc>
          <w:tcPr>
            <w:tcW w:type="dxa" w:w="1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INT-MES-AUT-001</w:t>
            </w:r>
          </w:p>
        </w:tc>
        <w:tc>
          <w:tcPr>
            <w:tcW w:type="dxa" w:w="1600"/>
            <w:vAlign w:val="top"/>
            <w:tcMar>
              <w:top w:w="70" w:type="dxa"/>
              <w:start w:w="85" w:type="dxa"/>
              <w:bottom w:w="70" w:type="dxa"/>
              <w:end w:w="85" w:type="dxa"/>
            </w:tcMar>
          </w:tcPr>
          <w:p>
            <w:pPr>
              <w:spacing w:before="0" w:after="0" w:line="240" w:lineRule="auto"/>
            </w:pPr>
            <w:r>
              <w:rPr>
                <w:rFonts w:ascii="Calibri" w:hAnsi="Calibri"/>
                <w:color w:val="202020"/>
                <w:sz w:val="13"/>
              </w:rPr>
              <w:t>System/process IT interface - provisional; classification/owner Verify</w:t>
            </w:r>
          </w:p>
        </w:tc>
        <w:tc>
          <w:tcPr>
            <w:tcW w:type="dxa" w:w="1850"/>
            <w:vAlign w:val="top"/>
            <w:tcMar>
              <w:top w:w="70" w:type="dxa"/>
              <w:start w:w="85" w:type="dxa"/>
              <w:bottom w:w="70" w:type="dxa"/>
              <w:end w:w="85" w:type="dxa"/>
            </w:tcMar>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INT-MES-HIS-001</w:t>
            </w:r>
          </w:p>
        </w:tc>
        <w:tc>
          <w:tcPr>
            <w:tcW w:type="dxa" w:w="1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System IT interface - provisional; classification/owner Verify</w:t>
            </w:r>
          </w:p>
        </w:tc>
        <w:tc>
          <w:tcPr>
            <w:tcW w:type="dxa" w:w="1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INT-MES-IAM-001</w:t>
            </w:r>
          </w:p>
        </w:tc>
        <w:tc>
          <w:tcPr>
            <w:tcW w:type="dxa" w:w="1600"/>
            <w:vAlign w:val="top"/>
            <w:tcMar>
              <w:top w:w="70" w:type="dxa"/>
              <w:start w:w="85" w:type="dxa"/>
              <w:bottom w:w="70" w:type="dxa"/>
              <w:end w:w="85" w:type="dxa"/>
            </w:tcMar>
          </w:tcPr>
          <w:p>
            <w:pPr>
              <w:spacing w:before="0" w:after="0" w:line="240" w:lineRule="auto"/>
            </w:pPr>
            <w:r>
              <w:rPr>
                <w:rFonts w:ascii="Calibri" w:hAnsi="Calibri"/>
                <w:color w:val="202020"/>
                <w:sz w:val="13"/>
              </w:rPr>
              <w:t>System IT interface - provisional; classification/owner Verify</w:t>
            </w:r>
          </w:p>
        </w:tc>
        <w:tc>
          <w:tcPr>
            <w:tcW w:type="dxa" w:w="1850"/>
            <w:vAlign w:val="top"/>
            <w:tcMar>
              <w:top w:w="70" w:type="dxa"/>
              <w:start w:w="85" w:type="dxa"/>
              <w:bottom w:w="70" w:type="dxa"/>
              <w:end w:w="85" w:type="dxa"/>
            </w:tcMar>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INT-MES-TIM-001</w:t>
            </w:r>
          </w:p>
        </w:tc>
        <w:tc>
          <w:tcPr>
            <w:tcW w:type="dxa" w:w="1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System IT interface - provisional; classification/owner Verify</w:t>
            </w:r>
          </w:p>
        </w:tc>
        <w:tc>
          <w:tcPr>
            <w:tcW w:type="dxa" w:w="1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Provisional role allocation; permanent individual, terms of service and consumer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INT-MES-OPS-001</w:t>
            </w:r>
          </w:p>
        </w:tc>
        <w:tc>
          <w:tcPr>
            <w:tcW w:type="dxa" w:w="1600"/>
            <w:vAlign w:val="top"/>
            <w:tcMar>
              <w:top w:w="70" w:type="dxa"/>
              <w:start w:w="85" w:type="dxa"/>
              <w:bottom w:w="70" w:type="dxa"/>
              <w:end w:w="85" w:type="dxa"/>
            </w:tcMar>
          </w:tcPr>
          <w:p>
            <w:pPr>
              <w:spacing w:before="0" w:after="0" w:line="240" w:lineRule="auto"/>
            </w:pPr>
            <w:r>
              <w:rPr>
                <w:rFonts w:ascii="Calibri" w:hAnsi="Calibri"/>
                <w:color w:val="202020"/>
                <w:sz w:val="13"/>
              </w:rPr>
              <w:t>System/process IT interface - provisional; classification/owner Verify</w:t>
            </w:r>
          </w:p>
        </w:tc>
        <w:tc>
          <w:tcPr>
            <w:tcW w:type="dxa" w:w="1850"/>
            <w:vAlign w:val="top"/>
            <w:tcMar>
              <w:top w:w="70" w:type="dxa"/>
              <w:start w:w="85" w:type="dxa"/>
              <w:bottom w:w="70" w:type="dxa"/>
              <w:end w:w="85" w:type="dxa"/>
            </w:tcMar>
          </w:tcPr>
          <w:p>
            <w:pPr>
              <w:spacing w:before="0" w:after="0" w:line="240" w:lineRule="auto"/>
            </w:pPr>
            <w:r>
              <w:rPr>
                <w:rFonts w:ascii="Calibri" w:hAnsi="Calibri"/>
                <w:color w:val="202020"/>
                <w:sz w:val="13"/>
              </w:rPr>
              <w:t>Fictional IT Interface Owner role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Data-producing system owner / data owner / principal beneficiary assessment</w:t>
            </w:r>
          </w:p>
        </w:tc>
        <w:tc>
          <w:tcPr>
            <w:tcW w:type="dxa" w:w="1810"/>
            <w:vAlign w:val="top"/>
            <w:tcMar>
              <w:top w:w="70" w:type="dxa"/>
              <w:start w:w="85" w:type="dxa"/>
              <w:bottom w:w="70" w:type="dxa"/>
              <w:end w:w="85" w:type="dxa"/>
            </w:tcMar>
          </w:tcPr>
          <w:p>
            <w:pPr>
              <w:spacing w:before="0" w:after="0" w:line="240" w:lineRule="auto"/>
            </w:pPr>
            <w:r>
              <w:rPr>
                <w:rFonts w:ascii="Calibri" w:hAnsi="Calibri"/>
                <w:color w:val="202020"/>
                <w:sz w:val="13"/>
              </w:rPr>
              <w:t>Provisional role allocation; permanent individual, terms of service and consumer list Verify</w:t>
            </w:r>
          </w:p>
        </w:tc>
      </w:tr>
    </w:tbl>
    <w:p>
      <w:pPr>
        <w:spacing w:after="0"/>
      </w:pPr>
    </w:p>
    <w:p>
      <w:pPr>
        <w:pStyle w:val="Heading2"/>
        <w:keepNext/>
        <w:keepLines/>
      </w:pPr>
      <w:r>
        <w:t>3.3 Specification hierarchy and identifier rule</w:t>
      </w:r>
    </w:p>
    <w:p>
      <w:pPr>
        <w:keepLines/>
      </w:pPr>
      <w:r>
        <w:t>Each interface family retains the established -001 anchor and extends the same INT-MES-[IF]-### convention for detailed integration requirements. The family is described once; logical contracts and field groups are referenced rather than repeating the source URS/FS text. Detailed DS/CS items and test cases will link to these integration IDs.</w:t>
      </w:r>
    </w:p>
    <w:tbl>
      <w:tblPr>
        <w:tblStyle w:val="TableGrid"/>
        <w:tblW w:type="auto" w:w="0"/>
        <w:jc w:val="left"/>
        <w:tblLayout w:type="fixed"/>
        <w:tblLook w:firstColumn="1" w:firstRow="1" w:lastColumn="0" w:lastRow="0" w:noHBand="0" w:noVBand="1" w:val="04A0"/>
        <w:tblInd w:w="120" w:type="dxa"/>
      </w:tblPr>
      <w:tblGrid>
        <w:gridCol w:w="1200"/>
        <w:gridCol w:w="3100"/>
        <w:gridCol w:w="800"/>
        <w:gridCol w:w="4260"/>
      </w:tblGrid>
      <w:tr>
        <w:trPr>
          <w:tblHeader w:val="true"/>
          <w:cantSplit/>
        </w:trPr>
        <w:tc>
          <w:tcPr>
            <w:tcW w:type="dxa" w:w="12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Family</w:t>
            </w:r>
          </w:p>
        </w:tc>
        <w:tc>
          <w:tcPr>
            <w:tcW w:type="dxa" w:w="31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Detailed range</w:t>
            </w:r>
          </w:p>
        </w:tc>
        <w:tc>
          <w:tcPr>
            <w:tcW w:type="dxa" w:w="8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Count</w:t>
            </w:r>
          </w:p>
        </w:tc>
        <w:tc>
          <w:tcPr>
            <w:tcW w:type="dxa" w:w="42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Anchor continuity</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ERP</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4"/>
              </w:rPr>
              <w:t>INT-MES-ERP-001 to INT-MES-ERP-009</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4"/>
              </w:rPr>
              <w:t>9</w:t>
            </w:r>
          </w:p>
        </w:tc>
        <w:tc>
          <w:tcPr>
            <w:tcW w:type="dxa" w:w="4260"/>
            <w:vAlign w:val="top"/>
            <w:tcMar>
              <w:top w:w="70" w:type="dxa"/>
              <w:start w:w="85" w:type="dxa"/>
              <w:bottom w:w="70" w:type="dxa"/>
              <w:end w:w="85" w:type="dxa"/>
            </w:tcMar>
          </w:tcPr>
          <w:p>
            <w:pPr>
              <w:spacing w:before="0" w:after="0" w:line="240" w:lineRule="auto"/>
            </w:pPr>
            <w:r>
              <w:rPr>
                <w:rFonts w:ascii="Calibri" w:hAnsi="Calibri"/>
                <w:color w:val="202020"/>
                <w:sz w:val="14"/>
              </w:rPr>
              <w:t>INT-MES-ERP-001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LIMS</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INT-MES-LIMS-001 to INT-MES-LIMS-009</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9</w:t>
            </w:r>
          </w:p>
        </w:tc>
        <w:tc>
          <w:tcPr>
            <w:tcW w:type="dxa" w:w="426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INT-MES-LIMS-001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AUT</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4"/>
              </w:rPr>
              <w:t>INT-MES-AUT-001 to INT-MES-AUT-010</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4"/>
              </w:rPr>
              <w:t>10</w:t>
            </w:r>
          </w:p>
        </w:tc>
        <w:tc>
          <w:tcPr>
            <w:tcW w:type="dxa" w:w="4260"/>
            <w:vAlign w:val="top"/>
            <w:tcMar>
              <w:top w:w="70" w:type="dxa"/>
              <w:start w:w="85" w:type="dxa"/>
              <w:bottom w:w="70" w:type="dxa"/>
              <w:end w:w="85" w:type="dxa"/>
            </w:tcMar>
          </w:tcPr>
          <w:p>
            <w:pPr>
              <w:spacing w:before="0" w:after="0" w:line="240" w:lineRule="auto"/>
            </w:pPr>
            <w:r>
              <w:rPr>
                <w:rFonts w:ascii="Calibri" w:hAnsi="Calibri"/>
                <w:color w:val="202020"/>
                <w:sz w:val="14"/>
              </w:rPr>
              <w:t>INT-MES-AUT-001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HIS</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INT-MES-HIS-001 to INT-MES-HIS-008</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8</w:t>
            </w:r>
          </w:p>
        </w:tc>
        <w:tc>
          <w:tcPr>
            <w:tcW w:type="dxa" w:w="426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INT-MES-HIS-001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IAM</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4"/>
              </w:rPr>
              <w:t>INT-MES-IAM-001 to INT-MES-IAM-008</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4"/>
              </w:rPr>
              <w:t>8</w:t>
            </w:r>
          </w:p>
        </w:tc>
        <w:tc>
          <w:tcPr>
            <w:tcW w:type="dxa" w:w="4260"/>
            <w:vAlign w:val="top"/>
            <w:tcMar>
              <w:top w:w="70" w:type="dxa"/>
              <w:start w:w="85" w:type="dxa"/>
              <w:bottom w:w="70" w:type="dxa"/>
              <w:end w:w="85" w:type="dxa"/>
            </w:tcMar>
          </w:tcPr>
          <w:p>
            <w:pPr>
              <w:spacing w:before="0" w:after="0" w:line="240" w:lineRule="auto"/>
            </w:pPr>
            <w:r>
              <w:rPr>
                <w:rFonts w:ascii="Calibri" w:hAnsi="Calibri"/>
                <w:color w:val="202020"/>
                <w:sz w:val="14"/>
              </w:rPr>
              <w:t>INT-MES-IAM-001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TIM</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INT-MES-TIM-001 to INT-MES-TIM-006</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6</w:t>
            </w:r>
          </w:p>
        </w:tc>
        <w:tc>
          <w:tcPr>
            <w:tcW w:type="dxa" w:w="426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INT-MES-TIM-001</w:t>
            </w:r>
          </w:p>
        </w:tc>
      </w:tr>
      <w:tr>
        <w:trPr>
          <w:trHeight w:hRule="atLeast"/>
          <w:cantSplit/>
        </w:trPr>
        <w:tc>
          <w:tcPr>
            <w:tcW w:type="dxa" w:w="1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OPS</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4"/>
              </w:rPr>
              <w:t>INT-MES-OPS-001 to INT-MES-OPS-010</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4"/>
              </w:rPr>
              <w:t>10</w:t>
            </w:r>
          </w:p>
        </w:tc>
        <w:tc>
          <w:tcPr>
            <w:tcW w:type="dxa" w:w="4260"/>
            <w:vAlign w:val="top"/>
            <w:tcMar>
              <w:top w:w="70" w:type="dxa"/>
              <w:start w:w="85" w:type="dxa"/>
              <w:bottom w:w="70" w:type="dxa"/>
              <w:end w:w="85" w:type="dxa"/>
            </w:tcMar>
          </w:tcPr>
          <w:p>
            <w:pPr>
              <w:spacing w:before="0" w:after="0" w:line="240" w:lineRule="auto"/>
            </w:pPr>
            <w:r>
              <w:rPr>
                <w:rFonts w:ascii="Calibri" w:hAnsi="Calibri"/>
                <w:color w:val="202020"/>
                <w:sz w:val="14"/>
              </w:rPr>
              <w:t>INT-MES-OPS-001</w:t>
            </w:r>
          </w:p>
        </w:tc>
      </w:tr>
    </w:tbl>
    <w:p>
      <w:pPr>
        <w:spacing w:after="0"/>
      </w:pPr>
    </w:p>
    <w:p>
      <w:pPr>
        <w:pStyle w:val="Heading1"/>
        <w:keepNext/>
        <w:keepLines/>
      </w:pPr>
      <w:r>
        <w:t>4 Solution and data-flow overview</w:t>
      </w:r>
    </w:p>
    <w:p>
      <w:pPr>
        <w:pStyle w:val="Heading2"/>
        <w:keepNext/>
        <w:keepLines/>
      </w:pPr>
      <w:r>
        <w:t>4.1 Logical solution context</w:t>
      </w:r>
    </w:p>
    <w:p>
      <w:pPr>
        <w:keepLines/>
      </w:pPr>
      <w:r>
        <w:t>Enterprise and plant services exchange logical contracts through CMP-MES-INT-001, which applies common authentication, schema/mapping, sequencing, acknowledgement, error, monitoring and reconciliation controls before CMP-MES-APP-001/CMP-MES-DB-001 use or publish the data. CMP-MES-REP-001 supports controlled reporting. CMP-ENT-IAM-001, CMP-ENT-TIME-001, CMP-ENT-BCK-001 and CMP-ENT-MON-001 provide cross-cutting identity, time, backup and monitoring services.</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DCE6F1"/>
            <w:tcMar>
              <w:top w:w="100" w:type="dxa"/>
              <w:start w:w="120" w:type="dxa"/>
              <w:bottom w:w="100" w:type="dxa"/>
              <w:end w:w="120" w:type="dxa"/>
            </w:tcMar>
          </w:tcPr>
          <w:p>
            <w:r>
              <w:rPr>
                <w:rFonts w:ascii="Calibri" w:hAnsi="Calibri"/>
                <w:b/>
                <w:i w:val="0"/>
                <w:color w:val="0B2545"/>
                <w:sz w:val="17"/>
              </w:rPr>
              <w:t xml:space="preserve">Conceptual flow: </w:t>
            </w:r>
            <w:r>
              <w:rPr>
                <w:rFonts w:ascii="Calibri" w:hAnsi="Calibri"/>
                <w:b w:val="0"/>
                <w:i w:val="0"/>
                <w:color w:val="202020"/>
                <w:sz w:val="17"/>
              </w:rPr>
              <w:t>ERP / LIMS / automation / identity / time / operational services -&gt; CMP-MES-INT-001 -&gt; MES application and data store -&gt; historian/reporting and operational services. Direction varies by family; no physical endpoint, protocol or platform is implied.</w:t>
            </w:r>
          </w:p>
        </w:tc>
      </w:tr>
    </w:tbl>
    <w:p>
      <w:pPr>
        <w:spacing w:after="0"/>
      </w:pPr>
    </w:p>
    <w:p>
      <w:pPr>
        <w:pStyle w:val="Heading2"/>
        <w:keepNext/>
        <w:keepLines/>
      </w:pPr>
      <w:r>
        <w:t>4.2 Interface family register</w:t>
      </w:r>
    </w:p>
    <w:tbl>
      <w:tblPr>
        <w:tblStyle w:val="TableGrid"/>
        <w:tblW w:type="auto" w:w="0"/>
        <w:jc w:val="left"/>
        <w:tblLayout w:type="fixed"/>
        <w:tblLook w:firstColumn="1" w:firstRow="1" w:lastColumn="0" w:lastRow="0" w:noHBand="0" w:noVBand="1" w:val="04A0"/>
        <w:tblInd w:w="120" w:type="dxa"/>
      </w:tblPr>
      <w:tblGrid>
        <w:gridCol w:w="1450"/>
        <w:gridCol w:w="1300"/>
        <w:gridCol w:w="2950"/>
        <w:gridCol w:w="2150"/>
        <w:gridCol w:w="1510"/>
      </w:tblGrid>
      <w:tr>
        <w:trPr>
          <w:tblHeader w:val="true"/>
          <w:cantSplit/>
        </w:trPr>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Family anchor</w:t>
            </w:r>
          </w:p>
        </w:tc>
        <w:tc>
          <w:tcPr>
            <w:tcW w:type="dxa" w:w="13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Direction</w:t>
            </w:r>
          </w:p>
        </w:tc>
        <w:tc>
          <w:tcPr>
            <w:tcW w:type="dxa" w:w="29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Business purpose</w:t>
            </w:r>
          </w:p>
        </w:tc>
        <w:tc>
          <w:tcPr>
            <w:tcW w:type="dxa" w:w="21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Principal providers / consumers</w:t>
            </w:r>
          </w:p>
        </w:tc>
        <w:tc>
          <w:tcPr>
            <w:tcW w:type="dxa" w:w="151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Current technology state</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INT-MES-ERP-001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Bidirectional</w:t>
            </w:r>
          </w:p>
        </w:tc>
        <w:tc>
          <w:tcPr>
            <w:tcW w:type="dxa" w:w="2950"/>
            <w:vAlign w:val="top"/>
            <w:tcMar>
              <w:top w:w="70" w:type="dxa"/>
              <w:start w:w="85" w:type="dxa"/>
              <w:bottom w:w="70" w:type="dxa"/>
              <w:end w:w="85" w:type="dxa"/>
            </w:tcMar>
          </w:tcPr>
          <w:p>
            <w:pPr>
              <w:spacing w:before="0" w:after="0" w:line="240" w:lineRule="auto"/>
            </w:pPr>
            <w:r>
              <w:rPr>
                <w:rFonts w:ascii="Calibri" w:hAnsi="Calibri"/>
                <w:color w:val="202020"/>
                <w:sz w:val="13"/>
              </w:rPr>
              <w:t>ERP order, master-data and manufacturing-confirmation exchange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INT-MES-LIMS-001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Bidirectional</w:t>
            </w:r>
          </w:p>
        </w:tc>
        <w:tc>
          <w:tcPr>
            <w:tcW w:type="dxa" w:w="2950"/>
            <w:vAlign w:val="top"/>
            <w:tcMar>
              <w:top w:w="70" w:type="dxa"/>
              <w:start w:w="85" w:type="dxa"/>
              <w:bottom w:w="70" w:type="dxa"/>
              <w:end w:w="85" w:type="dxa"/>
            </w:tcMar>
            <w:shd w:fill="EEF4F9"/>
          </w:tcPr>
          <w:p>
            <w:pPr>
              <w:spacing w:before="0" w:after="0" w:line="240" w:lineRule="auto"/>
            </w:pPr>
            <w:r>
              <w:rPr>
                <w:rFonts w:ascii="Calibri" w:hAnsi="Calibri"/>
                <w:color w:val="202020"/>
                <w:sz w:val="13"/>
              </w:rPr>
              <w:t>Laboratory sample, status, result and disposition exchange</w:t>
            </w:r>
          </w:p>
        </w:tc>
        <w:tc>
          <w:tcPr>
            <w:tcW w:type="dxa" w:w="215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INT-MES-AUT-001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Bidirectional</w:t>
            </w:r>
          </w:p>
        </w:tc>
        <w:tc>
          <w:tcPr>
            <w:tcW w:type="dxa" w:w="2950"/>
            <w:vAlign w:val="top"/>
            <w:tcMar>
              <w:top w:w="70" w:type="dxa"/>
              <w:start w:w="85" w:type="dxa"/>
              <w:bottom w:w="70" w:type="dxa"/>
              <w:end w:w="85" w:type="dxa"/>
            </w:tcMar>
          </w:tcPr>
          <w:p>
            <w:pPr>
              <w:spacing w:before="0" w:after="0" w:line="240" w:lineRule="auto"/>
            </w:pPr>
            <w:r>
              <w:rPr>
                <w:rFonts w:ascii="Calibri" w:hAnsi="Calibri"/>
                <w:color w:val="202020"/>
                <w:sz w:val="13"/>
              </w:rPr>
              <w:t>Automation commands, recipe context, measurements, alarms and events</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INT-MES-HIS-001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Outbound from MES</w:t>
            </w:r>
          </w:p>
        </w:tc>
        <w:tc>
          <w:tcPr>
            <w:tcW w:type="dxa" w:w="2950"/>
            <w:vAlign w:val="top"/>
            <w:tcMar>
              <w:top w:w="70" w:type="dxa"/>
              <w:start w:w="85" w:type="dxa"/>
              <w:bottom w:w="70" w:type="dxa"/>
              <w:end w:w="85" w:type="dxa"/>
            </w:tcMar>
            <w:shd w:fill="EEF4F9"/>
          </w:tcPr>
          <w:p>
            <w:pPr>
              <w:spacing w:before="0" w:after="0" w:line="240" w:lineRule="auto"/>
            </w:pPr>
            <w:r>
              <w:rPr>
                <w:rFonts w:ascii="Calibri" w:hAnsi="Calibri"/>
                <w:color w:val="202020"/>
                <w:sz w:val="13"/>
              </w:rPr>
              <w:t>Historian and reporting publication</w:t>
            </w:r>
          </w:p>
        </w:tc>
        <w:tc>
          <w:tcPr>
            <w:tcW w:type="dxa" w:w="215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INT-MES-IAM-001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Inbound to MES</w:t>
            </w:r>
          </w:p>
        </w:tc>
        <w:tc>
          <w:tcPr>
            <w:tcW w:type="dxa" w:w="2950"/>
            <w:vAlign w:val="top"/>
            <w:tcMar>
              <w:top w:w="70" w:type="dxa"/>
              <w:start w:w="85" w:type="dxa"/>
              <w:bottom w:w="70" w:type="dxa"/>
              <w:end w:w="85" w:type="dxa"/>
            </w:tcMar>
          </w:tcPr>
          <w:p>
            <w:pPr>
              <w:spacing w:before="0" w:after="0" w:line="240" w:lineRule="auto"/>
            </w:pPr>
            <w:r>
              <w:rPr>
                <w:rFonts w:ascii="Calibri" w:hAnsi="Calibri"/>
                <w:color w:val="202020"/>
                <w:sz w:val="13"/>
              </w:rPr>
              <w:t>Enterprise identity authentication outcome and attributes</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INT-MES-TIM-001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Inbound to MES components</w:t>
            </w:r>
          </w:p>
        </w:tc>
        <w:tc>
          <w:tcPr>
            <w:tcW w:type="dxa" w:w="295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Authoritative time and time-health service</w:t>
            </w:r>
          </w:p>
        </w:tc>
        <w:tc>
          <w:tcPr>
            <w:tcW w:type="dxa" w:w="215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Pattern, platform, protocol, endpoint, port, version and capacity Verify</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INT-MES-OPS-001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Service / bidirectional</w:t>
            </w:r>
          </w:p>
        </w:tc>
        <w:tc>
          <w:tcPr>
            <w:tcW w:type="dxa" w:w="2950"/>
            <w:vAlign w:val="top"/>
            <w:tcMar>
              <w:top w:w="70" w:type="dxa"/>
              <w:start w:w="85" w:type="dxa"/>
              <w:bottom w:w="70" w:type="dxa"/>
              <w:end w:w="85" w:type="dxa"/>
            </w:tcMar>
          </w:tcPr>
          <w:p>
            <w:pPr>
              <w:spacing w:before="0" w:after="0" w:line="240" w:lineRule="auto"/>
            </w:pPr>
            <w:r>
              <w:rPr>
                <w:rFonts w:ascii="Calibri" w:hAnsi="Calibri"/>
                <w:color w:val="202020"/>
                <w:sz w:val="13"/>
              </w:rPr>
              <w:t>Monitoring, alert, backup, restore and recovery-service exchange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3"/>
              </w:rPr>
              <w:t>Provider/consumer system roles from SYS; exact products/owners Verify</w:t>
            </w:r>
          </w:p>
        </w:tc>
        <w:tc>
          <w:tcPr>
            <w:tcW w:type="dxa" w:w="1510"/>
            <w:vAlign w:val="top"/>
            <w:tcMar>
              <w:top w:w="70" w:type="dxa"/>
              <w:start w:w="85" w:type="dxa"/>
              <w:bottom w:w="70" w:type="dxa"/>
              <w:end w:w="85" w:type="dxa"/>
            </w:tcMar>
          </w:tcPr>
          <w:p>
            <w:pPr>
              <w:spacing w:before="0" w:after="0" w:line="240" w:lineRule="auto"/>
            </w:pPr>
            <w:r>
              <w:rPr>
                <w:rFonts w:ascii="Calibri" w:hAnsi="Calibri"/>
                <w:color w:val="202020"/>
                <w:sz w:val="13"/>
              </w:rPr>
              <w:t>Pattern, platform, protocol, endpoint, port, version and capacity Verify</w:t>
            </w:r>
          </w:p>
        </w:tc>
      </w:tr>
    </w:tbl>
    <w:p>
      <w:pPr>
        <w:spacing w:after="0"/>
      </w:pPr>
    </w:p>
    <w:p>
      <w:pPr>
        <w:pStyle w:val="Heading2"/>
        <w:keepNext/>
        <w:keepLines/>
      </w:pPr>
      <w:r>
        <w:t>4.3 Logical contract inventory</w:t>
      </w:r>
    </w:p>
    <w:tbl>
      <w:tblPr>
        <w:tblStyle w:val="TableGrid"/>
        <w:tblW w:type="auto" w:w="0"/>
        <w:jc w:val="left"/>
        <w:tblLayout w:type="fixed"/>
        <w:tblLook w:firstColumn="1" w:firstRow="1" w:lastColumn="0" w:lastRow="0" w:noHBand="0" w:noVBand="1" w:val="04A0"/>
        <w:tblInd w:w="120" w:type="dxa"/>
      </w:tblPr>
      <w:tblGrid>
        <w:gridCol w:w="1250"/>
        <w:gridCol w:w="650"/>
        <w:gridCol w:w="1250"/>
        <w:gridCol w:w="2450"/>
        <w:gridCol w:w="1800"/>
        <w:gridCol w:w="1960"/>
      </w:tblGrid>
      <w:tr>
        <w:trPr>
          <w:tblHeader w:val="true"/>
          <w:cantSplit/>
        </w:trPr>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Contract ID</w:t>
            </w:r>
          </w:p>
        </w:tc>
        <w:tc>
          <w:tcPr>
            <w:tcW w:type="dxa" w:w="6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Family</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Direction</w:t>
            </w:r>
          </w:p>
        </w:tc>
        <w:tc>
          <w:tcPr>
            <w:tcW w:type="dxa" w:w="24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Business object / event</w:t>
            </w:r>
          </w:p>
        </w:tc>
        <w:tc>
          <w:tcPr>
            <w:tcW w:type="dxa" w:w="18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Trigger</w:t>
            </w:r>
          </w:p>
        </w:tc>
        <w:tc>
          <w:tcPr>
            <w:tcW w:type="dxa" w:w="196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Acceptance outcome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ERP-ORD-IN</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ERP</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ERP -&gt; MES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Authorised production order</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Order release/update</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Accepted, rejected or quarantined with acknowledgement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ERP-MST-IN</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ERP</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ERP -&gt; MES</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Applicable product/material/master data</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master-data publish</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Versioned object accepted, rejected or quarantined</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ERP-CNF-OUT</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ERP</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MES -&gt; ERP</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Manufacturing confirmation, consumption and yield</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Authorised MES business state</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Correlated acknowledgement or visible uncertain/rejected state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ERP-STS-OUT</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ERP</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MES -&gt; ERP</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Applicable manufacturing status</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status transition</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Idempotent state acknowledgement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LIMS-SRQ-OUT</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LIMS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MES -&gt; LIMS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Sample request and batch/sample context</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Authorised sampling step</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Stable request identity and acknowledgement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LIMS-STS-IN</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LIMS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LIMS -&gt; MES</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Sample status</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Authorised LIMS status transition</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Matched permitted state or quarantine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LIMS-RES-IN</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LIMS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LIMS -&gt; MES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Result/disposition and qualifiers</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Authorised result/disposition publish</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Current matched result available or quarantine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AUT-CMD-OUT</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MES -&gt; automation</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Command, setpoint or recipe context</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Permitted active batch/step state</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Acknowledged command/final state or safe failure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AUT-DAT-IN</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AUT</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Automation -&gt; MES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Measurement and status</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Equipment event/sample interval</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Contextual validated value/status or exception</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AUT-EVT-IN</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Automation -&gt; MES</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Alarm and event</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Automation event</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Sequenced contextual event and configured MES response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HIS-DAT-OUT</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HIS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MES -&gt; historian/reporting</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Approved process/performance data</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Configured publication/checkpoint</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Complete lineage-preserving publication</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HIS-EVT-OUT</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MES -&gt; historian/reporting</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event/audit context</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Configured event publication</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Complete publication with no write-back</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IAM-AUT-IN</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IAM</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Identity service -&gt; MES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Authentication outcome/assertion</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Interactive authentication/re-authentication</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Unique accepted identity or fail-closed denial</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IAM-ATR-IN</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IAM</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 service -&gt; MES</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identity attributes</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 lifecycle/authentication event</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Traceable attribute set; no silent MES-role grant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TIM-SYN-IN</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TIM</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Time service -&gt; components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Authoritative synchronization</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Scheduled/continuous synchronization</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Trusted synchronized state or visible drift/loss</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TIM-HLT-IN</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TIM</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Time service -&gt; monitoring</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Time health/drift state</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Health evaluation</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Contextual alert/block response per approved threshold</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OPS-HLT-OUT</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OPS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MES components -&gt; monitoring</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Health/capacity/job/queue telemetry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Scheduled/event-driven collection</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Current correlated service state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OPS-ALT-OUT</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Monitoring -&gt; support route</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Actionable alert</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Configured rule breach</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Delivered/acknowledged/escalated lifecycle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OPS-BCK-STS</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OPS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Backup service -&gt; MES operations</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Backup scope/run/result</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Backup execution</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Complete status and failed/omitted scope visibility</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OPS-RCV-STS</w:t>
            </w:r>
          </w:p>
        </w:tc>
        <w:tc>
          <w:tcPr>
            <w:tcW w:type="dxa" w:w="65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2"/>
              </w:rPr>
              <w:t>Recovery services -&gt; MES operations</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2"/>
              </w:rPr>
              <w:t>Restore/recovery point and state</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Authorised recovery activity</w:t>
            </w:r>
          </w:p>
        </w:tc>
        <w:tc>
          <w:tcPr>
            <w:tcW w:type="dxa" w:w="1960"/>
            <w:vAlign w:val="top"/>
            <w:tcMar>
              <w:top w:w="70" w:type="dxa"/>
              <w:start w:w="85" w:type="dxa"/>
              <w:bottom w:w="70" w:type="dxa"/>
              <w:end w:w="85" w:type="dxa"/>
            </w:tcMar>
            <w:shd w:fill="EEF4F9"/>
          </w:tcPr>
          <w:p>
            <w:pPr>
              <w:spacing w:before="0" w:after="0" w:line="240" w:lineRule="auto"/>
            </w:pPr>
            <w:r>
              <w:rPr>
                <w:rFonts w:ascii="Calibri" w:hAnsi="Calibri"/>
                <w:color w:val="202020"/>
                <w:sz w:val="12"/>
              </w:rPr>
              <w:t>Validated/reconciled state or blocked resume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OPS-DIA-OUT</w:t>
            </w:r>
          </w:p>
        </w:tc>
        <w:tc>
          <w:tcPr>
            <w:tcW w:type="dxa" w:w="650"/>
            <w:vAlign w:val="top"/>
            <w:tcMar>
              <w:top w:w="70" w:type="dxa"/>
              <w:start w:w="85" w:type="dxa"/>
              <w:bottom w:w="70" w:type="dxa"/>
              <w:end w:w="85" w:type="dxa"/>
            </w:tcMar>
          </w:tcPr>
          <w:p>
            <w:pPr>
              <w:spacing w:before="0" w:after="0" w:line="240" w:lineRule="auto"/>
            </w:pPr>
            <w:r>
              <w:rPr>
                <w:rFonts w:ascii="Calibri" w:hAnsi="Calibri"/>
                <w:color w:val="202020"/>
                <w:sz w:val="12"/>
              </w:rPr>
              <w:t>OPS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2"/>
              </w:rPr>
              <w:t>MES components -&gt; support</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2"/>
              </w:rPr>
              <w:t>Protected diagnostic/correlation context</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Failure/investigation request</w:t>
            </w:r>
          </w:p>
        </w:tc>
        <w:tc>
          <w:tcPr>
            <w:tcW w:type="dxa" w:w="1960"/>
            <w:vAlign w:val="top"/>
            <w:tcMar>
              <w:top w:w="70" w:type="dxa"/>
              <w:start w:w="85" w:type="dxa"/>
              <w:bottom w:w="70" w:type="dxa"/>
              <w:end w:w="85" w:type="dxa"/>
            </w:tcMar>
          </w:tcPr>
          <w:p>
            <w:pPr>
              <w:spacing w:before="0" w:after="0" w:line="240" w:lineRule="auto"/>
            </w:pPr>
            <w:r>
              <w:rPr>
                <w:rFonts w:ascii="Calibri" w:hAnsi="Calibri"/>
                <w:color w:val="202020"/>
                <w:sz w:val="12"/>
              </w:rPr>
              <w:t>Sufficient controlled evidence without excess data</w:t>
            </w:r>
          </w:p>
        </w:tc>
      </w:tr>
    </w:tbl>
    <w:p>
      <w:pPr>
        <w:spacing w:after="0"/>
      </w:pPr>
    </w:p>
    <w:p>
      <w:pPr>
        <w:pStyle w:val="Heading1"/>
        <w:keepNext/>
        <w:keepLines/>
      </w:pPr>
      <w:r>
        <w:t>5 Common interface architecture and control model</w:t>
      </w:r>
    </w:p>
    <w:p>
      <w:pPr>
        <w:pStyle w:val="Heading2"/>
        <w:keepNext/>
        <w:keepLines/>
      </w:pPr>
      <w:r>
        <w:t>5.1 Common transaction state</w:t>
      </w:r>
    </w:p>
    <w:tbl>
      <w:tblPr>
        <w:tblStyle w:val="TableGrid"/>
        <w:tblW w:type="auto" w:w="0"/>
        <w:jc w:val="left"/>
        <w:tblLayout w:type="fixed"/>
        <w:tblLook w:firstColumn="1" w:firstRow="1" w:lastColumn="0" w:lastRow="0" w:noHBand="0" w:noVBand="1" w:val="04A0"/>
        <w:tblInd w:w="120" w:type="dxa"/>
      </w:tblPr>
      <w:tblGrid>
        <w:gridCol w:w="1700"/>
        <w:gridCol w:w="3550"/>
        <w:gridCol w:w="4110"/>
      </w:tblGrid>
      <w:tr>
        <w:trPr>
          <w:tblHeader w:val="true"/>
          <w:cantSplit/>
        </w:trPr>
        <w:tc>
          <w:tcPr>
            <w:tcW w:type="dxa" w:w="17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State</w:t>
            </w:r>
          </w:p>
        </w:tc>
        <w:tc>
          <w:tcPr>
            <w:tcW w:type="dxa" w:w="35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Meaning</w:t>
            </w:r>
          </w:p>
        </w:tc>
        <w:tc>
          <w:tcPr>
            <w:tcW w:type="dxa" w:w="41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Permitted control / transition</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Created</w:t>
            </w:r>
          </w:p>
        </w:tc>
        <w:tc>
          <w:tcPr>
            <w:tcW w:type="dxa" w:w="3550"/>
            <w:vAlign w:val="top"/>
            <w:tcMar>
              <w:top w:w="70" w:type="dxa"/>
              <w:start w:w="85" w:type="dxa"/>
              <w:bottom w:w="70" w:type="dxa"/>
              <w:end w:w="85" w:type="dxa"/>
            </w:tcMar>
          </w:tcPr>
          <w:p>
            <w:pPr>
              <w:spacing w:before="0" w:after="0" w:line="240" w:lineRule="auto"/>
            </w:pPr>
            <w:r>
              <w:rPr>
                <w:rFonts w:ascii="Calibri" w:hAnsi="Calibri"/>
                <w:color w:val="202020"/>
                <w:sz w:val="14"/>
              </w:rPr>
              <w:t>Message and stable identity created from an authorised source state.</w:t>
            </w:r>
          </w:p>
        </w:tc>
        <w:tc>
          <w:tcPr>
            <w:tcW w:type="dxa" w:w="4110"/>
            <w:vAlign w:val="top"/>
            <w:tcMar>
              <w:top w:w="70" w:type="dxa"/>
              <w:start w:w="85" w:type="dxa"/>
              <w:bottom w:w="70" w:type="dxa"/>
              <w:end w:w="85" w:type="dxa"/>
            </w:tcMar>
          </w:tcPr>
          <w:p>
            <w:pPr>
              <w:spacing w:before="0" w:after="0" w:line="240" w:lineRule="auto"/>
            </w:pPr>
            <w:r>
              <w:rPr>
                <w:rFonts w:ascii="Calibri" w:hAnsi="Calibri"/>
                <w:color w:val="202020"/>
                <w:sz w:val="14"/>
              </w:rPr>
              <w:t>Validate before transmission/processing.</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Validated</w:t>
            </w:r>
          </w:p>
        </w:tc>
        <w:tc>
          <w:tcPr>
            <w:tcW w:type="dxa" w:w="35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Authentication, schema, mapping, required fields and state checks pass.</w:t>
            </w:r>
          </w:p>
        </w:tc>
        <w:tc>
          <w:tcPr>
            <w:tcW w:type="dxa" w:w="4110"/>
            <w:vAlign w:val="top"/>
            <w:tcMar>
              <w:top w:w="70" w:type="dxa"/>
              <w:start w:w="85" w:type="dxa"/>
              <w:bottom w:w="70" w:type="dxa"/>
              <w:end w:w="85" w:type="dxa"/>
            </w:tcMar>
            <w:shd w:fill="EEF4F9"/>
          </w:tcPr>
          <w:p>
            <w:pPr>
              <w:spacing w:before="0" w:after="0" w:line="240" w:lineRule="auto"/>
            </w:pPr>
            <w:r>
              <w:rPr>
                <w:rFonts w:ascii="Calibri" w:hAnsi="Calibri"/>
                <w:color w:val="202020"/>
                <w:sz w:val="14"/>
              </w:rPr>
              <w:t>Transmit/process once; otherwise Reject or Quarantine.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Sent / Received</w:t>
            </w:r>
          </w:p>
        </w:tc>
        <w:tc>
          <w:tcPr>
            <w:tcW w:type="dxa" w:w="3550"/>
            <w:vAlign w:val="top"/>
            <w:tcMar>
              <w:top w:w="70" w:type="dxa"/>
              <w:start w:w="85" w:type="dxa"/>
              <w:bottom w:w="70" w:type="dxa"/>
              <w:end w:w="85" w:type="dxa"/>
            </w:tcMar>
          </w:tcPr>
          <w:p>
            <w:pPr>
              <w:spacing w:before="0" w:after="0" w:line="240" w:lineRule="auto"/>
            </w:pPr>
            <w:r>
              <w:rPr>
                <w:rFonts w:ascii="Calibri" w:hAnsi="Calibri"/>
                <w:color w:val="202020"/>
                <w:sz w:val="14"/>
              </w:rPr>
              <w:t>Transfer observed with correlation identity and time.</w:t>
            </w:r>
          </w:p>
        </w:tc>
        <w:tc>
          <w:tcPr>
            <w:tcW w:type="dxa" w:w="4110"/>
            <w:vAlign w:val="top"/>
            <w:tcMar>
              <w:top w:w="70" w:type="dxa"/>
              <w:start w:w="85" w:type="dxa"/>
              <w:bottom w:w="70" w:type="dxa"/>
              <w:end w:w="85" w:type="dxa"/>
            </w:tcMar>
          </w:tcPr>
          <w:p>
            <w:pPr>
              <w:spacing w:before="0" w:after="0" w:line="240" w:lineRule="auto"/>
            </w:pPr>
            <w:r>
              <w:rPr>
                <w:rFonts w:ascii="Calibri" w:hAnsi="Calibri"/>
                <w:color w:val="202020"/>
                <w:sz w:val="14"/>
              </w:rPr>
              <w:t>Await acknowledgement or processing result.</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Acknowledged</w:t>
            </w:r>
          </w:p>
        </w:tc>
        <w:tc>
          <w:tcPr>
            <w:tcW w:type="dxa" w:w="355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Destination confirms accepted receipt, not necessarily business completion.</w:t>
            </w:r>
          </w:p>
        </w:tc>
        <w:tc>
          <w:tcPr>
            <w:tcW w:type="dxa" w:w="4110"/>
            <w:vAlign w:val="top"/>
            <w:tcMar>
              <w:top w:w="70" w:type="dxa"/>
              <w:start w:w="85" w:type="dxa"/>
              <w:bottom w:w="70" w:type="dxa"/>
              <w:end w:w="85" w:type="dxa"/>
            </w:tcMar>
            <w:shd w:fill="EEF4F9"/>
          </w:tcPr>
          <w:p>
            <w:pPr>
              <w:spacing w:before="0" w:after="0" w:line="240" w:lineRule="auto"/>
            </w:pPr>
            <w:r>
              <w:rPr>
                <w:rFonts w:ascii="Calibri" w:hAnsi="Calibri"/>
                <w:color w:val="202020"/>
                <w:sz w:val="14"/>
              </w:rPr>
              <w:t>Move to Completed only after defined business response.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Completed</w:t>
            </w:r>
          </w:p>
        </w:tc>
        <w:tc>
          <w:tcPr>
            <w:tcW w:type="dxa" w:w="3550"/>
            <w:vAlign w:val="top"/>
            <w:tcMar>
              <w:top w:w="70" w:type="dxa"/>
              <w:start w:w="85" w:type="dxa"/>
              <w:bottom w:w="70" w:type="dxa"/>
              <w:end w:w="85" w:type="dxa"/>
            </w:tcMar>
          </w:tcPr>
          <w:p>
            <w:pPr>
              <w:spacing w:before="0" w:after="0" w:line="240" w:lineRule="auto"/>
            </w:pPr>
            <w:r>
              <w:rPr>
                <w:rFonts w:ascii="Calibri" w:hAnsi="Calibri"/>
                <w:color w:val="202020"/>
                <w:sz w:val="14"/>
              </w:rPr>
              <w:t>Configured business processing and reconciliation criteria pass.</w:t>
            </w:r>
          </w:p>
        </w:tc>
        <w:tc>
          <w:tcPr>
            <w:tcW w:type="dxa" w:w="4110"/>
            <w:vAlign w:val="top"/>
            <w:tcMar>
              <w:top w:w="70" w:type="dxa"/>
              <w:start w:w="85" w:type="dxa"/>
              <w:bottom w:w="70" w:type="dxa"/>
              <w:end w:w="85" w:type="dxa"/>
            </w:tcMar>
          </w:tcPr>
          <w:p>
            <w:pPr>
              <w:spacing w:before="0" w:after="0" w:line="240" w:lineRule="auto"/>
            </w:pPr>
            <w:r>
              <w:rPr>
                <w:rFonts w:ascii="Calibri" w:hAnsi="Calibri"/>
                <w:color w:val="202020"/>
                <w:sz w:val="14"/>
              </w:rPr>
              <w:t>Terminal unless controlled correction/reversal is defined.</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Rejected</w:t>
            </w:r>
          </w:p>
        </w:tc>
        <w:tc>
          <w:tcPr>
            <w:tcW w:type="dxa" w:w="355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Deterministic validation or destination rejection.</w:t>
            </w:r>
          </w:p>
        </w:tc>
        <w:tc>
          <w:tcPr>
            <w:tcW w:type="dxa" w:w="41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Correct source/configuration; create new or authorised replay as designed.</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Timed out / Uncertain</w:t>
            </w:r>
          </w:p>
        </w:tc>
        <w:tc>
          <w:tcPr>
            <w:tcW w:type="dxa" w:w="3550"/>
            <w:vAlign w:val="top"/>
            <w:tcMar>
              <w:top w:w="70" w:type="dxa"/>
              <w:start w:w="85" w:type="dxa"/>
              <w:bottom w:w="70" w:type="dxa"/>
              <w:end w:w="85" w:type="dxa"/>
            </w:tcMar>
          </w:tcPr>
          <w:p>
            <w:pPr>
              <w:spacing w:before="0" w:after="0" w:line="240" w:lineRule="auto"/>
            </w:pPr>
            <w:r>
              <w:rPr>
                <w:rFonts w:ascii="Calibri" w:hAnsi="Calibri"/>
                <w:color w:val="202020"/>
                <w:sz w:val="14"/>
              </w:rPr>
              <w:t>No reliable final response within approved value.</w:t>
            </w:r>
          </w:p>
        </w:tc>
        <w:tc>
          <w:tcPr>
            <w:tcW w:type="dxa" w:w="4110"/>
            <w:vAlign w:val="top"/>
            <w:tcMar>
              <w:top w:w="70" w:type="dxa"/>
              <w:start w:w="85" w:type="dxa"/>
              <w:bottom w:w="70" w:type="dxa"/>
              <w:end w:w="85" w:type="dxa"/>
            </w:tcMar>
          </w:tcPr>
          <w:p>
            <w:pPr>
              <w:spacing w:before="0" w:after="0" w:line="240" w:lineRule="auto"/>
            </w:pPr>
            <w:r>
              <w:rPr>
                <w:rFonts w:ascii="Calibri" w:hAnsi="Calibri"/>
                <w:color w:val="202020"/>
                <w:sz w:val="14"/>
              </w:rPr>
              <w:t>Do not assume success; reconcile before replay.</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Quarantined</w:t>
            </w:r>
          </w:p>
        </w:tc>
        <w:tc>
          <w:tcPr>
            <w:tcW w:type="dxa" w:w="3550"/>
            <w:vAlign w:val="top"/>
            <w:tcMar>
              <w:top w:w="70" w:type="dxa"/>
              <w:start w:w="85" w:type="dxa"/>
              <w:bottom w:w="70" w:type="dxa"/>
              <w:end w:w="85" w:type="dxa"/>
            </w:tcMar>
            <w:shd w:fill="EEF4F9"/>
          </w:tcPr>
          <w:p>
            <w:pPr>
              <w:spacing w:before="0" w:after="0" w:line="240" w:lineRule="auto"/>
            </w:pPr>
            <w:r>
              <w:rPr>
                <w:rFonts w:ascii="Calibri" w:hAnsi="Calibri"/>
                <w:color w:val="202020"/>
                <w:sz w:val="14"/>
              </w:rPr>
              <w:t>Identity/state/mapping/data integrity cannot be trusted for use.</w:t>
            </w:r>
          </w:p>
        </w:tc>
        <w:tc>
          <w:tcPr>
            <w:tcW w:type="dxa" w:w="411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Authorised investigation and disposition required.</w:t>
            </w:r>
          </w:p>
        </w:tc>
      </w:tr>
    </w:tbl>
    <w:p>
      <w:pPr>
        <w:spacing w:after="0"/>
      </w:pPr>
    </w:p>
    <w:p>
      <w:pPr>
        <w:pStyle w:val="Heading2"/>
        <w:keepNext/>
        <w:keepLines/>
      </w:pPr>
      <w:r>
        <w:t>5.2 Common control envelope</w:t>
      </w:r>
    </w:p>
    <w:tbl>
      <w:tblPr>
        <w:tblStyle w:val="TableGrid"/>
        <w:tblW w:type="auto" w:w="0"/>
        <w:jc w:val="left"/>
        <w:tblLayout w:type="fixed"/>
        <w:tblLook w:firstColumn="1" w:firstRow="1" w:lastColumn="0" w:lastRow="0" w:noHBand="0" w:noVBand="1" w:val="04A0"/>
        <w:tblInd w:w="120" w:type="dxa"/>
      </w:tblPr>
      <w:tblGrid>
        <w:gridCol w:w="1900"/>
        <w:gridCol w:w="4750"/>
        <w:gridCol w:w="2710"/>
      </w:tblGrid>
      <w:tr>
        <w:trPr>
          <w:tblHeader w:val="true"/>
          <w:cantSplit/>
        </w:trPr>
        <w:tc>
          <w:tcPr>
            <w:tcW w:type="dxa" w:w="19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Control</w:t>
            </w:r>
          </w:p>
        </w:tc>
        <w:tc>
          <w:tcPr>
            <w:tcW w:type="dxa" w:w="47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Required design intent</w:t>
            </w:r>
          </w:p>
        </w:tc>
        <w:tc>
          <w:tcPr>
            <w:tcW w:type="dxa" w:w="27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Downstream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Source/destination trust</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Authenticate endpoints and validate permitted environment/service identity before exchange.</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Mechanism, certificate/secret lifecycle and trust store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Contract and mapping version</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Identify schema/resource/message and transformation version on every transaction/evidence record.</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Artifact format and repository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Validation</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Validate required fields, types, formats, ranges, codes, state and business identity before use.</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Exact schema and rule catalogue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Sequence and idempotency</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Use stable message/business/correlation identities to detect gaps, reordering and duplicates.</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Sequence store and idempotency window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Acknowledgement</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Separate technical receipt, business acceptance and final processing outcome.</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Acknowledgement contract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Timeout/retry/replay</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Keep uncertain state visible; bounded retries; authorised, traceable, idempotent replay.</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Timeouts, retry/backoff and replay permissions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Error/quarantine</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Retain original transaction, safe error, context, age, owner and disposition state.</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Queue implementation and severity model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Reconciliation</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Compare source, interface and target population/state with documented control totals and exceptions.</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Frequency, ownership and thresholds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Audit/logging</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Record security, configuration, mapping, transaction state and replay/disposition actions without secrets.</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Event catalogue, retention and masking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Monitoring/capacity</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Expose availability, latency, volume, backlog, failure, security and data-quality signals.</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Targets, thresholds, routing and SLO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Change/version/deprecation</w:t>
            </w:r>
          </w:p>
        </w:tc>
        <w:tc>
          <w:tcPr>
            <w:tcW w:type="dxa" w:w="4750"/>
            <w:vAlign w:val="top"/>
            <w:tcMar>
              <w:top w:w="70" w:type="dxa"/>
              <w:start w:w="85" w:type="dxa"/>
              <w:bottom w:w="70" w:type="dxa"/>
              <w:end w:w="85" w:type="dxa"/>
            </w:tcMar>
          </w:tcPr>
          <w:p>
            <w:pPr>
              <w:spacing w:before="0" w:after="0" w:line="240" w:lineRule="auto"/>
            </w:pPr>
            <w:r>
              <w:rPr>
                <w:rFonts w:ascii="Calibri" w:hAnsi="Calibri"/>
                <w:color w:val="202020"/>
                <w:sz w:val="14"/>
              </w:rPr>
              <w:t>Maintain versions/consumers, assess upstream/downstream impact and allow controlled migration.</w:t>
            </w:r>
          </w:p>
        </w:tc>
        <w:tc>
          <w:tcPr>
            <w:tcW w:type="dxa" w:w="2710"/>
            <w:vAlign w:val="top"/>
            <w:tcMar>
              <w:top w:w="70" w:type="dxa"/>
              <w:start w:w="85" w:type="dxa"/>
              <w:bottom w:w="70" w:type="dxa"/>
              <w:end w:w="85" w:type="dxa"/>
            </w:tcMar>
          </w:tcPr>
          <w:p>
            <w:pPr>
              <w:spacing w:before="0" w:after="0" w:line="240" w:lineRule="auto"/>
            </w:pPr>
            <w:r>
              <w:rPr>
                <w:rFonts w:ascii="Calibri" w:hAnsi="Calibri"/>
                <w:color w:val="202020"/>
                <w:sz w:val="14"/>
              </w:rPr>
              <w:t>Version scheme and notice/retirement period Verify.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Recovery</w:t>
            </w:r>
          </w:p>
        </w:tc>
        <w:tc>
          <w:tcPr>
            <w:tcW w:type="dxa" w:w="4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Recover configuration/state/checkpoints and reconcile before business or regulated resume.</w:t>
            </w:r>
          </w:p>
        </w:tc>
        <w:tc>
          <w:tcPr>
            <w:tcW w:type="dxa" w:w="2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Backup scope, RPO/RTO and exercise evidence Verify.</w:t>
            </w:r>
          </w:p>
        </w:tc>
      </w:tr>
    </w:tbl>
    <w:p>
      <w:pPr>
        <w:spacing w:after="0"/>
      </w:pPr>
    </w:p>
    <w:p>
      <w:pPr>
        <w:pStyle w:val="Heading2"/>
        <w:keepNext/>
        <w:keepLines/>
      </w:pPr>
      <w:r>
        <w:t>5.3 Reuse and coupling principles</w:t>
      </w:r>
    </w:p>
    <w:p>
      <w:pPr>
        <w:pStyle w:val="ListBullet"/>
        <w:spacing w:after="40" w:line="252" w:lineRule="auto"/>
        <w:keepLines/>
      </w:pPr>
      <w:r>
        <w:rPr>
          <w:rFonts w:ascii="Calibri" w:hAnsi="Calibri"/>
          <w:b w:val="0"/>
          <w:i w:val="0"/>
          <w:color w:val="202020"/>
          <w:sz w:val="18"/>
        </w:rPr>
        <w:t>Define interface contracts independently from one consumer implementation and use stable business identities and versioned data models where feasible.</w:t>
      </w:r>
    </w:p>
    <w:p>
      <w:pPr>
        <w:pStyle w:val="ListBullet"/>
        <w:spacing w:after="40" w:line="252" w:lineRule="auto"/>
        <w:keepLines/>
      </w:pPr>
      <w:r>
        <w:rPr>
          <w:rFonts w:ascii="Calibri" w:hAnsi="Calibri"/>
          <w:b w:val="0"/>
          <w:i w:val="0"/>
          <w:color w:val="202020"/>
          <w:sz w:val="18"/>
        </w:rPr>
        <w:t>Distinguish interface requirements/specifications from coupled-system requirements; reference URS/FS rather than duplicating controlled requirement text.</w:t>
      </w:r>
    </w:p>
    <w:p>
      <w:pPr>
        <w:pStyle w:val="ListBullet"/>
        <w:spacing w:after="40" w:line="252" w:lineRule="auto"/>
        <w:keepLines/>
      </w:pPr>
      <w:r>
        <w:rPr>
          <w:rFonts w:ascii="Calibri" w:hAnsi="Calibri"/>
          <w:b w:val="0"/>
          <w:i w:val="0"/>
          <w:color w:val="202020"/>
          <w:sz w:val="18"/>
        </w:rPr>
        <w:t>Assess existing strategic interface-platform components, connectors and reusable services before custom development.</w:t>
      </w:r>
    </w:p>
    <w:p>
      <w:pPr>
        <w:pStyle w:val="ListBullet"/>
        <w:spacing w:after="40" w:line="252" w:lineRule="auto"/>
        <w:keepLines/>
      </w:pPr>
      <w:r>
        <w:rPr>
          <w:rFonts w:ascii="Calibri" w:hAnsi="Calibri"/>
          <w:b w:val="0"/>
          <w:i w:val="0"/>
          <w:color w:val="202020"/>
          <w:sz w:val="18"/>
        </w:rPr>
        <w:t>Document future consumer and version/deprecation implications in the interface terms of service and consumer inventory.</w:t>
      </w:r>
    </w:p>
    <w:p>
      <w:pPr>
        <w:pStyle w:val="ListBullet"/>
        <w:spacing w:after="40" w:line="252" w:lineRule="auto"/>
        <w:keepLines/>
      </w:pPr>
      <w:r>
        <w:rPr>
          <w:rFonts w:ascii="Calibri" w:hAnsi="Calibri"/>
          <w:b w:val="0"/>
          <w:i w:val="0"/>
          <w:color w:val="202020"/>
          <w:sz w:val="18"/>
        </w:rPr>
        <w:t>If custom code is selected, apply specification, coding standards, risk-based code review, unit/integration/system verification and maintainability controls.</w:t>
      </w:r>
    </w:p>
    <w:p>
      <w:r>
        <w:br w:type="page"/>
      </w:r>
    </w:p>
    <w:p>
      <w:pPr>
        <w:pStyle w:val="Heading1"/>
        <w:keepNext/>
        <w:keepLines/>
      </w:pPr>
      <w:r>
        <w:t>6 Detailed integration requirements</w:t>
      </w:r>
    </w:p>
    <w:p>
      <w:pPr>
        <w:keepLines/>
      </w:pPr>
      <w:r>
        <w:t>The requirements below are logical design requirements. Each includes an acceptance focus but no executed test result. Detailed technical values and mapping artifacts remain controlled downstream work.</w:t>
      </w:r>
    </w:p>
    <w:p>
      <w:pPr>
        <w:pStyle w:val="Heading2"/>
        <w:keepNext/>
        <w:keepLines/>
      </w:pPr>
      <w:r>
        <w:t>6.1 ERP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Authorised order and master-data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accept an order or master-data object only from the designated authenticated ERP source and shall preserve the source object identity, version, status, business context and receipt time before the MES release gate evaluates it.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Process valid and unauthorised-source objects; verify only the designated source creates a traceable candidate and no object becomes executable solely because it was received.</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URS-MES-001 / FS-MES-001, URS-MES-028 / FS-MES-028,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RSK-MES-001, RSK-MES-021, 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Authorised manufacturing-confirmation egress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create confirmation, consumption, yield and applicable status output only from an authorised MES state and shall bind every payload to the originating batch/order, output version and creation event.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authorised and prohibited source states; verify prohibited or incomplete states produce no outbound business success.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contract completeness and schema</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Inbound and outbound contracts shall define required identifiers, status/version attributes, quantities and units, time context, mapping version and correlation identity; schema validation shall reject missing, malformed or unsupported content before business use.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each mandatory field, type, length/format boundary and unsupported schema version and reconcile the validation result.</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URS-MES-024 / FS-MES-024, URS-MES-027 / FS-MES-027, URS-MES-028 / FS-MES-028, 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RSK-MES-010, RSK-MES-026, RSK-MES-004, 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mapping and status semantics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Controlled mapping shall translate ERP and MES status, identifier, unit and value semantics without silent defaulting or truncation; the mapping version and any approved transformation shall be retained with each transaction.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representative and boundary mappings, unknown codes, unit mismatch, rounding/truncation and a mapping-version change.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URS-MES-024 / FS-MES-024, URS-MES-027 / FS-MES-027, URS-MES-028 / FS-MES-028, 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RSK-MES-010, RSK-MES-026, RSK-MES-004, 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security and authorisation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channel shall authenticate both endpoints, enforce least-privilege service access, protect data in transit and prevent an interactive business user or unapproved service identity from invoking regulated exchange functions.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invalid/expired trust, wrong service scope and prohibited interactive access; security mechanism and certificate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URS-MES-013 / FS-MES-013, URS-MES-015 / FS-MES-015, URS-MES-028 / FS-MES-028, 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RSK-MES-011, RSK-MES-015,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sequencing and idempotency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assign stable message/correlation identities, evaluate sequence and duplicate state, and ensure a repeated inbound object or outbound confirmation does not create a second business action.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Submit duplicate, late, reordered and concurrently repeated transactions and verify deterministic single-business-effect handling.</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URS-MES-028 / FS-MES-028, 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acknowledgement, timeout and replay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Technical receipt and business-processing acknowledgement shall be distinguishable. Timeout, retry and replay shall use approved limits; uncertain state shall not be interpreted as success, and replay shall be authorised, traceable and idempotent.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acknowledgement, rejection, lost response, threshold edge, retry exhaustion and authorised/unauthorised replay; parameter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URS-MES-028 / FS-MES-028, URS-MES-029 / FS-MES-029,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RSK-MES-015, RSK-MES-012,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quarantine and reconciliation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Invalid, unmatched, superseded, rejected or uncertain ERP transactions shall enter a visible controlled queue with reason, affected object, age and ownership; disposition shall preserve the original transaction and reconciliation evidence.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Create every queue condition, reconcile source/MES/target counts and verify closure cannot delete or disguise the original failure.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URS-MES-028 / FS-MES-028, URS-MES-029 / FS-MES-029, URS-MES-036 / FS-MES-036, URS-MES-043 / FS-MES-043</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RSK-MES-015, RSK-MES-012, RSK-MES-013, RSK-MES-014, RSK-MES-019, RSK-MES-022,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INT-MES-ERP-009</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ERP monitoring, audit, versioning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log security/business state changes, expose health and capacity signals, retain required transaction evidence, support version coexistence/deprecation and restore recoverable configuration/state without losing reconciliation continuity.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monitoring/audit evidence, version change and retirement notice controls, recovery of configuration/state and post-recovery reconciliation;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URS-MES-020 / FS-MES-020, URS-MES-021 / FS-MES-021, URS-MES-027 / FS-MES-027, URS-MES-036 / FS-MES-036, URS-MES-045 / FS-MES-045,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RSK-MES-004, RSK-MES-026, RSK-MES-011, RSK-MES-012, RSK-MES-013, RSK-MES-014, RSK-MES-015, RSK-MES-019, RSK-MES-006, RSK-MES-016, RSK-MES-017, RSK-MES-022, RSK-MES-001, RSK-MES-021, RSK-MES-020, RSK-MES-024, RSK-MES-025</w:t>
              <w:br/>
              <w:t>Working High</w:t>
            </w:r>
          </w:p>
        </w:tc>
      </w:tr>
    </w:tbl>
    <w:p>
      <w:pPr>
        <w:spacing w:after="0"/>
      </w:pPr>
    </w:p>
    <w:p>
      <w:pPr>
        <w:pStyle w:val="Heading2"/>
        <w:keepNext/>
        <w:keepLines/>
      </w:pPr>
      <w:r>
        <w:t>6.2 LIMS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Authorised sample-request egress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create a sample request only from an authorised MES batch/step state and shall transmit stable batch, step and sample identities with required product/test context and request version.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Send a valid request and challenge wrong state, missing context and repeat creation; verify a single traceable request identity.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URS-MES-030 / FS-MES-030,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Sample acknowledgement and status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correlate LIMS acknowledgement and sample-status events to the existing request identity and shall allow only configured status transitions to affect the MES workflow.</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valid, invalid, skipped, repeated and out-of-order status transitions and verify deterministic MES state.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URS-MES-030 / FS-MES-030, 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Result and disposition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Only an authenticated, matched and authorised LIMS result or disposition version shall become available to MES decision logic; late, invalid, superseded or ambiguous content shall not affect regulated execution without controlled disposition.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Process valid, late, superseded, unmatched, conflicting and unauthorised results and verify only the permitted current version is usable.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contract and mapping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contract shall define stable request/result identifiers, test/result/status semantics, units, qualifiers, source/result times, version and mapping controls; transformations shall preserve content and meaning and forbid silent defaulting.</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logical fields and units across systems and challenge unknown codes, missing qualifiers, unsupported version and precision/format boundaries.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URS-MES-024 / FS-MES-024, URS-MES-027 / FS-MES-027, URS-MES-030 / FS-MES-030, 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RSK-MES-010, RSK-MES-026, RSK-MES-004, 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security and access scope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channel shall authenticate endpoints, protect data in transit and restrict creation or consumption to approved service functions and data scope; personal or sensitive attributes shall be limited to the approved need.</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wrong endpoint trust, excess data scope and invalid service authorisation; mechanism and certificate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URS-MES-013 / FS-MES-013, URS-MES-015 / FS-MES-015, URS-MES-025 / FS-MES-025, URS-MES-030 / FS-MES-030, 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RSK-MES-009, RSK-MES-012, RSK-MES-015, RSK-MES-011,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sequence, duplicate and supersession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use stable message and business identities to detect duplicates, sequence status/results and identify superseded versions without overwriting the retained transaction history.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Submit duplicate, late, reordered and superseding events; verify one current business state plus complete history.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URS-MES-030 / FS-MES-030, 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acknowledgement, timeout and replay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Technical/business acknowledgements, timeout and retry/replay states shall be explicit; uncertain status shall remain visible and replay shall require authorised, idempotent processing within approved limits.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missing acknowledgement, delayed response, retry exhaustion and replay approval; threshold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URS-MES-030 / FS-MES-030, URS-MES-031 / FS-MES-031,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quarantine and reconciliation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Unmatched, invalid, rejected, late or uncertain transactions shall be quarantined with batch/sample context, reason, age and owner; reconciliation shall compare requests, acknowledgements, statuses and results end-to-end.</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Seed each exception type and verify population, source links, controlled disposition and complete reconciliation evidence.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URS-MES-030 / FS-MES-030, URS-MES-031 / FS-MES-031, URS-MES-036 / FS-MES-036, URS-MES-043 / FS-MES-043</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RSK-MES-012, RSK-MES-015, RSK-MES-011, RSK-MES-013, RSK-MES-014, RSK-MES-019, RSK-MES-022,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INT-MES-LIMS-009</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LIMS monitoring, audit, change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expose health/performance/data-quality events, retain transaction/audit evidence, control contract versions and consumer communication, and restore configuration/state with post-recovery reconciliation.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logs/alerts, schema/version change, recoverable configuration and transaction continuity without claiming executed recovery evidence.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URS-MES-020 / FS-MES-020, URS-MES-021 / FS-MES-021, URS-MES-027 / FS-MES-027, URS-MES-036 / FS-MES-036, URS-MES-045 / FS-MES-045,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RSK-MES-004, RSK-MES-026, RSK-MES-011, RSK-MES-012, RSK-MES-013, RSK-MES-014, RSK-MES-015, RSK-MES-019, RSK-MES-006, RSK-MES-016, RSK-MES-017, RSK-MES-022, RSK-MES-001, RSK-MES-021, RSK-MES-020, RSK-MES-024, RSK-MES-025</w:t>
              <w:br/>
              <w:t>Working High</w:t>
            </w:r>
          </w:p>
        </w:tc>
      </w:tr>
    </w:tbl>
    <w:p>
      <w:pPr>
        <w:spacing w:after="0"/>
      </w:pPr>
    </w:p>
    <w:p>
      <w:pPr>
        <w:pStyle w:val="Heading2"/>
        <w:keepNext/>
        <w:keepLines/>
      </w:pPr>
      <w:r>
        <w:t>6.3 AUT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Controlled command and setpoint egress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transmit a command, setpoint or recipe context only when the MES batch/step, execution state, role/service authorisation and configured value limits are valid and unambiguous.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wrong batch/step/state, unauthorised service and out-of-limit value; verify no command is emitted and the failure is visible.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URS-MES-004 / FS-MES-004, URS-MES-005 / FS-MES-005, URS-MES-032 / FS-MES-032,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RSK-MES-001, RSK-MES-013,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Measurement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Measurements shall be associated with source/equipment identity, unit, source time, receipt time, sequence, quality state and active batch/step before acceptance; invalid, missing, late or out-of-range values shall follow the configured exception rule.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Process valid and each adverse-quality/timing/range case and verify exact context, state and blocking behavior.</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URS-MES-003 / FS-MES-003, URS-MES-004 / FS-MES-004,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RSK-MES-013, RSK-MES-001,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Status, alarm and event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Automation status, alarm and event records shall retain source, event class, priority, onset/clear times, sequence and batch/step context, and shall drive only the explicitly configured MES transition or exception behavior.</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state/alarm onset-clear sequences, unknown events and wrong context; verify no unintended MES transition.</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URS-MES-005 / FS-MES-005, URS-MES-006 / FS-MES-006,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RSK-MES-001, RSK-MES-013, RSK-MES-003,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Active-context correlation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Every bidirectional automation transaction shall be correlated to the correct equipment, active batch, operation and step and shall be rejected or quarantined when the active context cannot be established uniquely.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stale, future, different-batch and ambiguous equipment context and verify safe controlled handling.</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URS-MES-004 / FS-MES-004, URS-MES-005 / FS-MES-005, URS-MES-032 / FS-MES-032,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RSK-MES-001, RSK-MES-013,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Automation data model and mapping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logical contract shall define identifier, value, unit, precision, range, quality, timestamp, sequence and state semantics; transformation shall be version-controlled and shall not silently coerce, truncate or default a regulated value.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mapping/unit/precision boundaries, unknown quality/state codes and mapping-version change against approved process semantics.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URS-MES-003 / FS-MES-003, URS-MES-024 / FS-MES-024, URS-MES-027 / FS-MES-027, URS-MES-032 / FS-MES-032,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RSK-MES-013, RSK-MES-010, RSK-MES-026, RSK-MES-004,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Automation endpoint trust and access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channel shall authenticate permitted automation endpoints, protect transmission and restrict command and data functions to approved service identities and equipment scope.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untrusted device/service, wrong scope and expired trust; protocol and certificate details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URS-MES-013 / FS-MES-013, URS-MES-015 / FS-MES-015, URS-MES-032 / FS-MES-032,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RSK-MES-013, RSK-MES-015, RSK-MES-011, RSK-MES-012,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Automation sequencing and duplicate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Command and data exchanges shall carry stable sequence/correlation identities; duplicate, repeated, late or out-of-order messages shall not create repeated commands, overwrite current state or corrupt chronology.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Inject duplicate and reordered command/data events and verify deterministic single effect and preserved history.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URS-MES-025 / FS-MES-025, URS-MES-032 / FS-MES-032, URS-MES-033 / FS-MES-033,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RSK-MES-009, RSK-MES-013,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Acknowledgement, timeout and safe failure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Each command shall require the defined acknowledgement and final-state evidence. Timeout, rejection or uncertain outcome shall invoke the approved safe failure, block affected progression and prohibit blind replay.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accepted, rejected, lost, delayed and ambiguous outcomes plus authorised replay; safe state and timing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URS-MES-005 / FS-MES-005, URS-MES-006 / FS-MES-006, URS-MES-032 / FS-MES-032,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RSK-MES-001, RSK-MES-013, RSK-MES-003, RSK-MES-015, RSK-MES-011, RSK-MES-012, RSK-MES-014,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INT-MES-AUT-009</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Automation exception and reconciliation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expose invalid, missing, late, out-of-range, unacknowledged and inconsistent transactions with source/batch context and support reconciliation of issued commands against acknowledgements and received state/data.</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Create each exception, reconcile the end-to-end sequence and verify controlled owner/disposition and no hidden gap.</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URS-MES-006 / FS-MES-006, URS-MES-032 / FS-MES-032, URS-MES-033 / FS-MES-033, URS-MES-036 / FS-MES-036, URS-MES-043 / FS-MES-043</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RSK-MES-003, RSK-MES-015, RSK-MES-013, RSK-MES-011, RSK-MES-012, RSK-MES-014, RSK-MES-019, RSK-MES-022,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INT-MES-AUT-010</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Automation monitoring, audit, versioning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Health, queue, latency, security and data-quality conditions shall be monitored; command/replay/configuration actions shall be auditable; contract/configuration versions and recoverable state shall support controlled change and recovery.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alert/log coverage, version change, recovery of configuration/state and reconciliation before resumed execution;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URS-MES-020 / FS-MES-020, URS-MES-021 / FS-MES-021, URS-MES-027 / FS-MES-027, URS-MES-036 / FS-MES-036, URS-MES-039 / FS-MES-039, URS-MES-045 / FS-MES-045,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RSK-MES-004, RSK-MES-026, RSK-MES-011, RSK-MES-012, RSK-MES-013, RSK-MES-014, RSK-MES-015, RSK-MES-019, RSK-MES-016, RSK-MES-018, RSK-MES-006, RSK-MES-017, RSK-MES-022, RSK-MES-001, RSK-MES-021, RSK-MES-020, RSK-MES-024, RSK-MES-025</w:t>
              <w:br/>
              <w:t>Working High</w:t>
            </w:r>
          </w:p>
        </w:tc>
      </w:tr>
    </w:tbl>
    <w:p>
      <w:pPr>
        <w:spacing w:after="0"/>
      </w:pPr>
    </w:p>
    <w:p>
      <w:pPr>
        <w:pStyle w:val="Heading2"/>
        <w:keepNext/>
        <w:keepLines/>
      </w:pPr>
      <w:r>
        <w:t>6.4 HIS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Approved outbound publication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publish only approved MES process, event, audit-context or performance data classes from an authorised source state and shall never treat the historian/reporting layer as authoritative for MES regulated state.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approved/unapproved class selection and source state; confirm no unauthorised object is published.</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URS-MES-034 / FS-MES-034, URS-MES-036 / FS-MES-036, URS-MES-041 / FS-MES-041, URS-MES-042 / FS-MES-042</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RSK-MES-014, RSK-MES-015, RSK-MES-011, RSK-MES-012, RSK-MES-013, RSK-MES-019, RSK-MES-003, RSK-MES-023, RSK-MES-008</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Publication selection and minimisation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Configured selection shall identify the source object population, approved attributes and permitted consumer purpose, exclude unnecessary personal/sensitive data and record the selection definition/version.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expected vs actual fields/records and challenge excess-scope selection and changed definition.</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URS-MES-024 / FS-MES-024, URS-MES-025 / FS-MES-025, URS-MES-034 / FS-MES-034, URS-MES-036 / FS-MES-036, URS-MES-044 / FS-MES-044</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RSK-MES-010, RSK-MES-026, RSK-MES-009, RSK-MES-014, RSK-MES-015, RSK-MES-011, RSK-MES-012, RSK-MES-013, RSK-MES-019, RSK-MES-004,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Lineage, time and completeness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Published data shall carry stable source identity, source and publication times, unit/quality context and mapping version; counts or control totals shall allow completeness and chronology reconciliation.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Compare source/published identities, values, units, times and counts including missing/late/duplicate records.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URS-MES-024 / FS-MES-024, URS-MES-025 / FS-MES-025, URS-MES-027 / FS-MES-027, URS-MES-034 / FS-MES-034, URS-MES-036 / FS-MES-036, URS-MES-044 / FS-MES-044</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RSK-MES-002, RSK-MES-010, RSK-MES-026, RSK-MES-009, RSK-MES-004, RSK-MES-014, RSK-MES-015, RSK-MES-011, RSK-MES-012, RSK-MES-013, RSK-MES-019,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No write-back and consumer access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design shall prevent historian/reporting consumers from writing back to or altering the authoritative MES record and shall restrict published data to approved consumer identities and scopes.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Attempt prohibited write-back and excess-scope access and verify MES record/state remains unchanged with a security event.</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URS-MES-013 / FS-MES-013, URS-MES-015 / FS-MES-015, URS-MES-026 / FS-MES-026, URS-MES-034 / FS-MES-034,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RSK-MES-019, RSK-MES-006, RSK-MES-010, RSK-MES-014, RSK-MES-015, RSK-MES-011, RSK-MES-012, RSK-MES-013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Historian contract and version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Logical resources, field definitions, formats and transformations shall be version-controlled; unsupported or incompatible consumer/schema versions shall be detected and managed through the approved change/deprecation process.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Validate current and incompatible contracts and a version transition with consumer notification/deprecation evidence.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URS-MES-027 / FS-MES-027, URS-MES-034 / FS-MES-034, URS-MES-036 / FS-MES-036, URS-MES-047 / FS-MES-047</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RSK-MES-004, RSK-MES-010, RSK-MES-026, RSK-MES-014, RSK-MES-015, RSK-MES-011, RSK-MES-012, RSK-MES-013, RSK-MES-019, RSK-MES-001, RSK-MES-021,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Sequence, duplicate and acknowledgement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preserve ordering where business meaning depends on it, detect duplicates and record delivery/processing acknowledgement or checkpoint state sufficient to identify an incomplete publication.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Inject gaps, duplicates and reordering and verify detection, no false completeness and deterministic reprocessing.</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URS-MES-034 / FS-MES-034, URS-MES-036 / FS-MES-036, URS-MES-043 / FS-MES-043</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RSK-MES-014, RSK-MES-015, RSK-MES-011, RSK-MES-012, RSK-MES-013, RSK-MES-019, RSK-MES-022,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Publication error, reconciliation and monitoring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Failed, delayed, incomplete, rejected or unreconciled publications shall be visible with source population, reason, age and owner; health, latency, volume and data-quality conditions shall produce contextual monitoring evidence.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Generate each failure state, reconcile source-to-consumer counts/controls and verify alert/disposition linkage.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URS-MES-034 / FS-MES-034, URS-MES-036 / FS-MES-036, URS-MES-043 / FS-MES-043,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RSK-MES-014, RSK-MES-015, RSK-MES-011, RSK-MES-012, RSK-MES-013, RSK-MES-019, RSK-MES-022, RSK-MES-023, RSK-MES-006, RSK-MES-016, RSK-MES-017</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INT-MES-HIS-008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Historian retention, change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Required publication evidence, mapping/configuration and reconciliation state shall be retained and recoverable; change or consumer retirement shall preserve record provenance and communicate version/availability impact.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retained provenance, recoverable configuration/checkpoint, post-recovery reconciliation and controlled consumer change/retirement.</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URS-MES-010 / FS-MES-010, URS-MES-011 / FS-MES-011, URS-MES-027 / FS-MES-027, URS-MES-034 / FS-MES-034, URS-MES-044 / FS-MES-044,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RSK-MES-004, RSK-MES-010, RSK-MES-017, RSK-MES-023, RSK-MES-026, RSK-MES-014, RSK-MES-015, RSK-MES-001, RSK-MES-019, RSK-MES-021, RSK-MES-022, RSK-MES-020, RSK-MES-024, RSK-MES-025</w:t>
              <w:br/>
              <w:t>Working High</w:t>
            </w:r>
          </w:p>
        </w:tc>
      </w:tr>
    </w:tbl>
    <w:p>
      <w:pPr>
        <w:spacing w:after="0"/>
      </w:pPr>
    </w:p>
    <w:p>
      <w:pPr>
        <w:pStyle w:val="Heading2"/>
        <w:keepNext/>
        <w:keepLines/>
      </w:pPr>
      <w:r>
        <w:t>6.5 IAM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Authentication-outcome ingress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MES shall consume an authentication outcome only from the designated enterprise identity service and shall create a session only for a uniquely resolvable, active identity meeting the approved authentication conditions.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Test successful and rejected authentication plus unknown, disabled and ambiguous identities; verify no MES session for adverse cases.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URS-MES-035 / FS-MES-035,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RSK-MES-015, RSK-MES-011,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Unique identity and attribute contract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provide the stable unique identity and only approved identity attributes with source/version/time context; attribute changes shall remain attributable and shall not merge two persons or reuse a retired identity.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identity lifecycle and attribute changes, including duplicate/ambiguous identifiers and missing mandatory attributes.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URS-MES-014 / FS-MES-014, URS-MES-015 / FS-MES-015, URS-MES-024 / FS-MES-024, URS-MES-035 / FS-MES-035,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RSK-MES-002, RSK-MES-010, RSK-MES-026, RSK-MES-015, RSK-MES-011,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MES-owned role authorisation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Enterprise identity attributes shall not directly create or modify a regulated MES role unless an explicitly approved mapping and access workflow exists; MES role/scope ownership, approval and SoD controls remain authoritative.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Change an identity attribute and verify no silent role grant; exercise approved and unapproved role-mapping paths.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URS-MES-013 / FS-MES-013, URS-MES-014 / FS-MES-014, URS-MES-016 / FS-MES-016, URS-MES-035 / FS-MES-035,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RSK-MES-019, RSK-MES-024, RSK-MES-006, RSK-MES-015, RSK-MES-011,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Session and signing re-authentication support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identity exchange shall support configured login, session renewal/lock and point-of-signing re-authentication decisions while preserving the MES business action and signature context.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success, cancellation, lockout, expiry and failed re-authentication; exact methods/intervals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URS-MES-017 / FS-MES-017, URS-MES-018 / FS-MES-018, URS-MES-035 / FS-MES-035,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RSK-MES-007, RSK-MES-015, RSK-MES-011,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IAM channel and service-identity security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integration shall authenticate endpoints, protect assertions/tokens and secrets, restrict service identities by purpose/environment/scope, and avoid logging reusable credentials or excessive personal data.</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invalid trust, token replay/expiry, excess scope and secret exposure in logs; mechanisms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URS-MES-013 / FS-MES-013, URS-MES-015 / FS-MES-015, URS-MES-025 / FS-MES-025, URS-MES-035 / FS-MES-035,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RSK-MES-009, RSK-MES-015, RSK-MES-011, RSK-MES-012, RSK-MES-013, RSK-MES-014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IAM failure and degraded behavior</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Unavailable, late, invalid or unverifiable identity-service responses shall fail closed for new regulated sessions/actions and shall produce a clear user/support condition without bypassing MES authorisation.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Simulate dependency loss, latency, invalid response and cached/stale identity and verify the approved deny/degraded response.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URS-MES-012 / FS-MES-012, URS-MES-013 / FS-MES-013, URS-MES-035 / FS-MES-035, URS-MES-036 / FS-MES-036,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RSK-MES-024, RSK-MES-015, RSK-MES-011, RSK-MES-012, RSK-MES-013, RSK-MES-014, RSK-MES-016, RSK-MES-017,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IAM audit, monitoring and change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Authentication outcomes, identity mapping changes, integration configuration and privileged service actions shall be auditable; availability, error and security signals shall be monitored; contract/certificate changes shall follow version and consumer communication control.</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audit/alert coverage and a controlled identity-contract/trust change; no executed operational evidence is claimed.</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URS-MES-014 / FS-MES-014, URS-MES-015 / FS-MES-015, URS-MES-016 / FS-MES-016, URS-MES-020 / FS-MES-020, URS-MES-021 / FS-MES-021, URS-MES-035 / FS-MES-035, URS-MES-036 / FS-MES-036, URS-MES-045 / FS-MES-045,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RSK-MES-024, RSK-MES-006, RSK-MES-019, RSK-MES-008, RSK-MES-010, RSK-MES-015, RSK-MES-011, RSK-MES-012, RSK-MES-013, RSK-MES-014, RSK-MES-016, RSK-MES-017, RSK-MES-022, RSK-MES-001, RSK-MES-021, RSK-MES-026, RSK-MES-020, RSK-MES-025</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INT-MES-IAM-008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IAM continuity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Recoverable integration configuration and trust material shall be identifiable, protected and restorable; after recovery the MES shall reconcile identity connectivity and prevent regulated resume with unverified or stale authorisation state.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Restore representative non-secret configuration/trust references and verify connectivity, time validity and role-state reconciliation; objectives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URS-MES-015 / FS-MES-015, URS-MES-035 / FS-MES-035, URS-MES-036 / FS-MES-036, URS-MES-038 / FS-MES-038, URS-MES-039 / FS-MES-039, URS-MES-040 / FS-MES-040</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RSK-MES-006, RSK-MES-019, RSK-MES-015, RSK-MES-011, RSK-MES-012, RSK-MES-013, RSK-MES-014, RSK-MES-017, RSK-MES-018, RSK-MES-016, RSK-MES-024</w:t>
              <w:br/>
              <w:t>Working High</w:t>
            </w:r>
          </w:p>
        </w:tc>
      </w:tr>
    </w:tbl>
    <w:p>
      <w:pPr>
        <w:spacing w:after="0"/>
      </w:pPr>
    </w:p>
    <w:p>
      <w:pPr>
        <w:pStyle w:val="Heading2"/>
        <w:keepNext/>
        <w:keepLines/>
      </w:pPr>
      <w:r>
        <w:t>6.6 TIM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Authoritative time consumption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Application, database, interface, audit and signature components shall consume the designated authoritative time service and retain an unambiguous timestamp with offset/time-zone context where required.</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Compare component times and stored events against the approved source across a representative transaction and signature chain.</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URS-MES-018 / FS-MES-018, URS-MES-020 / FS-MES-020, URS-MES-021 / FS-MES-021, URS-MES-025 / FS-MES-025, URS-MES-036 / FS-MES-036, URS-MES-044 / FS-MES-044</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RSK-MES-007, RSK-MES-008, RSK-MES-010, RSK-MES-009, RSK-MES-011, RSK-MES-012, RSK-MES-013, RSK-MES-014, RSK-MES-015, RSK-MES-019, RSK-MES-004,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Time-zone and daylight-saving rules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Display and exchange shall apply one approved time-zone/daylight-saving rule and shall preserve unambiguous chronology during offset changes; conversion logic and source/UTC representation shall be documented.</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forward/backward daylight-saving boundaries and cross-zone presentation; exact approved zone/rule remains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URS-MES-021 / FS-MES-021, URS-MES-025 / FS-MES-025, URS-MES-036 / FS-MES-036, URS-MES-044 / FS-MES-044</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RSK-MES-009, RSK-MES-011, RSK-MES-012, RSK-MES-013, RSK-MES-014, RSK-MES-015, RSK-MES-019, RSK-MES-004,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Drift and loss detection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Components shall detect unavailable time service or drift outside the approved threshold and shall flag or block affected regulated actions according to the approved fail-safe rule.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Simulate loss, drift below/at/above threshold and recovery; thresholds and action allocation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URS-MES-021 / FS-MES-021, URS-MES-025 / FS-MES-025, URS-MES-036 / FS-MES-036, URS-MES-040 / FS-MES-040,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RSK-MES-009, RSK-MES-011, RSK-MES-012, RSK-MES-013, RSK-MES-014, RSK-MES-015, RSK-MES-019, RSK-MES-017, RSK-MES-018, RSK-MES-024, RSK-MES-006, RSK-MES-016,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Timestamp contract and chronology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Interface contracts shall define timestamp precision, offset/zone, source-event and receipt-time fields and ordering rules; transformations shall not silently remove precision or create ambiguous local time.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Validate format/precision boundaries, missing offset, late arrival and event-vs-receipt ordering across interface families.</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URS-MES-020 / FS-MES-020, URS-MES-021 / FS-MES-021, URS-MES-024 / FS-MES-024, URS-MES-025 / FS-MES-025, URS-MES-027 / FS-MES-027, URS-MES-036 / FS-MES-036, URS-MES-044 / FS-MES-044</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RSK-MES-002, RSK-MES-026, RSK-MES-009, RSK-MES-004, RSK-MES-011, RSK-MES-012, RSK-MES-013, RSK-MES-014, RSK-MES-015, RSK-MES-019, RSK-MES-023</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Time-service trust and access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Only the approved time source and authenticated distribution path shall be accepted; configuration changes shall be restricted and auditable and shall not expose components to an untrusted source.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unapproved source, configuration change and trust failure and verify rejection/alert and audit evidence.</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URS-MES-013 / FS-MES-013, URS-MES-015 / FS-MES-015, URS-MES-020 / FS-MES-020, URS-MES-025 / FS-MES-025, URS-MES-036 / FS-MES-036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RSK-MES-019, RSK-MES-006, RSK-MES-008, RSK-MES-009, RSK-MES-011, RSK-MES-012, RSK-MES-013, RSK-MES-014, RSK-MES-015</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INT-MES-TIM-006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Time monitoring, availability, change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Time-source health, drift, synchronization state and configuration/version shall be monitored; recovery shall restore trusted synchronization and reconcile chronology before regulated activity resumes.</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monitoring, controlled source/configuration change and recovery/reconciliation; service targets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URS-MES-021 / FS-MES-021, URS-MES-025 / FS-MES-025, URS-MES-036 / FS-MES-036, URS-MES-039 / FS-MES-039, URS-MES-040 / FS-MES-040, URS-MES-045 / FS-MES-045, URS-MES-047 / FS-MES-047,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RSK-MES-009, RSK-MES-011, RSK-MES-012, RSK-MES-013, RSK-MES-014, RSK-MES-015, RSK-MES-019, RSK-MES-016, RSK-MES-018, RSK-MES-017, RSK-MES-024, RSK-MES-006, RSK-MES-022, RSK-MES-001, RSK-MES-021, RSK-MES-026, RSK-MES-020, RSK-MES-025</w:t>
              <w:br/>
              <w:t>Working High</w:t>
            </w:r>
          </w:p>
        </w:tc>
      </w:tr>
    </w:tbl>
    <w:p>
      <w:pPr>
        <w:spacing w:after="0"/>
      </w:pPr>
    </w:p>
    <w:p>
      <w:pPr>
        <w:pStyle w:val="Heading2"/>
        <w:keepNext/>
        <w:keepLines/>
      </w:pPr>
      <w:r>
        <w:t>6.7 OPS interface family</w:t>
      </w:r>
    </w:p>
    <w:tbl>
      <w:tblPr>
        <w:tblStyle w:val="TableGrid"/>
        <w:tblW w:type="auto" w:w="0"/>
        <w:jc w:val="left"/>
        <w:tblLayout w:type="fixed"/>
        <w:tblLook w:firstColumn="1" w:firstRow="1" w:lastColumn="0" w:lastRow="0" w:noHBand="0" w:noVBand="1" w:val="04A0"/>
        <w:tblInd w:w="120" w:type="dxa"/>
      </w:tblPr>
      <w:tblGrid>
        <w:gridCol w:w="1100"/>
        <w:gridCol w:w="5320"/>
        <w:gridCol w:w="1300"/>
        <w:gridCol w:w="1640"/>
      </w:tblGrid>
      <w:tr>
        <w:trPr>
          <w:tblHeader w:val="true"/>
          <w:cantSplit/>
        </w:trPr>
        <w:tc>
          <w:tcPr>
            <w:tcW w:type="dxa" w:w="1100"/>
            <w:shd w:fill="0B2545"/>
            <w:tcMar>
              <w:top w:w="70" w:type="dxa"/>
              <w:start w:w="85" w:type="dxa"/>
              <w:bottom w:w="70" w:type="dxa"/>
              <w:end w:w="85" w:type="dxa"/>
            </w:tcMar>
          </w:tcPr>
          <w:p>
            <w:pPr>
              <w:spacing w:before="0" w:after="0" w:line="240" w:lineRule="auto"/>
            </w:pPr>
            <w:r>
              <w:rPr>
                <w:rFonts w:ascii="Calibri" w:hAnsi="Calibri"/>
                <w:b/>
                <w:color w:val="FFFFFF"/>
                <w:sz w:val="14"/>
              </w:rPr>
              <w:t>Integration ID</w:t>
            </w:r>
          </w:p>
        </w:tc>
        <w:tc>
          <w:tcPr>
            <w:tcW w:type="dxa" w:w="5320"/>
            <w:shd w:fill="0B2545"/>
            <w:tcMar>
              <w:top w:w="70" w:type="dxa"/>
              <w:start w:w="85" w:type="dxa"/>
              <w:bottom w:w="70" w:type="dxa"/>
              <w:end w:w="85" w:type="dxa"/>
            </w:tcMar>
          </w:tcPr>
          <w:p>
            <w:pPr>
              <w:spacing w:before="0" w:after="0" w:line="240" w:lineRule="auto"/>
            </w:pPr>
            <w:r>
              <w:rPr>
                <w:rFonts w:ascii="Calibri" w:hAnsi="Calibri"/>
                <w:b/>
                <w:color w:val="FFFFFF"/>
                <w:sz w:val="14"/>
              </w:rPr>
              <w:t>Design requirement and acceptance focus</w:t>
            </w:r>
          </w:p>
        </w:tc>
        <w:tc>
          <w:tcPr>
            <w:tcW w:type="dxa" w:w="1300"/>
            <w:shd w:fill="0B2545"/>
            <w:tcMar>
              <w:top w:w="70" w:type="dxa"/>
              <w:start w:w="85" w:type="dxa"/>
              <w:bottom w:w="70" w:type="dxa"/>
              <w:end w:w="85" w:type="dxa"/>
            </w:tcMar>
          </w:tcPr>
          <w:p>
            <w:pPr>
              <w:spacing w:before="0" w:after="0" w:line="240" w:lineRule="auto"/>
            </w:pPr>
            <w:r>
              <w:rPr>
                <w:rFonts w:ascii="Calibri" w:hAnsi="Calibri"/>
                <w:b/>
                <w:color w:val="FFFFFF"/>
                <w:sz w:val="14"/>
              </w:rPr>
              <w:t>URS / FS</w:t>
            </w:r>
          </w:p>
        </w:tc>
        <w:tc>
          <w:tcPr>
            <w:tcW w:type="dxa" w:w="1640"/>
            <w:shd w:fill="0B2545"/>
            <w:tcMar>
              <w:top w:w="70" w:type="dxa"/>
              <w:start w:w="85" w:type="dxa"/>
              <w:bottom w:w="70" w:type="dxa"/>
              <w:end w:w="85" w:type="dxa"/>
            </w:tcMar>
          </w:tcPr>
          <w:p>
            <w:pPr>
              <w:spacing w:before="0" w:after="0" w:line="240" w:lineRule="auto"/>
            </w:pPr>
            <w:r>
              <w:rPr>
                <w:rFonts w:ascii="Calibri" w:hAnsi="Calibri"/>
                <w:b/>
                <w:color w:val="FFFFFF"/>
                <w:sz w:val="14"/>
              </w:rPr>
              <w:t>Linked risks / level</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INT-MES-OPS-001</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Service-health telemetry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MES application, database, interface queues, scheduled jobs and critical dependencies shall publish identifiable timestamped health state to the approved operational monitoring service.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normal/degraded/unavailable component states and verify source identity, time and affected capability context.</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URS-MES-036 / FS-MES-036,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RSK-MES-012, RSK-MES-013, RSK-MES-014, RSK-MES-015, RSK-MES-019, RSK-MES-006, RSK-MES-016, RSK-MES-017,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INT-MES-OPS-002</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Actionable alert routing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 configured rule breach shall create one contextual alert with condition, severity, affected component/function, occurrence time and accountable support route; duplicate storms shall be controlled without hiding persistent impact.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threshold edge, sustained/repeated condition, routing failure and recovery/clear behavior; values/channels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URS-MES-043 / FS-MES-043, URS-MES-045 / FS-MES-045, URS-MES-046 / FS-MES-046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RSK-MES-015, RSK-MES-022, RSK-MES-023, RSK-MES-006, RSK-MES-016, RSK-MES-017, RSK-MES-019, RSK-MES-018</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INT-MES-OPS-003</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Job, queue, storage and capacity monitoring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Critical jobs, interface backlogs, storage use and capacity indicators shall be monitored so delayed or failed regulated processing is visible before evidence or service is lost.</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Simulate failed job, queue growth, storage/capacity threshold and stale telemetry and verify actionable detection.</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URS-MES-036 / FS-MES-036, URS-MES-037 / FS-MES-037, URS-MES-040 / FS-MES-040, URS-MES-043 / FS-MES-043,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RSK-MES-011, RSK-MES-012, RSK-MES-013, RSK-MES-014, RSK-MES-015, RSK-MES-019, RSK-MES-017, RSK-MES-020, RSK-MES-018, RSK-MES-024, RSK-MES-022, RSK-MES-023, RSK-MES-006, RSK-MES-016</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INT-MES-OPS-004</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Backup execution and status exchange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operational interface shall identify backup scope, run/copy identity, start/end, result, protection/retention class and failed/omitted component state without transferring live secrets in evidence.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Reconcile successful/partial/failed backup status against approved scope and verify missing component alert; frequency/retention/RPO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URS-MES-037 / FS-MES-037, URS-MES-040 / FS-MES-040,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RSK-MES-017, RSK-MES-020, RSK-MES-018, RSK-MES-024, RSK-MES-006, RSK-MES-015, RSK-MES-016, RSK-MES-019,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INT-MES-OPS-005</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Restore and recovery-state exchange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Authorised restore/recovery activity shall expose recovery point, component/set identity, operator/service, state, validation checks and result, and shall keep regulated resume blocked while required reconciliation is incomplete.</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planned restore/recovery states, incomplete set and failed check; RTO/resume criteria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URS-MES-038 / FS-MES-038, URS-MES-039 / FS-MES-039, URS-MES-040 / FS-MES-040</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RSK-MES-017, RSK-MES-018, RSK-MES-016, RSK-MES-024</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INT-MES-OPS-006</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Diagnostic and incident context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interface shall provide protected logs, correlation identities, component state and affected record/transaction context needed by the controlled incident/problem process without granting uncontrolled GxP data modification.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Reconstruct a representative failure from diagnostics and challenge excess data/access and unauthorised workaround.</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URS-MES-043 / FS-MES-043, URS-MES-045 / FS-MES-045, URS-MES-046 / FS-MES-046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RSK-MES-015, RSK-MES-022, RSK-MES-023, RSK-MES-006, RSK-MES-016, RSK-MES-017, RSK-MES-019, RSK-MES-018</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INT-MES-OPS-007</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Operational-service security and integrity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Monitoring/backup/recovery endpoints and service identities shall be authenticated, least-privileged, environment-scoped and protected in transit; evidence and recovery copies shall be protected from unauthorised alteration or deletion.</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Challenge wrong service identity/scope, tampered evidence and unauthorised recovery action; mechanisms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URS-MES-013 / FS-MES-013, URS-MES-015 / FS-MES-015, URS-MES-021 / FS-MES-021, URS-MES-037 / FS-MES-037, URS-MES-038 / FS-MES-038, URS-MES-045 / FS-MES-045</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RSK-MES-005, RSK-MES-019, RSK-MES-006, RSK-MES-008, RSK-MES-010, RSK-MES-017, RSK-MES-020, RSK-MES-018, RSK-MES-015, RSK-MES-016,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INT-MES-OPS-008</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Time and cross-service correlation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Operational events shall use the authoritative time basis and stable component, job, transaction and alert identifiers so monitoring, interface, audit, backup and incident evidence can be correlated chronologically.</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Trace a simulated fault across source event, alert, transaction and recovery evidence and challenge missing/ambiguous correlation.</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URS-MES-020 / FS-MES-020, URS-MES-021 / FS-MES-021, URS-MES-025 / FS-MES-025, URS-MES-040 / FS-MES-040, URS-MES-044 / FS-MES-044, URS-MES-045 / FS-MES-045, URS-MES-046 / FS-MES-046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RSK-MES-008, RSK-MES-010, RSK-MES-009, RSK-MES-017, RSK-MES-018, RSK-MES-024, RSK-MES-004, RSK-MES-014, RSK-MES-023, RSK-MES-006, RSK-MES-015, RSK-MES-016, RSK-MES-019, RSK-MES-022</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INT-MES-OPS-009</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Acknowledgement, escalation and uncertain state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Alerts and operational requests shall distinguish raised, delivered, acknowledged, escalated, recovered and closed states; missing acknowledgement or uncertain execution shall remain visible and shall not be recorded as successful.</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Exercise acknowledgement/escalation timeouts, lost response and recovery; ownership and timing values remain Verify.</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URS-MES-040 / FS-MES-040, URS-MES-043 / FS-MES-043, URS-MES-045 / FS-MES-045, URS-MES-046 / FS-MES-046</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RSK-MES-017, RSK-MES-018, RSK-MES-024, RSK-MES-015, RSK-MES-022, RSK-MES-023, RSK-MES-006, RSK-MES-016, RSK-MES-019</w:t>
              <w:br/>
              <w:t>Working High</w:t>
            </w:r>
          </w:p>
        </w:tc>
      </w:tr>
      <w:tr>
        <w:trPr>
          <w:cantSplit/>
        </w:trPr>
        <w:tc>
          <w:tcPr>
            <w:tcW w:type="dxa" w:w="1100"/>
            <w:shd w:fill="DCE6F1"/>
            <w:vAlign w:val="top"/>
            <w:tcMar>
              <w:top w:w="70" w:type="dxa"/>
              <w:start w:w="85" w:type="dxa"/>
              <w:bottom w:w="70" w:type="dxa"/>
              <w:end w:w="85" w:type="dxa"/>
            </w:tcMar>
          </w:tcPr>
          <w:p>
            <w:pPr>
              <w:spacing w:before="0" w:after="0" w:line="240" w:lineRule="auto"/>
            </w:pPr>
            <w:r>
              <w:rPr>
                <w:rFonts w:ascii="Calibri" w:hAnsi="Calibri"/>
                <w:b/>
                <w:color w:val="1F4D78"/>
                <w:sz w:val="14"/>
              </w:rPr>
              <w:t>INT-MES-OPS-010</w:t>
            </w:r>
          </w:p>
        </w:tc>
        <w:tc>
          <w:tcPr>
            <w:tcW w:type="dxa" w:w="5320"/>
            <w:vAlign w:val="top"/>
            <w:tcMar>
              <w:top w:w="70" w:type="dxa"/>
              <w:start w:w="85" w:type="dxa"/>
              <w:bottom w:w="70" w:type="dxa"/>
              <w:end w:w="85" w:type="dxa"/>
            </w:tcMar>
          </w:tcPr>
          <w:p>
            <w:pPr>
              <w:spacing w:after="40"/>
            </w:pPr>
            <w:r/>
            <w:r>
              <w:rPr>
                <w:rFonts w:ascii="Calibri" w:hAnsi="Calibri"/>
                <w:b/>
                <w:i w:val="0"/>
                <w:color w:val="1F4D78"/>
                <w:sz w:val="16"/>
              </w:rPr>
              <w:t>Operational retention, change and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Monitoring, backup/recovery and diagnostic configuration/evidence shall be versioned, retained and recoverable; service/platform changes shall assess consumers, security, GxP/data impact and re-verification need.</w:t>
            </w:r>
          </w:p>
          <w:p>
            <w:pPr>
              <w:spacing w:after="0" w:line="240" w:lineRule="auto"/>
            </w:pPr>
            <w:r>
              <w:rPr>
                <w:rFonts w:ascii="Calibri" w:hAnsi="Calibri"/>
                <w:b/>
                <w:i w:val="0"/>
                <w:color w:val="1F4D78"/>
                <w:sz w:val="14"/>
              </w:rPr>
              <w:t xml:space="preserve">Acceptance focus: </w:t>
            </w:r>
            <w:r>
              <w:rPr>
                <w:rFonts w:ascii="Calibri" w:hAnsi="Calibri"/>
                <w:b w:val="0"/>
                <w:i w:val="0"/>
                <w:color w:val="595959"/>
                <w:sz w:val="14"/>
              </w:rPr>
              <w:t>Verify configuration version/change trace, retained/recoverable evidence and post-change/recovery checks; residual risk remains pending.</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3"/>
              </w:rPr>
              <w:t>URS-MES-027 / FS-MES-027, URS-MES-037 / FS-MES-037, URS-MES-038 / FS-MES-038, URS-MES-039 / FS-MES-039, URS-MES-040 / FS-MES-040, URS-MES-045 / FS-MES-045, URS-MES-047 / FS-MES-047, URS-MES-048 / FS-MES-048, URS-MES-049 / FS-MES-049</w:t>
            </w:r>
          </w:p>
        </w:tc>
        <w:tc>
          <w:tcPr>
            <w:tcW w:type="dxa" w:w="1640"/>
            <w:vAlign w:val="top"/>
            <w:tcMar>
              <w:top w:w="70" w:type="dxa"/>
              <w:start w:w="85" w:type="dxa"/>
              <w:bottom w:w="70" w:type="dxa"/>
              <w:end w:w="85" w:type="dxa"/>
            </w:tcMar>
          </w:tcPr>
          <w:p>
            <w:pPr>
              <w:spacing w:before="0" w:after="0" w:line="240" w:lineRule="auto"/>
            </w:pPr>
            <w:r>
              <w:rPr>
                <w:rFonts w:ascii="Calibri" w:hAnsi="Calibri"/>
                <w:color w:val="202020"/>
                <w:sz w:val="12"/>
              </w:rPr>
              <w:t>RSK-MES-004, RSK-MES-010, RSK-MES-026, RSK-MES-017, RSK-MES-020, RSK-MES-018, RSK-MES-016, RSK-MES-024, RSK-MES-006, RSK-MES-015, RSK-MES-019, RSK-MES-022, RSK-MES-001, RSK-MES-021, RSK-MES-025</w:t>
              <w:br/>
              <w:t>Working High</w:t>
            </w:r>
          </w:p>
        </w:tc>
      </w:tr>
    </w:tbl>
    <w:p>
      <w:pPr>
        <w:spacing w:after="0"/>
      </w:pPr>
    </w:p>
    <w:p>
      <w:pPr>
        <w:pStyle w:val="Heading1"/>
        <w:keepNext/>
        <w:keepLines/>
      </w:pPr>
      <w:r>
        <w:t>7 Logical resources, inputs, mappings and outputs</w:t>
      </w:r>
    </w:p>
    <w:p>
      <w:pPr>
        <w:pStyle w:val="Heading2"/>
        <w:keepNext/>
        <w:keepLines/>
      </w:pPr>
      <w:r>
        <w:t>7.1 Per-family application overview</w:t>
      </w:r>
    </w:p>
    <w:p>
      <w:pPr>
        <w:pStyle w:val="Heading3"/>
        <w:keepNext/>
        <w:keepLines/>
      </w:pPr>
      <w:r>
        <w:t>7.1.1 INT-MES-ERP-001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INT-MES-ERP-001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ERP order, master-data and manufacturing-confirmation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ERP order, master-data and manufacturing-confirmation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Bidirectional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7.1.2 INT-MES-LIMS-001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INT-MES-LIMS-001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Laboratory sample, status, result and disposition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Laboratory sample, status, result and disposition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Bidirectional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7.1.3 INT-MES-AUT-001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INT-MES-AUT-001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Automation commands, recipe context, measurements, alarms and events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System/process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Automation commands, recipe context, measurements, alarms and events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Bidirectional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7.1.4 INT-MES-HIS-001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INT-MES-HIS-001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Historian and reporting publication</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Historian and reporting publication</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Outbound from MES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7.1.5 INT-MES-IAM-001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INT-MES-IAM-001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Enterprise identity authentication outcome and attributes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Enterprise identity authentication outcome and attributes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Inbound to MES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7.1.6 INT-MES-TIM-001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INT-MES-TIM-001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Authoritative time and time-health service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Authoritative time and time-health service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Inbound to MES components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3"/>
        <w:keepNext/>
        <w:keepLines/>
      </w:pPr>
      <w:r>
        <w:t>7.1.7 INT-MES-OPS-001 overview</w:t>
      </w:r>
    </w:p>
    <w:tbl>
      <w:tblPr>
        <w:tblStyle w:val="TableGrid"/>
        <w:tblW w:type="auto" w:w="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Property</w:t>
            </w:r>
          </w:p>
        </w:tc>
        <w:tc>
          <w:tcPr>
            <w:tcW w:type="dxa" w:w="68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Controlled detail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technical name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INT-MES-OPS-001</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Application business name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Monitoring, alert, backup, restore and recovery-service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type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System/process IT interface - provisional; classification/owner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Integration pattern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Logical exchange defined; event/message/API/synchronous/asynchronous pattern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Logical specification v0.1; deployable contract version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domain</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Manufacturing execution and supporting enterprise/plant services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Purpose</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Monitoring, alert, backup, restore and recovery-service exchange</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GxP</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Yes - supports GxP MES processes/records/controls</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Direction</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Service / bidirectional</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Throughput / response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Volumes, concurrency, payload size, latency and response targets Verify</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Source-code / contract repository</w:t>
            </w:r>
          </w:p>
        </w:tc>
        <w:tc>
          <w:tcPr>
            <w:tcW w:type="dxa" w:w="6860"/>
            <w:vAlign w:val="top"/>
            <w:tcMar>
              <w:top w:w="70" w:type="dxa"/>
              <w:start w:w="85" w:type="dxa"/>
              <w:bottom w:w="70" w:type="dxa"/>
              <w:end w:w="85" w:type="dxa"/>
            </w:tcMar>
          </w:tcPr>
          <w:p>
            <w:pPr>
              <w:spacing w:before="0" w:after="0" w:line="240" w:lineRule="auto"/>
            </w:pPr>
            <w:r>
              <w:rPr>
                <w:rFonts w:ascii="Calibri" w:hAnsi="Calibri"/>
                <w:color w:val="202020"/>
                <w:sz w:val="14"/>
              </w:rPr>
              <w:t>Verify; no URL or repository asserted</w:t>
            </w:r>
          </w:p>
        </w:tc>
      </w:tr>
      <w:tr>
        <w:trPr>
          <w:trHeight w:hRule="atLeast"/>
          <w:cantSplit/>
        </w:trPr>
        <w:tc>
          <w:tcPr>
            <w:tcW w:type="dxa" w:w="25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Ownership / terms of service</w:t>
            </w:r>
          </w:p>
        </w:tc>
        <w:tc>
          <w:tcPr>
            <w:tcW w:type="dxa" w:w="6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Fictional role provisionally assigned; permanent owner, agreement and consumer list Verify</w:t>
            </w:r>
          </w:p>
        </w:tc>
      </w:tr>
    </w:tbl>
    <w:p>
      <w:pPr>
        <w:spacing w:after="0"/>
      </w:pPr>
    </w:p>
    <w:p>
      <w:pPr>
        <w:pStyle w:val="Heading2"/>
        <w:keepNext/>
        <w:keepLines/>
      </w:pPr>
      <w:r>
        <w:t>7.2 Logical input, mapping and output structures</w:t>
      </w:r>
    </w:p>
    <w:p>
      <w:pPr>
        <w:keepLines/>
      </w:pPr>
      <w:r>
        <w:t>Field names are deliberately logical rather than vendor-specific. Each row defines the minimum semantic contract; NL-MES-DS-001/CS-001 and controlled schema/mapping artifacts must provide exact source/target paths, technical types, lengths, enumerations, examples and transformation code.</w:t>
      </w:r>
    </w:p>
    <w:p>
      <w:pPr>
        <w:pStyle w:val="Heading3"/>
        <w:keepNext/>
        <w:keepLines/>
      </w:pPr>
      <w:r>
        <w:t>7.2.1 ERP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Order / batch / object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ERP authoritative object</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order/execution candidate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String / controlled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Preserve stable identity; reject missing/ambiguous</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Logical baseline; technical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Instruction / recipe reference and version</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ERP/master source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release-gate context</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 + version/status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When applicable</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No silent default; reconcile to effective approved instruction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Verify source authority and exact fields</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Product/material/master-data reference</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ERP</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master-data reference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Identifier + version/status</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 as applicable</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Validate existence, status and effective time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Exact object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Quantity / consumption / yield and unit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ERP or MES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or ERP</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Decimal + controlled unit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 contract</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Validate precision/range/unit; no silent truncation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Precision/unit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Business status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ERP or MES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or ERP</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Explicit versioned mapping; unknown code quarantined</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Code catalogue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Source event / creation time</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Originating system</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Transaction metadata</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Timestamp + offset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Preserve source and receipt time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Format/precision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Message / correlation / mapping version</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Interface layer</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Both systems/evidence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identifiers</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Unique, immutable and traceable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Technical format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Acknowledgement / error context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Receiving system</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Origin and reconciliation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Status + code + safe message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Distinguish technical/business result; no sensitive leakage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Code catalogue Verify</w:t>
            </w:r>
          </w:p>
        </w:tc>
      </w:tr>
    </w:tbl>
    <w:p>
      <w:pPr>
        <w:spacing w:after="0"/>
      </w:pPr>
    </w:p>
    <w:p>
      <w:pPr>
        <w:pStyle w:val="Heading3"/>
        <w:keepNext/>
        <w:keepLines/>
      </w:pPr>
      <w:r>
        <w:t>7.2.2 LIMS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Batch / step / sample request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LIMS and MES correlation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identifiers</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Stable and unique; reject unmatched/ambiguous</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Technical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Product/material/sample context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Identifiers + approved descriptors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 request</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Minimise to approved laboratory need</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Exact fields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Test / specification reference and version</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Controlled source Verify</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LIMS request/result context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Identifier + version</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When applicable</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No implicit version substitution</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Authority and fields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Sample status / result disposition</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workflow</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Permitted transition; unknown/late/superseded quarantined</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Code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Result value / unit / qualifier</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LIMS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record/decision context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Typed value + unit + qualifier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Per result</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Validate type, precision, unit and qualifier</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Exact structures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Result version / supersession</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current/history</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Version/status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Preserve all versions; expose only permitted current version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Rules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Source/result/receipt times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LIMS/interface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chronology</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Timestamp + offset</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Preserve source and receipt chronology</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Format/precision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Message/correlation/ack/error</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Interface/receiver</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Both systems/evidence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Identifiers + controlled 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Unique, non-sensitive and reconciliation-ready</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Technical format Verify</w:t>
            </w:r>
          </w:p>
        </w:tc>
      </w:tr>
    </w:tbl>
    <w:p>
      <w:pPr>
        <w:spacing w:after="0"/>
      </w:pPr>
    </w:p>
    <w:p>
      <w:pPr>
        <w:pStyle w:val="Heading3"/>
        <w:keepNext/>
        <w:keepLines/>
      </w:pPr>
      <w:r>
        <w:t>7.2.3 AUT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Equipment / source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Automation</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context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Match approved equipment and active scope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Equipment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Batch / operation / step identity</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Both endpoints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identifiers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 for regulated exchange</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Exact active-context match</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Technical fields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Command / setpoint / recipe context</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Automation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code/value/version</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Per outbound</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Authorised state and configured limits</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Command catalogue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Measurement value / unit / precision</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Automation</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record</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Typed value + unit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 inbound</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Validate unit/range/precision and quality</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Exact ranges/units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Status / alarm / event and priority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Automation</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workflow/evidence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Per event</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Versioned mapping; unknown code visible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Catalogue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Quality / validity state</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Automation</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acceptance/exception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 for values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Invalid/uncertain cannot appear valid</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Source / receipt time and sequence</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Automation/interface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chronology</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Timestamp + offset + sequence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Detect late, gap, duplicate and reorder</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Precision/sequence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Correlation / acknowledgement / error</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Both</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Both/evidence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Identifiers + 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Trace command to final outcome/safe failure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Technical format Verify</w:t>
            </w:r>
          </w:p>
        </w:tc>
      </w:tr>
    </w:tbl>
    <w:p>
      <w:pPr>
        <w:spacing w:after="0"/>
      </w:pPr>
    </w:p>
    <w:p>
      <w:pPr>
        <w:pStyle w:val="Heading3"/>
        <w:keepNext/>
        <w:keepLines/>
      </w:pPr>
      <w:r>
        <w:t>7.2.4 HIS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MES source object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Historian/reporting lineage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Stable and traceable to retained source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Exact fields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Approved data/event class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selection definition</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Consumer</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Only approved classes; data minimisation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Catalogue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Value / unit / quality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Consumer</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Typed value + unit + quality</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Per publication</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Preserve content/meaning; no silent coercion</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Source and publication time</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MES/interface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Consumer</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Timestamp + offset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Preserve chronology and time basis</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Format/precision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Mapping/definition version</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Configuration</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Publication 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Version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Link every output to controlled definition</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Version scheme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Message/checkpoint/count/ack</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Interface/consumer</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Reconciliation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Identifiers + numeric controls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Detect missing, duplicate, incomplete and rejected publication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Mechanism Verify</w:t>
            </w:r>
          </w:p>
        </w:tc>
      </w:tr>
    </w:tbl>
    <w:p>
      <w:pPr>
        <w:spacing w:after="0"/>
      </w:pPr>
    </w:p>
    <w:p>
      <w:pPr>
        <w:pStyle w:val="Heading3"/>
        <w:keepNext/>
        <w:keepLines/>
      </w:pPr>
      <w:r>
        <w:t>7.2.5 IAM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Unique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Enterprise identity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session/access 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Immutable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Uniquely resolve active person/service; no reuse ambiguity</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Attribute name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Authentication outcome/method context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Identity service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decision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Accept only approved method/outcome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Method/assurance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Account lifecycle state</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Identity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login decision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code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Disabled/expired/unknown denied</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Code mapping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Approved identity attributes</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Identity service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identification/mapping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Typed attribute set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As approved</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Minimise; do not silently grant MES role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Attribute list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Assertion/token validity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Identity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trust evaluation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Time-bound protected data</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Issuer/audience/time/replay validation</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Mechanism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Correlation/time/error</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Both</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Audit/support</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 + timestamp + safe code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Trace outcome without credential/secret leakage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Technical fields Verify</w:t>
            </w:r>
          </w:p>
        </w:tc>
      </w:tr>
    </w:tbl>
    <w:p>
      <w:pPr>
        <w:spacing w:after="0"/>
      </w:pPr>
    </w:p>
    <w:p>
      <w:pPr>
        <w:pStyle w:val="Heading3"/>
        <w:keepNext/>
        <w:keepLines/>
      </w:pPr>
      <w:r>
        <w:t>7.2.6 TIM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Authoritative source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Enterprise time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MES components</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Only approved trusted source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Source/mechanism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UTC/source time and offset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Time service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Component clock/event metadata</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Timestamp + offset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Unambiguous representation</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Precision/format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Time-zone/DST rule version</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Controlled configuration</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Display/conversion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Zone/rule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Consistent conversion across components</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Approved zone/rule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Synchronization/drift state</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Time service/component</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Monitoring/fail-safe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Numeric + controlled 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Compare to approved threshold</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Threshold/unit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Health/correlation/error</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Time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Monitoring/audit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Identifier + state + timestamp</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Detect loss, stale state and recovery</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Technical fields Verify</w:t>
            </w:r>
          </w:p>
        </w:tc>
      </w:tr>
    </w:tbl>
    <w:p>
      <w:pPr>
        <w:spacing w:after="0"/>
      </w:pPr>
    </w:p>
    <w:p>
      <w:pPr>
        <w:pStyle w:val="Heading3"/>
        <w:keepNext/>
        <w:keepLines/>
      </w:pPr>
      <w:r>
        <w:t>7.2.7 OPS logical field contract</w:t>
      </w:r>
    </w:p>
    <w:tbl>
      <w:tblPr>
        <w:tblStyle w:val="TableGrid"/>
        <w:tblW w:type="auto" w:w="0"/>
        <w:jc w:val="left"/>
        <w:tblLayout w:type="fixed"/>
        <w:tblLook w:firstColumn="1" w:firstRow="1" w:lastColumn="0" w:lastRow="0" w:noHBand="0" w:noVBand="1" w:val="04A0"/>
        <w:tblInd w:w="120" w:type="dxa"/>
      </w:tblPr>
      <w:tblGrid>
        <w:gridCol w:w="1350"/>
        <w:gridCol w:w="1250"/>
        <w:gridCol w:w="1450"/>
        <w:gridCol w:w="1050"/>
        <w:gridCol w:w="900"/>
        <w:gridCol w:w="2050"/>
        <w:gridCol w:w="13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Logical field group</w:t>
            </w:r>
          </w:p>
        </w:tc>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Source</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Target / use</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Type class</w:t>
            </w:r>
          </w:p>
        </w:tc>
        <w:tc>
          <w:tcPr>
            <w:tcW w:type="dxa" w:w="9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Mandatory</w:t>
            </w:r>
          </w:p>
        </w:tc>
        <w:tc>
          <w:tcPr>
            <w:tcW w:type="dxa" w:w="2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Validation / transformation</w:t>
            </w:r>
          </w:p>
        </w:tc>
        <w:tc>
          <w:tcPr>
            <w:tcW w:type="dxa" w:w="13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Component/service identity</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MES/enterprise services</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Monitoring/support 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Controlled identifier</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Map to component/environment inventory</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Technical inventory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Health/job/queue/capacity metric</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components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Monitoring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Typed metric + unit/state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 control</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Approved definition and threshold</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Metric catalogue/threshold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Alert identity/severity/condition</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Monitoring</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Support route/evidence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Identifiers + controlled code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One lifecycle; suppress duplicates without hiding impact</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Severity/routing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Backup scope/run/copy/result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Backup service</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Operations evidence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Identifiers + state + times</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Per run</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Reconcile approved scope and omitted/failed components</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Exact fields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Recovery point/component/set/state</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Recovery service</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Operations/release decision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Identifiers + controlled state</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Per recovery</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Complete set and validation checks</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Exact fields/RPO/RTO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Diagnostic correlation/context</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MES components</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Support</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Identifier + safe structured context</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As needed</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Sufficient for investigation; minimise protected data</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Log schema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Event/occurrence/detection/ack times</w:t>
            </w:r>
          </w:p>
        </w:tc>
        <w:tc>
          <w:tcPr>
            <w:tcW w:type="dxa" w:w="1250"/>
            <w:vAlign w:val="top"/>
            <w:tcMar>
              <w:top w:w="70" w:type="dxa"/>
              <w:start w:w="85" w:type="dxa"/>
              <w:bottom w:w="70" w:type="dxa"/>
              <w:end w:w="85" w:type="dxa"/>
            </w:tcMar>
          </w:tcPr>
          <w:p>
            <w:pPr>
              <w:spacing w:before="0" w:after="0" w:line="240" w:lineRule="auto"/>
            </w:pPr>
            <w:r>
              <w:rPr>
                <w:rFonts w:ascii="Calibri" w:hAnsi="Calibri"/>
                <w:color w:val="202020"/>
                <w:sz w:val="11"/>
              </w:rPr>
              <w:t>Source/monitoring/support</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Chronology</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Timestamp + offset</w:t>
            </w:r>
          </w:p>
        </w:tc>
        <w:tc>
          <w:tcPr>
            <w:tcW w:type="dxa" w:w="900"/>
            <w:vAlign w:val="top"/>
            <w:tcMar>
              <w:top w:w="70" w:type="dxa"/>
              <w:start w:w="85" w:type="dxa"/>
              <w:bottom w:w="70" w:type="dxa"/>
              <w:end w:w="85" w:type="dxa"/>
            </w:tcMar>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tcPr>
          <w:p>
            <w:pPr>
              <w:spacing w:before="0" w:after="0" w:line="240" w:lineRule="auto"/>
            </w:pPr>
            <w:r>
              <w:rPr>
                <w:rFonts w:ascii="Calibri" w:hAnsi="Calibri"/>
                <w:color w:val="202020"/>
                <w:sz w:val="11"/>
              </w:rPr>
              <w:t>Authoritative time and preserved sequence</w:t>
            </w:r>
          </w:p>
        </w:tc>
        <w:tc>
          <w:tcPr>
            <w:tcW w:type="dxa" w:w="1310"/>
            <w:vAlign w:val="top"/>
            <w:tcMar>
              <w:top w:w="70" w:type="dxa"/>
              <w:start w:w="85" w:type="dxa"/>
              <w:bottom w:w="70" w:type="dxa"/>
              <w:end w:w="85" w:type="dxa"/>
            </w:tcMar>
          </w:tcPr>
          <w:p>
            <w:pPr>
              <w:spacing w:before="0" w:after="0" w:line="240" w:lineRule="auto"/>
            </w:pPr>
            <w:r>
              <w:rPr>
                <w:rFonts w:ascii="Calibri" w:hAnsi="Calibri"/>
                <w:color w:val="202020"/>
                <w:sz w:val="11"/>
              </w:rPr>
              <w:t>Precision Verify</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Owner/route/ack/escalation/error</w:t>
            </w:r>
          </w:p>
        </w:tc>
        <w:tc>
          <w:tcPr>
            <w:tcW w:type="dxa" w:w="12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Monitoring/support control</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Operational evidence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role/state</w:t>
            </w:r>
          </w:p>
        </w:tc>
        <w:tc>
          <w:tcPr>
            <w:tcW w:type="dxa" w:w="900"/>
            <w:vAlign w:val="top"/>
            <w:tcMar>
              <w:top w:w="70" w:type="dxa"/>
              <w:start w:w="85" w:type="dxa"/>
              <w:bottom w:w="70" w:type="dxa"/>
              <w:end w:w="85" w:type="dxa"/>
            </w:tcMar>
            <w:shd w:fill="EEF4F9"/>
          </w:tcPr>
          <w:p>
            <w:pPr>
              <w:spacing w:before="0" w:after="0" w:line="240" w:lineRule="auto"/>
            </w:pPr>
            <w:r>
              <w:rPr>
                <w:rFonts w:ascii="Calibri" w:hAnsi="Calibri"/>
                <w:color w:val="202020"/>
                <w:sz w:val="11"/>
              </w:rPr>
              <w:t>Yes</w:t>
            </w:r>
          </w:p>
        </w:tc>
        <w:tc>
          <w:tcPr>
            <w:tcW w:type="dxa" w:w="2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No false success; retain uncertain/escalated state</w:t>
            </w:r>
          </w:p>
        </w:tc>
        <w:tc>
          <w:tcPr>
            <w:tcW w:type="dxa" w:w="1310"/>
            <w:vAlign w:val="top"/>
            <w:tcMar>
              <w:top w:w="70" w:type="dxa"/>
              <w:start w:w="85" w:type="dxa"/>
              <w:bottom w:w="70" w:type="dxa"/>
              <w:end w:w="85" w:type="dxa"/>
            </w:tcMar>
            <w:shd w:fill="EEF4F9"/>
          </w:tcPr>
          <w:p>
            <w:pPr>
              <w:spacing w:before="0" w:after="0" w:line="240" w:lineRule="auto"/>
            </w:pPr>
            <w:r>
              <w:rPr>
                <w:rFonts w:ascii="Calibri" w:hAnsi="Calibri"/>
                <w:color w:val="202020"/>
                <w:sz w:val="11"/>
              </w:rPr>
              <w:t>Ownership/SLO Verify</w:t>
            </w:r>
          </w:p>
        </w:tc>
      </w:tr>
    </w:tbl>
    <w:p>
      <w:pPr>
        <w:spacing w:after="0"/>
      </w:pPr>
    </w:p>
    <w:p>
      <w:pPr>
        <w:pStyle w:val="Heading2"/>
        <w:keepNext/>
        <w:keepLines/>
      </w:pPr>
      <w:r>
        <w:t>7.3 Request/response and error-envelope rules</w:t>
      </w:r>
    </w:p>
    <w:tbl>
      <w:tblPr>
        <w:tblStyle w:val="TableGrid"/>
        <w:tblW w:type="auto" w:w="0"/>
        <w:jc w:val="left"/>
        <w:tblLayout w:type="fixed"/>
        <w:tblLook w:firstColumn="1" w:firstRow="1" w:lastColumn="0" w:lastRow="0" w:noHBand="0" w:noVBand="1" w:val="04A0"/>
        <w:tblInd w:w="120" w:type="dxa"/>
      </w:tblPr>
      <w:tblGrid>
        <w:gridCol w:w="1900"/>
        <w:gridCol w:w="4300"/>
        <w:gridCol w:w="3160"/>
      </w:tblGrid>
      <w:tr>
        <w:trPr>
          <w:tblHeader w:val="true"/>
          <w:cantSplit/>
        </w:trPr>
        <w:tc>
          <w:tcPr>
            <w:tcW w:type="dxa" w:w="19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Envelope element</w:t>
            </w:r>
          </w:p>
        </w:tc>
        <w:tc>
          <w:tcPr>
            <w:tcW w:type="dxa" w:w="43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Minimum logical content</w:t>
            </w:r>
          </w:p>
        </w:tc>
        <w:tc>
          <w:tcPr>
            <w:tcW w:type="dxa" w:w="31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Rule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Request / event header</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Interface/contract version, message and correlation ID, source/destination, creation/source time and content classification.</w:t>
            </w:r>
          </w:p>
        </w:tc>
        <w:tc>
          <w:tcPr>
            <w:tcW w:type="dxa" w:w="3160"/>
            <w:vAlign w:val="top"/>
            <w:tcMar>
              <w:top w:w="70" w:type="dxa"/>
              <w:start w:w="85" w:type="dxa"/>
              <w:bottom w:w="70" w:type="dxa"/>
              <w:end w:w="85" w:type="dxa"/>
            </w:tcMar>
          </w:tcPr>
          <w:p>
            <w:pPr>
              <w:spacing w:before="0" w:after="0" w:line="240" w:lineRule="auto"/>
            </w:pPr>
            <w:r>
              <w:rPr>
                <w:rFonts w:ascii="Calibri" w:hAnsi="Calibri"/>
                <w:color w:val="202020"/>
                <w:sz w:val="14"/>
              </w:rPr>
              <w:t>Mandatory unless approved non-message mechanism provides equivalent trace.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payload</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Stable business identifiers, controlled values/units/status, version and required context.</w:t>
            </w:r>
          </w:p>
        </w:tc>
        <w:tc>
          <w:tcPr>
            <w:tcW w:type="dxa" w:w="31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Schema and business validation before use.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Technical acknowledgement</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Message ID/correlation, receipt time and accepted/rejected technical state.</w:t>
            </w:r>
          </w:p>
        </w:tc>
        <w:tc>
          <w:tcPr>
            <w:tcW w:type="dxa" w:w="3160"/>
            <w:vAlign w:val="top"/>
            <w:tcMar>
              <w:top w:w="70" w:type="dxa"/>
              <w:start w:w="85" w:type="dxa"/>
              <w:bottom w:w="70" w:type="dxa"/>
              <w:end w:w="85" w:type="dxa"/>
            </w:tcMar>
          </w:tcPr>
          <w:p>
            <w:pPr>
              <w:spacing w:before="0" w:after="0" w:line="240" w:lineRule="auto"/>
            </w:pPr>
            <w:r>
              <w:rPr>
                <w:rFonts w:ascii="Calibri" w:hAnsi="Calibri"/>
                <w:color w:val="202020"/>
                <w:sz w:val="14"/>
              </w:rPr>
              <w:t>Does not imply business completion.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Business response</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Business object/state, processing result and target identity/version.</w:t>
            </w:r>
          </w:p>
        </w:tc>
        <w:tc>
          <w:tcPr>
            <w:tcW w:type="dxa" w:w="31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Correlated to source; no false success.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Error envelope</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Safe controlled code/category, stage, retryability, timestamp/correlation and support context.</w:t>
            </w:r>
          </w:p>
        </w:tc>
        <w:tc>
          <w:tcPr>
            <w:tcW w:type="dxa" w:w="3160"/>
            <w:vAlign w:val="top"/>
            <w:tcMar>
              <w:top w:w="70" w:type="dxa"/>
              <w:start w:w="85" w:type="dxa"/>
              <w:bottom w:w="70" w:type="dxa"/>
              <w:end w:w="85" w:type="dxa"/>
            </w:tcMar>
          </w:tcPr>
          <w:p>
            <w:pPr>
              <w:spacing w:before="0" w:after="0" w:line="240" w:lineRule="auto"/>
            </w:pPr>
            <w:r>
              <w:rPr>
                <w:rFonts w:ascii="Calibri" w:hAnsi="Calibri"/>
                <w:color w:val="202020"/>
                <w:sz w:val="14"/>
              </w:rPr>
              <w:t>No credential, secret or unnecessary personal/GxP data leakage.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Replay metadata</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Original/new transaction IDs, authorised actor/service, reason, time, source version and result.</w:t>
            </w:r>
          </w:p>
        </w:tc>
        <w:tc>
          <w:tcPr>
            <w:tcW w:type="dxa" w:w="3160"/>
            <w:vAlign w:val="top"/>
            <w:tcMar>
              <w:top w:w="70" w:type="dxa"/>
              <w:start w:w="85" w:type="dxa"/>
              <w:bottom w:w="70" w:type="dxa"/>
              <w:end w:w="85" w:type="dxa"/>
            </w:tcMar>
            <w:shd w:fill="EEF4F9"/>
          </w:tcPr>
          <w:p>
            <w:pPr>
              <w:spacing w:before="0" w:after="0" w:line="240" w:lineRule="auto"/>
            </w:pPr>
            <w:r>
              <w:rPr>
                <w:rFonts w:ascii="Calibri" w:hAnsi="Calibri"/>
                <w:color w:val="202020"/>
                <w:sz w:val="14"/>
              </w:rPr>
              <w:t>Immutable linkage; idempotent processing.</w:t>
            </w:r>
          </w:p>
        </w:tc>
      </w:tr>
    </w:tbl>
    <w:p>
      <w:pPr>
        <w:spacing w:after="0"/>
      </w:pPr>
    </w:p>
    <w:p>
      <w:pPr>
        <w:pStyle w:val="Heading1"/>
        <w:keepNext/>
        <w:keepLines/>
      </w:pPr>
      <w:r>
        <w:t>8 Environment values, policies and dependencies</w:t>
      </w:r>
    </w:p>
    <w:p>
      <w:pPr>
        <w:pStyle w:val="Heading2"/>
        <w:keepNext/>
        <w:keepLines/>
      </w:pPr>
      <w:r>
        <w:t>8.1 Environment routing and URL/value register</w:t>
      </w:r>
    </w:p>
    <w:tbl>
      <w:tblPr>
        <w:tblStyle w:val="TableGrid"/>
        <w:tblW w:type="auto" w:w="0"/>
        <w:jc w:val="left"/>
        <w:tblLayout w:type="fixed"/>
        <w:tblLook w:firstColumn="1" w:firstRow="1" w:lastColumn="0" w:lastRow="0" w:noHBand="0" w:noVBand="1" w:val="04A0"/>
        <w:tblInd w:w="120" w:type="dxa"/>
      </w:tblPr>
      <w:tblGrid>
        <w:gridCol w:w="1250"/>
        <w:gridCol w:w="1300"/>
        <w:gridCol w:w="2100"/>
        <w:gridCol w:w="1700"/>
        <w:gridCol w:w="1800"/>
        <w:gridCol w:w="1210"/>
      </w:tblGrid>
      <w:tr>
        <w:trPr>
          <w:tblHeader w:val="true"/>
          <w:cantSplit/>
        </w:trPr>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Family</w:t>
            </w:r>
          </w:p>
        </w:tc>
        <w:tc>
          <w:tcPr>
            <w:tcW w:type="dxa" w:w="13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Environment</w:t>
            </w:r>
          </w:p>
        </w:tc>
        <w:tc>
          <w:tcPr>
            <w:tcW w:type="dxa" w:w="21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Purpose</w:t>
            </w:r>
          </w:p>
        </w:tc>
        <w:tc>
          <w:tcPr>
            <w:tcW w:type="dxa" w:w="17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Endpoint / route</w:t>
            </w:r>
          </w:p>
        </w:tc>
        <w:tc>
          <w:tcPr>
            <w:tcW w:type="dxa" w:w="18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Security material reference</w:t>
            </w:r>
          </w:p>
        </w:tc>
        <w:tc>
          <w:tcPr>
            <w:tcW w:type="dxa" w:w="12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Current state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INT-MES-ERP-001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INT-MES-ERP-001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INT-MES-ERP-001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INT-MES-ERP-001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INT-MES-LIMS-001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INT-MES-LIMS-001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INT-MES-LIMS-001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INT-MES-LIMS-001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INT-MES-AUT-001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INT-MES-AUT-001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INT-MES-AUT-001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INT-MES-AUT-001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INT-MES-HIS-001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INT-MES-HIS-001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INT-MES-HIS-001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INT-MES-HIS-001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INT-MES-IAM-001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INT-MES-IAM-001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INT-MES-IAM-001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INT-MES-IAM-001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INT-MES-TIM-001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INT-MES-TIM-001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INT-MES-TIM-001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INT-MES-TIM-001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INT-MES-OPS-001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DEV / configuration</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Design/configuration and development verification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INT-MES-OPS-001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TEST / VAL</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Controlled integration/system/acceptance verification</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INT-MES-OPS-001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2"/>
              </w:rPr>
              <w:t>PROD</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Approved regulated operation</w:t>
            </w:r>
          </w:p>
        </w:tc>
        <w:tc>
          <w:tcPr>
            <w:tcW w:type="dxa" w:w="1700"/>
            <w:vAlign w:val="top"/>
            <w:tcMar>
              <w:top w:w="70" w:type="dxa"/>
              <w:start w:w="85" w:type="dxa"/>
              <w:bottom w:w="70" w:type="dxa"/>
              <w:end w:w="85" w:type="dxa"/>
            </w:tcMar>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tcPr>
          <w:p>
            <w:pPr>
              <w:spacing w:before="0" w:after="0" w:line="240" w:lineRule="auto"/>
            </w:pPr>
            <w:r>
              <w:rPr>
                <w:rFonts w:ascii="Calibri" w:hAnsi="Calibri"/>
                <w:color w:val="202020"/>
                <w:sz w:val="12"/>
              </w:rPr>
              <w:t>No live value in this dummy document</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INT-MES-OPS-001</w:t>
            </w:r>
          </w:p>
        </w:tc>
        <w:tc>
          <w:tcPr>
            <w:tcW w:type="dxa" w:w="1300"/>
            <w:vAlign w:val="top"/>
            <w:tcMar>
              <w:top w:w="70" w:type="dxa"/>
              <w:start w:w="85" w:type="dxa"/>
              <w:bottom w:w="70" w:type="dxa"/>
              <w:end w:w="85" w:type="dxa"/>
            </w:tcMar>
            <w:shd w:fill="EEF4F9"/>
          </w:tcPr>
          <w:p>
            <w:pPr>
              <w:spacing w:before="0" w:after="0" w:line="240" w:lineRule="auto"/>
            </w:pPr>
            <w:r>
              <w:rPr>
                <w:rFonts w:ascii="Calibri" w:hAnsi="Calibri"/>
                <w:color w:val="202020"/>
                <w:sz w:val="12"/>
              </w:rPr>
              <w:t>DR / recovery</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recovery/exercise context</w:t>
            </w:r>
          </w:p>
        </w:tc>
        <w:tc>
          <w:tcPr>
            <w:tcW w:type="dxa" w:w="17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Endpoint/URL/route/port Verify</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Identity/trust/certificate/secret reference Verify</w:t>
            </w:r>
          </w:p>
        </w:tc>
        <w:tc>
          <w:tcPr>
            <w:tcW w:type="dxa" w:w="1210"/>
            <w:vAlign w:val="top"/>
            <w:tcMar>
              <w:top w:w="70" w:type="dxa"/>
              <w:start w:w="85" w:type="dxa"/>
              <w:bottom w:w="70" w:type="dxa"/>
              <w:end w:w="85" w:type="dxa"/>
            </w:tcMar>
            <w:shd w:fill="EEF4F9"/>
          </w:tcPr>
          <w:p>
            <w:pPr>
              <w:spacing w:before="0" w:after="0" w:line="240" w:lineRule="auto"/>
            </w:pPr>
            <w:r>
              <w:rPr>
                <w:rFonts w:ascii="Calibri" w:hAnsi="Calibri"/>
                <w:color w:val="202020"/>
                <w:sz w:val="12"/>
              </w:rPr>
              <w:t>No live value in this dummy document</w:t>
            </w:r>
          </w:p>
        </w:tc>
      </w:tr>
    </w:tbl>
    <w:p>
      <w:pPr>
        <w:spacing w:after="0"/>
      </w:pPr>
    </w:p>
    <w:p>
      <w:pPr>
        <w:pStyle w:val="Heading2"/>
        <w:keepNext/>
        <w:keepLines/>
      </w:pPr>
      <w:r>
        <w:t>8.2 Interface/API policy register</w:t>
      </w:r>
    </w:p>
    <w:tbl>
      <w:tblPr>
        <w:tblStyle w:val="TableGrid"/>
        <w:tblW w:type="auto" w:w="0"/>
        <w:jc w:val="left"/>
        <w:tblLayout w:type="fixed"/>
        <w:tblLook w:firstColumn="1" w:firstRow="1" w:lastColumn="0" w:lastRow="0" w:noHBand="0" w:noVBand="1" w:val="04A0"/>
        <w:tblInd w:w="120" w:type="dxa"/>
      </w:tblPr>
      <w:tblGrid>
        <w:gridCol w:w="2200"/>
        <w:gridCol w:w="2450"/>
        <w:gridCol w:w="4710"/>
      </w:tblGrid>
      <w:tr>
        <w:trPr>
          <w:tblHeader w:val="true"/>
          <w:cantSplit/>
        </w:trPr>
        <w:tc>
          <w:tcPr>
            <w:tcW w:type="dxa" w:w="22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Policy</w:t>
            </w:r>
          </w:p>
        </w:tc>
        <w:tc>
          <w:tcPr>
            <w:tcW w:type="dxa" w:w="24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Applies to</w:t>
            </w:r>
          </w:p>
        </w:tc>
        <w:tc>
          <w:tcPr>
            <w:tcW w:type="dxa" w:w="47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Controlled intent</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Authentication / endpoint trust</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Mutual or approved endpoint authentication; mechanism Verify</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Authorisation / least privilege</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Environment/function/data-scope restrictions; service identity owner/review</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Encryption in transit</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Approved cryptographic protection; protocol/cipher/certificate lifecycle Verify</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Schema and business validation</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Reject malformed, incomplete, unsupported or invalid-state content</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Idempotency / duplicate</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ERP, LIMS, AUT, HIS; applicable OPS</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Stable identity and one business effect</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Sequence / ordering</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 applicable ERP/LIMS/HIS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Gap, late and reorder detection according to contract</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Timeout / retry / backoff</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Transactional/service families</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Bounded; uncertain state visible; values Verify</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Replay</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Transactional families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Authorised, reasoned, logged and idempotent</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Data minimisation / privacy</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IAM, LIMS, reporting and all where applicable</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Only approved attributes; protected logs/errors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Audit / log masking</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Security, state, mapping, replay/change evidence; no secrets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Monitoring / rate / capacity guard</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tcPr>
          <w:p>
            <w:pPr>
              <w:spacing w:before="0" w:after="0" w:line="240" w:lineRule="auto"/>
            </w:pPr>
            <w:r>
              <w:rPr>
                <w:rFonts w:ascii="Calibri" w:hAnsi="Calibri"/>
                <w:color w:val="202020"/>
                <w:sz w:val="14"/>
              </w:rPr>
              <w:t>Availability, latency, volume/backlog and data quality; targets Verify</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Version / deprecation</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 families</w:t>
            </w:r>
          </w:p>
        </w:tc>
        <w:tc>
          <w:tcPr>
            <w:tcW w:type="dxa" w:w="47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Consumer-aware version coexistence/migration/retirement; periods Verify</w:t>
            </w:r>
          </w:p>
        </w:tc>
      </w:tr>
    </w:tbl>
    <w:p>
      <w:pPr>
        <w:spacing w:after="0"/>
      </w:pPr>
    </w:p>
    <w:p>
      <w:pPr>
        <w:pStyle w:val="Heading2"/>
        <w:keepNext/>
        <w:keepLines/>
      </w:pPr>
      <w:r>
        <w:t>8.3 Dependencies and responsibility boundary</w:t>
      </w:r>
    </w:p>
    <w:tbl>
      <w:tblPr>
        <w:tblStyle w:val="TableGrid"/>
        <w:tblW w:type="auto" w:w="0"/>
        <w:jc w:val="left"/>
        <w:tblLayout w:type="fixed"/>
        <w:tblLook w:firstColumn="1" w:firstRow="1" w:lastColumn="0" w:lastRow="0" w:noHBand="0" w:noVBand="1" w:val="04A0"/>
        <w:tblInd w:w="120" w:type="dxa"/>
      </w:tblPr>
      <w:tblGrid>
        <w:gridCol w:w="1900"/>
        <w:gridCol w:w="3000"/>
        <w:gridCol w:w="2700"/>
        <w:gridCol w:w="1760"/>
      </w:tblGrid>
      <w:tr>
        <w:trPr>
          <w:tblHeader w:val="true"/>
          <w:cantSplit/>
        </w:trPr>
        <w:tc>
          <w:tcPr>
            <w:tcW w:type="dxa" w:w="19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Dependency</w:t>
            </w:r>
          </w:p>
        </w:tc>
        <w:tc>
          <w:tcPr>
            <w:tcW w:type="dxa" w:w="30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Interface reliance</w:t>
            </w:r>
          </w:p>
        </w:tc>
        <w:tc>
          <w:tcPr>
            <w:tcW w:type="dxa" w:w="27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Owner / evidence</w:t>
            </w:r>
          </w:p>
        </w:tc>
        <w:tc>
          <w:tcPr>
            <w:tcW w:type="dxa" w:w="17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Failure posture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CMP-MES-INT-001 integration services</w:t>
            </w:r>
          </w:p>
        </w:tc>
        <w:tc>
          <w:tcPr>
            <w:tcW w:type="dxa" w:w="3000"/>
            <w:vAlign w:val="top"/>
            <w:tcMar>
              <w:top w:w="70" w:type="dxa"/>
              <w:start w:w="85" w:type="dxa"/>
              <w:bottom w:w="70" w:type="dxa"/>
              <w:end w:w="85" w:type="dxa"/>
            </w:tcMar>
          </w:tcPr>
          <w:p>
            <w:pPr>
              <w:spacing w:before="0" w:after="0" w:line="240" w:lineRule="auto"/>
            </w:pPr>
            <w:r>
              <w:rPr>
                <w:rFonts w:ascii="Calibri" w:hAnsi="Calibri"/>
                <w:color w:val="202020"/>
                <w:sz w:val="13"/>
              </w:rPr>
              <w:t>Contract execution, mapping, state, retry/replay and reconciliation.</w:t>
            </w:r>
          </w:p>
        </w:tc>
        <w:tc>
          <w:tcPr>
            <w:tcW w:type="dxa" w:w="2700"/>
            <w:vAlign w:val="top"/>
            <w:tcMar>
              <w:top w:w="70" w:type="dxa"/>
              <w:start w:w="85" w:type="dxa"/>
              <w:bottom w:w="70" w:type="dxa"/>
              <w:end w:w="85" w:type="dxa"/>
            </w:tcMar>
          </w:tcPr>
          <w:p>
            <w:pPr>
              <w:spacing w:before="0" w:after="0" w:line="240" w:lineRule="auto"/>
            </w:pPr>
            <w:r>
              <w:rPr>
                <w:rFonts w:ascii="Calibri" w:hAnsi="Calibri"/>
                <w:color w:val="202020"/>
                <w:sz w:val="13"/>
              </w:rPr>
              <w:t>Integration Architect / DS-CS-platform evidence Verify</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3"/>
              </w:rPr>
              <w:t>No false success; controlled queue/degraded state.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CMP-MES-APP-001 / DB-001</w:t>
            </w:r>
          </w:p>
        </w:tc>
        <w:tc>
          <w:tcPr>
            <w:tcW w:type="dxa" w:w="3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Business state, authoritative records and transactional commit.</w:t>
            </w:r>
          </w:p>
        </w:tc>
        <w:tc>
          <w:tcPr>
            <w:tcW w:type="dxa" w:w="27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IT Solution Owner / DS-DIA evidence</w:t>
            </w:r>
          </w:p>
        </w:tc>
        <w:tc>
          <w:tcPr>
            <w:tcW w:type="dxa" w:w="1760"/>
            <w:vAlign w:val="top"/>
            <w:tcMar>
              <w:top w:w="70" w:type="dxa"/>
              <w:start w:w="85" w:type="dxa"/>
              <w:bottom w:w="70" w:type="dxa"/>
              <w:end w:w="85" w:type="dxa"/>
            </w:tcMar>
            <w:shd w:fill="EEF4F9"/>
          </w:tcPr>
          <w:p>
            <w:pPr>
              <w:spacing w:before="0" w:after="0" w:line="240" w:lineRule="auto"/>
            </w:pPr>
            <w:r>
              <w:rPr>
                <w:rFonts w:ascii="Calibri" w:hAnsi="Calibri"/>
                <w:color w:val="202020"/>
                <w:sz w:val="13"/>
              </w:rPr>
              <w:t>Rollback/block or controlled exception.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Adjacent provider/consumer systems</w:t>
            </w:r>
          </w:p>
        </w:tc>
        <w:tc>
          <w:tcPr>
            <w:tcW w:type="dxa" w:w="3000"/>
            <w:vAlign w:val="top"/>
            <w:tcMar>
              <w:top w:w="70" w:type="dxa"/>
              <w:start w:w="85" w:type="dxa"/>
              <w:bottom w:w="70" w:type="dxa"/>
              <w:end w:w="85" w:type="dxa"/>
            </w:tcMar>
          </w:tcPr>
          <w:p>
            <w:pPr>
              <w:spacing w:before="0" w:after="0" w:line="240" w:lineRule="auto"/>
            </w:pPr>
            <w:r>
              <w:rPr>
                <w:rFonts w:ascii="Calibri" w:hAnsi="Calibri"/>
                <w:color w:val="202020"/>
                <w:sz w:val="13"/>
              </w:rPr>
              <w:t>Authoritative source/target state and acknowledgements.</w:t>
            </w:r>
          </w:p>
        </w:tc>
        <w:tc>
          <w:tcPr>
            <w:tcW w:type="dxa" w:w="2700"/>
            <w:vAlign w:val="top"/>
            <w:tcMar>
              <w:top w:w="70" w:type="dxa"/>
              <w:start w:w="85" w:type="dxa"/>
              <w:bottom w:w="70" w:type="dxa"/>
              <w:end w:w="85" w:type="dxa"/>
            </w:tcMar>
          </w:tcPr>
          <w:p>
            <w:pPr>
              <w:spacing w:before="0" w:after="0" w:line="240" w:lineRule="auto"/>
            </w:pPr>
            <w:r>
              <w:rPr>
                <w:rFonts w:ascii="Calibri" w:hAnsi="Calibri"/>
                <w:color w:val="202020"/>
                <w:sz w:val="13"/>
              </w:rPr>
              <w:t>Respective System/Data Owners / agreements Verify</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3"/>
              </w:rPr>
              <w:t>Visible unavailable/invalid/uncertain state.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CMP-ENT-IAM-001</w:t>
            </w:r>
          </w:p>
        </w:tc>
        <w:tc>
          <w:tcPr>
            <w:tcW w:type="dxa" w:w="3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Identity/trust/service access.</w:t>
            </w:r>
          </w:p>
        </w:tc>
        <w:tc>
          <w:tcPr>
            <w:tcW w:type="dxa" w:w="27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Identity/Security owners / service evidence Verify</w:t>
            </w:r>
          </w:p>
        </w:tc>
        <w:tc>
          <w:tcPr>
            <w:tcW w:type="dxa" w:w="1760"/>
            <w:vAlign w:val="top"/>
            <w:tcMar>
              <w:top w:w="70" w:type="dxa"/>
              <w:start w:w="85" w:type="dxa"/>
              <w:bottom w:w="70" w:type="dxa"/>
              <w:end w:w="85" w:type="dxa"/>
            </w:tcMar>
            <w:shd w:fill="EEF4F9"/>
          </w:tcPr>
          <w:p>
            <w:pPr>
              <w:spacing w:before="0" w:after="0" w:line="240" w:lineRule="auto"/>
            </w:pPr>
            <w:r>
              <w:rPr>
                <w:rFonts w:ascii="Calibri" w:hAnsi="Calibri"/>
                <w:color w:val="202020"/>
                <w:sz w:val="13"/>
              </w:rPr>
              <w:t>Fail closed for new regulated access.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CMP-ENT-TIME-001</w:t>
            </w:r>
          </w:p>
        </w:tc>
        <w:tc>
          <w:tcPr>
            <w:tcW w:type="dxa" w:w="3000"/>
            <w:vAlign w:val="top"/>
            <w:tcMar>
              <w:top w:w="70" w:type="dxa"/>
              <w:start w:w="85" w:type="dxa"/>
              <w:bottom w:w="70" w:type="dxa"/>
              <w:end w:w="85" w:type="dxa"/>
            </w:tcMar>
          </w:tcPr>
          <w:p>
            <w:pPr>
              <w:spacing w:before="0" w:after="0" w:line="240" w:lineRule="auto"/>
            </w:pPr>
            <w:r>
              <w:rPr>
                <w:rFonts w:ascii="Calibri" w:hAnsi="Calibri"/>
                <w:color w:val="202020"/>
                <w:sz w:val="13"/>
              </w:rPr>
              <w:t>Authoritative chronology.</w:t>
            </w:r>
          </w:p>
        </w:tc>
        <w:tc>
          <w:tcPr>
            <w:tcW w:type="dxa" w:w="2700"/>
            <w:vAlign w:val="top"/>
            <w:tcMar>
              <w:top w:w="70" w:type="dxa"/>
              <w:start w:w="85" w:type="dxa"/>
              <w:bottom w:w="70" w:type="dxa"/>
              <w:end w:w="85" w:type="dxa"/>
            </w:tcMar>
          </w:tcPr>
          <w:p>
            <w:pPr>
              <w:spacing w:before="0" w:after="0" w:line="240" w:lineRule="auto"/>
            </w:pPr>
            <w:r>
              <w:rPr>
                <w:rFonts w:ascii="Calibri" w:hAnsi="Calibri"/>
                <w:color w:val="202020"/>
                <w:sz w:val="13"/>
              </w:rPr>
              <w:t>Time service owner / DS-CS-monitor evidence Verify</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3"/>
              </w:rPr>
              <w:t>Flag/block per approved threshold.</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CMP-ENT-BCK-001 / MON-001</w:t>
            </w:r>
          </w:p>
        </w:tc>
        <w:tc>
          <w:tcPr>
            <w:tcW w:type="dxa" w:w="3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Recovery and monitoring/alerting.</w:t>
            </w:r>
          </w:p>
        </w:tc>
        <w:tc>
          <w:tcPr>
            <w:tcW w:type="dxa" w:w="2700"/>
            <w:vAlign w:val="top"/>
            <w:tcMar>
              <w:top w:w="70" w:type="dxa"/>
              <w:start w:w="85" w:type="dxa"/>
              <w:bottom w:w="70" w:type="dxa"/>
              <w:end w:w="85" w:type="dxa"/>
            </w:tcMar>
            <w:shd w:fill="EEF4F9"/>
          </w:tcPr>
          <w:p>
            <w:pPr>
              <w:spacing w:before="0" w:after="0" w:line="240" w:lineRule="auto"/>
            </w:pPr>
            <w:r>
              <w:rPr>
                <w:rFonts w:ascii="Calibri" w:hAnsi="Calibri"/>
                <w:color w:val="202020"/>
                <w:sz w:val="13"/>
              </w:rPr>
              <w:t>Operations/service owners / O&amp;M evidence Verify</w:t>
            </w:r>
          </w:p>
        </w:tc>
        <w:tc>
          <w:tcPr>
            <w:tcW w:type="dxa" w:w="176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Alert, preserve state and reconcile before resume.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Supplier / interface platform</w:t>
            </w:r>
          </w:p>
        </w:tc>
        <w:tc>
          <w:tcPr>
            <w:tcW w:type="dxa" w:w="3000"/>
            <w:vAlign w:val="top"/>
            <w:tcMar>
              <w:top w:w="70" w:type="dxa"/>
              <w:start w:w="85" w:type="dxa"/>
              <w:bottom w:w="70" w:type="dxa"/>
              <w:end w:w="85" w:type="dxa"/>
            </w:tcMar>
          </w:tcPr>
          <w:p>
            <w:pPr>
              <w:spacing w:before="0" w:after="0" w:line="240" w:lineRule="auto"/>
            </w:pPr>
            <w:r>
              <w:rPr>
                <w:rFonts w:ascii="Calibri" w:hAnsi="Calibri"/>
                <w:color w:val="202020"/>
                <w:sz w:val="13"/>
              </w:rPr>
              <w:t>Supported capability, security, lifecycle, diagnostics and notification.</w:t>
            </w:r>
          </w:p>
        </w:tc>
        <w:tc>
          <w:tcPr>
            <w:tcW w:type="dxa" w:w="2700"/>
            <w:vAlign w:val="top"/>
            <w:tcMar>
              <w:top w:w="70" w:type="dxa"/>
              <w:start w:w="85" w:type="dxa"/>
              <w:bottom w:w="70" w:type="dxa"/>
              <w:end w:w="85" w:type="dxa"/>
            </w:tcMar>
          </w:tcPr>
          <w:p>
            <w:pPr>
              <w:spacing w:before="0" w:after="0" w:line="240" w:lineRule="auto"/>
            </w:pPr>
            <w:r>
              <w:rPr>
                <w:rFonts w:ascii="Calibri" w:hAnsi="Calibri"/>
                <w:color w:val="202020"/>
                <w:sz w:val="13"/>
              </w:rPr>
              <w:t>Contract/service owner / SUPA and terms of service</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3"/>
              </w:rPr>
              <w:t>No unsupported customization or unassessed change.</w:t>
            </w:r>
          </w:p>
        </w:tc>
      </w:tr>
    </w:tbl>
    <w:p>
      <w:pPr>
        <w:spacing w:after="0"/>
      </w:pPr>
    </w:p>
    <w:p>
      <w:pPr>
        <w:pStyle w:val="Heading1"/>
        <w:keepNext/>
        <w:keepLines/>
      </w:pPr>
      <w:r>
        <w:t>9 Monitoring, error handling, reconciliation and recovery</w:t>
      </w:r>
    </w:p>
    <w:p>
      <w:pPr>
        <w:pStyle w:val="Heading2"/>
        <w:keepNext/>
        <w:keepLines/>
      </w:pPr>
      <w:r>
        <w:t>9.1 Error classification and response</w:t>
      </w:r>
    </w:p>
    <w:tbl>
      <w:tblPr>
        <w:tblStyle w:val="TableGrid"/>
        <w:tblW w:type="auto" w:w="0"/>
        <w:jc w:val="left"/>
        <w:tblLayout w:type="fixed"/>
        <w:tblLook w:firstColumn="1" w:firstRow="1" w:lastColumn="0" w:lastRow="0" w:noHBand="0" w:noVBand="1" w:val="04A0"/>
        <w:tblInd w:w="120" w:type="dxa"/>
      </w:tblPr>
      <w:tblGrid>
        <w:gridCol w:w="1550"/>
        <w:gridCol w:w="2300"/>
        <w:gridCol w:w="3120"/>
        <w:gridCol w:w="2390"/>
      </w:tblGrid>
      <w:tr>
        <w:trPr>
          <w:tblHeader w:val="true"/>
          <w:cantSplit/>
        </w:trPr>
        <w:tc>
          <w:tcPr>
            <w:tcW w:type="dxa" w:w="15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Error class</w:t>
            </w:r>
          </w:p>
        </w:tc>
        <w:tc>
          <w:tcPr>
            <w:tcW w:type="dxa" w:w="23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Examples</w:t>
            </w:r>
          </w:p>
        </w:tc>
        <w:tc>
          <w:tcPr>
            <w:tcW w:type="dxa" w:w="312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Required state / response</w:t>
            </w:r>
          </w:p>
        </w:tc>
        <w:tc>
          <w:tcPr>
            <w:tcW w:type="dxa" w:w="239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Evidence</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Trust / authorisation</w:t>
            </w:r>
          </w:p>
        </w:tc>
        <w:tc>
          <w:tcPr>
            <w:tcW w:type="dxa" w:w="2300"/>
            <w:vAlign w:val="top"/>
            <w:tcMar>
              <w:top w:w="70" w:type="dxa"/>
              <w:start w:w="85" w:type="dxa"/>
              <w:bottom w:w="70" w:type="dxa"/>
              <w:end w:w="85" w:type="dxa"/>
            </w:tcMar>
          </w:tcPr>
          <w:p>
            <w:pPr>
              <w:spacing w:before="0" w:after="0" w:line="240" w:lineRule="auto"/>
            </w:pPr>
            <w:r>
              <w:rPr>
                <w:rFonts w:ascii="Calibri" w:hAnsi="Calibri"/>
                <w:color w:val="202020"/>
                <w:sz w:val="13"/>
              </w:rPr>
              <w:t>Untrusted endpoint, invalid token/certificate, wrong service scope</w:t>
            </w:r>
          </w:p>
        </w:tc>
        <w:tc>
          <w:tcPr>
            <w:tcW w:type="dxa" w:w="3120"/>
            <w:vAlign w:val="top"/>
            <w:tcMar>
              <w:top w:w="70" w:type="dxa"/>
              <w:start w:w="85" w:type="dxa"/>
              <w:bottom w:w="70" w:type="dxa"/>
              <w:end w:w="85" w:type="dxa"/>
            </w:tcMar>
          </w:tcPr>
          <w:p>
            <w:pPr>
              <w:spacing w:before="0" w:after="0" w:line="240" w:lineRule="auto"/>
            </w:pPr>
            <w:r>
              <w:rPr>
                <w:rFonts w:ascii="Calibri" w:hAnsi="Calibri"/>
                <w:color w:val="202020"/>
                <w:sz w:val="13"/>
              </w:rPr>
              <w:t>Deny/reject; no business use; security alert as approved</w:t>
            </w:r>
          </w:p>
        </w:tc>
        <w:tc>
          <w:tcPr>
            <w:tcW w:type="dxa" w:w="2390"/>
            <w:vAlign w:val="top"/>
            <w:tcMar>
              <w:top w:w="70" w:type="dxa"/>
              <w:start w:w="85" w:type="dxa"/>
              <w:bottom w:w="70" w:type="dxa"/>
              <w:end w:w="85" w:type="dxa"/>
            </w:tcMar>
          </w:tcPr>
          <w:p>
            <w:pPr>
              <w:spacing w:before="0" w:after="0" w:line="240" w:lineRule="auto"/>
            </w:pPr>
            <w:r>
              <w:rPr>
                <w:rFonts w:ascii="Calibri" w:hAnsi="Calibri"/>
                <w:color w:val="202020"/>
                <w:sz w:val="13"/>
              </w:rPr>
              <w:t>Safe error, source, time, correlation and security event</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Contract / validation</w:t>
            </w:r>
          </w:p>
        </w:tc>
        <w:tc>
          <w:tcPr>
            <w:tcW w:type="dxa" w:w="2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Malformed payload, missing field, unsupported version, invalid code/unit/range</w:t>
            </w:r>
          </w:p>
        </w:tc>
        <w:tc>
          <w:tcPr>
            <w:tcW w:type="dxa" w:w="312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Reject or quarantine before business action</w:t>
            </w:r>
          </w:p>
        </w:tc>
        <w:tc>
          <w:tcPr>
            <w:tcW w:type="dxa" w:w="2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Rule/version, field group, safe reason and original transaction</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Business identity / state</w:t>
            </w:r>
          </w:p>
        </w:tc>
        <w:tc>
          <w:tcPr>
            <w:tcW w:type="dxa" w:w="2300"/>
            <w:vAlign w:val="top"/>
            <w:tcMar>
              <w:top w:w="70" w:type="dxa"/>
              <w:start w:w="85" w:type="dxa"/>
              <w:bottom w:w="70" w:type="dxa"/>
              <w:end w:w="85" w:type="dxa"/>
            </w:tcMar>
          </w:tcPr>
          <w:p>
            <w:pPr>
              <w:spacing w:before="0" w:after="0" w:line="240" w:lineRule="auto"/>
            </w:pPr>
            <w:r>
              <w:rPr>
                <w:rFonts w:ascii="Calibri" w:hAnsi="Calibri"/>
                <w:color w:val="202020"/>
                <w:sz w:val="13"/>
              </w:rPr>
              <w:t>Unmatched object, wrong batch/step, invalid transition, superseded result</w:t>
            </w:r>
          </w:p>
        </w:tc>
        <w:tc>
          <w:tcPr>
            <w:tcW w:type="dxa" w:w="3120"/>
            <w:vAlign w:val="top"/>
            <w:tcMar>
              <w:top w:w="70" w:type="dxa"/>
              <w:start w:w="85" w:type="dxa"/>
              <w:bottom w:w="70" w:type="dxa"/>
              <w:end w:w="85" w:type="dxa"/>
            </w:tcMar>
          </w:tcPr>
          <w:p>
            <w:pPr>
              <w:spacing w:before="0" w:after="0" w:line="240" w:lineRule="auto"/>
            </w:pPr>
            <w:r>
              <w:rPr>
                <w:rFonts w:ascii="Calibri" w:hAnsi="Calibri"/>
                <w:color w:val="202020"/>
                <w:sz w:val="13"/>
              </w:rPr>
              <w:t>Quarantine/block affected transition</w:t>
            </w:r>
          </w:p>
        </w:tc>
        <w:tc>
          <w:tcPr>
            <w:tcW w:type="dxa" w:w="2390"/>
            <w:vAlign w:val="top"/>
            <w:tcMar>
              <w:top w:w="70" w:type="dxa"/>
              <w:start w:w="85" w:type="dxa"/>
              <w:bottom w:w="70" w:type="dxa"/>
              <w:end w:w="85" w:type="dxa"/>
            </w:tcMar>
          </w:tcPr>
          <w:p>
            <w:pPr>
              <w:spacing w:before="0" w:after="0" w:line="240" w:lineRule="auto"/>
            </w:pPr>
            <w:r>
              <w:rPr>
                <w:rFonts w:ascii="Calibri" w:hAnsi="Calibri"/>
                <w:color w:val="202020"/>
                <w:sz w:val="13"/>
              </w:rPr>
              <w:t>Business context, current/received state and disposition</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Sequence / duplicate</w:t>
            </w:r>
          </w:p>
        </w:tc>
        <w:tc>
          <w:tcPr>
            <w:tcW w:type="dxa" w:w="2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Gap, replay, duplicate, late or reordered event</w:t>
            </w:r>
          </w:p>
        </w:tc>
        <w:tc>
          <w:tcPr>
            <w:tcW w:type="dxa" w:w="3120"/>
            <w:vAlign w:val="top"/>
            <w:tcMar>
              <w:top w:w="70" w:type="dxa"/>
              <w:start w:w="85" w:type="dxa"/>
              <w:bottom w:w="70" w:type="dxa"/>
              <w:end w:w="85" w:type="dxa"/>
            </w:tcMar>
            <w:shd w:fill="EEF4F9"/>
          </w:tcPr>
          <w:p>
            <w:pPr>
              <w:spacing w:before="0" w:after="0" w:line="240" w:lineRule="auto"/>
            </w:pPr>
            <w:r>
              <w:rPr>
                <w:rFonts w:ascii="Calibri" w:hAnsi="Calibri"/>
                <w:color w:val="202020"/>
                <w:sz w:val="13"/>
              </w:rPr>
              <w:t>Idempotent suppression or quarantine/reconciliation</w:t>
            </w:r>
          </w:p>
        </w:tc>
        <w:tc>
          <w:tcPr>
            <w:tcW w:type="dxa" w:w="2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Message/business IDs, sequence and decision</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Delivery / acknowledgement</w:t>
            </w:r>
          </w:p>
        </w:tc>
        <w:tc>
          <w:tcPr>
            <w:tcW w:type="dxa" w:w="2300"/>
            <w:vAlign w:val="top"/>
            <w:tcMar>
              <w:top w:w="70" w:type="dxa"/>
              <w:start w:w="85" w:type="dxa"/>
              <w:bottom w:w="70" w:type="dxa"/>
              <w:end w:w="85" w:type="dxa"/>
            </w:tcMar>
          </w:tcPr>
          <w:p>
            <w:pPr>
              <w:spacing w:before="0" w:after="0" w:line="240" w:lineRule="auto"/>
            </w:pPr>
            <w:r>
              <w:rPr>
                <w:rFonts w:ascii="Calibri" w:hAnsi="Calibri"/>
                <w:color w:val="202020"/>
                <w:sz w:val="13"/>
              </w:rPr>
              <w:t>Timeout, rejection, lost/ambiguous response</w:t>
            </w:r>
          </w:p>
        </w:tc>
        <w:tc>
          <w:tcPr>
            <w:tcW w:type="dxa" w:w="3120"/>
            <w:vAlign w:val="top"/>
            <w:tcMar>
              <w:top w:w="70" w:type="dxa"/>
              <w:start w:w="85" w:type="dxa"/>
              <w:bottom w:w="70" w:type="dxa"/>
              <w:end w:w="85" w:type="dxa"/>
            </w:tcMar>
          </w:tcPr>
          <w:p>
            <w:pPr>
              <w:spacing w:before="0" w:after="0" w:line="240" w:lineRule="auto"/>
            </w:pPr>
            <w:r>
              <w:rPr>
                <w:rFonts w:ascii="Calibri" w:hAnsi="Calibri"/>
                <w:color w:val="202020"/>
                <w:sz w:val="13"/>
              </w:rPr>
              <w:t>Uncertain state; bounded retry; reconcile before replay</w:t>
            </w:r>
          </w:p>
        </w:tc>
        <w:tc>
          <w:tcPr>
            <w:tcW w:type="dxa" w:w="2390"/>
            <w:vAlign w:val="top"/>
            <w:tcMar>
              <w:top w:w="70" w:type="dxa"/>
              <w:start w:w="85" w:type="dxa"/>
              <w:bottom w:w="70" w:type="dxa"/>
              <w:end w:w="85" w:type="dxa"/>
            </w:tcMar>
          </w:tcPr>
          <w:p>
            <w:pPr>
              <w:spacing w:before="0" w:after="0" w:line="240" w:lineRule="auto"/>
            </w:pPr>
            <w:r>
              <w:rPr>
                <w:rFonts w:ascii="Calibri" w:hAnsi="Calibri"/>
                <w:color w:val="202020"/>
                <w:sz w:val="13"/>
              </w:rPr>
              <w:t>Attempts, acknowledgements and final authorised disposition</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Capacity / dependency</w:t>
            </w:r>
          </w:p>
        </w:tc>
        <w:tc>
          <w:tcPr>
            <w:tcW w:type="dxa" w:w="2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Queue growth, storage, unavailable service, degraded latency</w:t>
            </w:r>
          </w:p>
        </w:tc>
        <w:tc>
          <w:tcPr>
            <w:tcW w:type="dxa" w:w="312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Alert, controlled degradation/hold and preserved state</w:t>
            </w:r>
          </w:p>
        </w:tc>
        <w:tc>
          <w:tcPr>
            <w:tcW w:type="dxa" w:w="2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Metrics, threshold/rule, impact and recovery</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Data integrity / audit</w:t>
            </w:r>
          </w:p>
        </w:tc>
        <w:tc>
          <w:tcPr>
            <w:tcW w:type="dxa" w:w="2300"/>
            <w:vAlign w:val="top"/>
            <w:tcMar>
              <w:top w:w="70" w:type="dxa"/>
              <w:start w:w="85" w:type="dxa"/>
              <w:bottom w:w="70" w:type="dxa"/>
              <w:end w:w="85" w:type="dxa"/>
            </w:tcMar>
          </w:tcPr>
          <w:p>
            <w:pPr>
              <w:spacing w:before="0" w:after="0" w:line="240" w:lineRule="auto"/>
            </w:pPr>
            <w:r>
              <w:rPr>
                <w:rFonts w:ascii="Calibri" w:hAnsi="Calibri"/>
                <w:color w:val="202020"/>
                <w:sz w:val="13"/>
              </w:rPr>
              <w:t>Integrity mismatch, incomplete publication, audit/storage failure</w:t>
            </w:r>
          </w:p>
        </w:tc>
        <w:tc>
          <w:tcPr>
            <w:tcW w:type="dxa" w:w="3120"/>
            <w:vAlign w:val="top"/>
            <w:tcMar>
              <w:top w:w="70" w:type="dxa"/>
              <w:start w:w="85" w:type="dxa"/>
              <w:bottom w:w="70" w:type="dxa"/>
              <w:end w:w="85" w:type="dxa"/>
            </w:tcMar>
          </w:tcPr>
          <w:p>
            <w:pPr>
              <w:spacing w:before="0" w:after="0" w:line="240" w:lineRule="auto"/>
            </w:pPr>
            <w:r>
              <w:rPr>
                <w:rFonts w:ascii="Calibri" w:hAnsi="Calibri"/>
                <w:color w:val="202020"/>
                <w:sz w:val="13"/>
              </w:rPr>
              <w:t>Block/limit affected regulated action and escalate</w:t>
            </w:r>
          </w:p>
        </w:tc>
        <w:tc>
          <w:tcPr>
            <w:tcW w:type="dxa" w:w="2390"/>
            <w:vAlign w:val="top"/>
            <w:tcMar>
              <w:top w:w="70" w:type="dxa"/>
              <w:start w:w="85" w:type="dxa"/>
              <w:bottom w:w="70" w:type="dxa"/>
              <w:end w:w="85" w:type="dxa"/>
            </w:tcMar>
          </w:tcPr>
          <w:p>
            <w:pPr>
              <w:spacing w:before="0" w:after="0" w:line="240" w:lineRule="auto"/>
            </w:pPr>
            <w:r>
              <w:rPr>
                <w:rFonts w:ascii="Calibri" w:hAnsi="Calibri"/>
                <w:color w:val="202020"/>
                <w:sz w:val="13"/>
              </w:rPr>
              <w:t>Control totals, affected population and preserved diagnostics</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Recovery inconsistency</w:t>
            </w:r>
          </w:p>
        </w:tc>
        <w:tc>
          <w:tcPr>
            <w:tcW w:type="dxa" w:w="23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Incomplete component set, checkpoint mismatch or unreconciled active state</w:t>
            </w:r>
          </w:p>
        </w:tc>
        <w:tc>
          <w:tcPr>
            <w:tcW w:type="dxa" w:w="3120"/>
            <w:vAlign w:val="top"/>
            <w:tcMar>
              <w:top w:w="70" w:type="dxa"/>
              <w:start w:w="85" w:type="dxa"/>
              <w:bottom w:w="70" w:type="dxa"/>
              <w:end w:w="85" w:type="dxa"/>
            </w:tcMar>
            <w:shd w:fill="EEF4F9"/>
          </w:tcPr>
          <w:p>
            <w:pPr>
              <w:spacing w:before="0" w:after="0" w:line="240" w:lineRule="auto"/>
            </w:pPr>
            <w:r>
              <w:rPr>
                <w:rFonts w:ascii="Calibri" w:hAnsi="Calibri"/>
                <w:color w:val="202020"/>
                <w:sz w:val="13"/>
              </w:rPr>
              <w:t>Keep regulated resume blocked</w:t>
            </w:r>
          </w:p>
        </w:tc>
        <w:tc>
          <w:tcPr>
            <w:tcW w:type="dxa" w:w="239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Recovery point, checks, exceptions and accountable decision</w:t>
            </w:r>
          </w:p>
        </w:tc>
      </w:tr>
    </w:tbl>
    <w:p>
      <w:pPr>
        <w:spacing w:after="0"/>
      </w:pPr>
    </w:p>
    <w:p>
      <w:pPr>
        <w:pStyle w:val="Heading2"/>
        <w:keepNext/>
        <w:keepLines/>
      </w:pPr>
      <w:r>
        <w:t>9.2 Reconciliation model</w:t>
      </w:r>
    </w:p>
    <w:tbl>
      <w:tblPr>
        <w:tblStyle w:val="TableGrid"/>
        <w:tblW w:type="auto" w:w="0"/>
        <w:jc w:val="left"/>
        <w:tblLayout w:type="fixed"/>
        <w:tblLook w:firstColumn="1" w:firstRow="1" w:lastColumn="0" w:lastRow="0" w:noHBand="0" w:noVBand="1" w:val="04A0"/>
        <w:tblInd w:w="120" w:type="dxa"/>
      </w:tblPr>
      <w:tblGrid>
        <w:gridCol w:w="1100"/>
        <w:gridCol w:w="3100"/>
        <w:gridCol w:w="3500"/>
        <w:gridCol w:w="1660"/>
      </w:tblGrid>
      <w:tr>
        <w:trPr>
          <w:tblHeader w:val="true"/>
          <w:cantSplit/>
        </w:trPr>
        <w:tc>
          <w:tcPr>
            <w:tcW w:type="dxa" w:w="11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Family</w:t>
            </w:r>
          </w:p>
        </w:tc>
        <w:tc>
          <w:tcPr>
            <w:tcW w:type="dxa" w:w="31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Reconciliation population</w:t>
            </w:r>
          </w:p>
        </w:tc>
        <w:tc>
          <w:tcPr>
            <w:tcW w:type="dxa" w:w="35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Control totals / state comparison</w:t>
            </w:r>
          </w:p>
        </w:tc>
        <w:tc>
          <w:tcPr>
            <w:tcW w:type="dxa" w:w="166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Exception owner</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ERP</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3"/>
              </w:rPr>
              <w:t>Orders/master objects, confirmations/statuses, acknowledgements</w:t>
            </w:r>
          </w:p>
        </w:tc>
        <w:tc>
          <w:tcPr>
            <w:tcW w:type="dxa" w:w="3500"/>
            <w:vAlign w:val="top"/>
            <w:tcMar>
              <w:top w:w="70" w:type="dxa"/>
              <w:start w:w="85" w:type="dxa"/>
              <w:bottom w:w="70" w:type="dxa"/>
              <w:end w:w="85" w:type="dxa"/>
            </w:tcMar>
          </w:tcPr>
          <w:p>
            <w:pPr>
              <w:spacing w:before="0" w:after="0" w:line="240" w:lineRule="auto"/>
            </w:pPr>
            <w:r>
              <w:rPr>
                <w:rFonts w:ascii="Calibri" w:hAnsi="Calibri"/>
                <w:color w:val="202020"/>
                <w:sz w:val="13"/>
              </w:rPr>
              <w:t>Source/received/accepted/rejected/quarantined and business state by identity/version</w:t>
            </w:r>
          </w:p>
        </w:tc>
        <w:tc>
          <w:tcPr>
            <w:tcW w:type="dxa" w:w="1660"/>
            <w:vAlign w:val="top"/>
            <w:tcMar>
              <w:top w:w="70" w:type="dxa"/>
              <w:start w:w="85" w:type="dxa"/>
              <w:bottom w:w="70" w:type="dxa"/>
              <w:end w:w="85" w:type="dxa"/>
            </w:tcMar>
          </w:tcPr>
          <w:p>
            <w:pPr>
              <w:spacing w:before="0" w:after="0" w:line="240" w:lineRule="auto"/>
            </w:pPr>
            <w:r>
              <w:rPr>
                <w:rFonts w:ascii="Calibri" w:hAnsi="Calibri"/>
                <w:color w:val="202020"/>
                <w:sz w:val="13"/>
              </w:rPr>
              <w:t>Fictional ERP-MES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LIMS</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Requests, acknowledgements, sample statuses, results/dispositions</w:t>
            </w:r>
          </w:p>
        </w:tc>
        <w:tc>
          <w:tcPr>
            <w:tcW w:type="dxa" w:w="35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Request-to-result completeness/current-version and status transition</w:t>
            </w:r>
          </w:p>
        </w:tc>
        <w:tc>
          <w:tcPr>
            <w:tcW w:type="dxa" w:w="166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LIMS-MES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AUT</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3"/>
              </w:rPr>
              <w:t>Commands, acknowledgements/final state, measurements, alarms/events</w:t>
            </w:r>
          </w:p>
        </w:tc>
        <w:tc>
          <w:tcPr>
            <w:tcW w:type="dxa" w:w="3500"/>
            <w:vAlign w:val="top"/>
            <w:tcMar>
              <w:top w:w="70" w:type="dxa"/>
              <w:start w:w="85" w:type="dxa"/>
              <w:bottom w:w="70" w:type="dxa"/>
              <w:end w:w="85" w:type="dxa"/>
            </w:tcMar>
          </w:tcPr>
          <w:p>
            <w:pPr>
              <w:spacing w:before="0" w:after="0" w:line="240" w:lineRule="auto"/>
            </w:pPr>
            <w:r>
              <w:rPr>
                <w:rFonts w:ascii="Calibri" w:hAnsi="Calibri"/>
                <w:color w:val="202020"/>
                <w:sz w:val="13"/>
              </w:rPr>
              <w:t>Command-to-outcome and expected sequence/value quality by batch/step</w:t>
            </w:r>
          </w:p>
        </w:tc>
        <w:tc>
          <w:tcPr>
            <w:tcW w:type="dxa" w:w="1660"/>
            <w:vAlign w:val="top"/>
            <w:tcMar>
              <w:top w:w="70" w:type="dxa"/>
              <w:start w:w="85" w:type="dxa"/>
              <w:bottom w:w="70" w:type="dxa"/>
              <w:end w:w="85" w:type="dxa"/>
            </w:tcMar>
          </w:tcPr>
          <w:p>
            <w:pPr>
              <w:spacing w:before="0" w:after="0" w:line="240" w:lineRule="auto"/>
            </w:pPr>
            <w:r>
              <w:rPr>
                <w:rFonts w:ascii="Calibri" w:hAnsi="Calibri"/>
                <w:color w:val="202020"/>
                <w:sz w:val="13"/>
              </w:rPr>
              <w:t>Fictional automation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HIS</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Configured source population vs published/acknowledged/checkpointed data</w:t>
            </w:r>
          </w:p>
        </w:tc>
        <w:tc>
          <w:tcPr>
            <w:tcW w:type="dxa" w:w="35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Counts/checkpoints, identity/version/time and completeness</w:t>
            </w:r>
          </w:p>
        </w:tc>
        <w:tc>
          <w:tcPr>
            <w:tcW w:type="dxa" w:w="166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reporting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IAM</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3"/>
              </w:rPr>
              <w:t>Authentication outcomes, identity resolution and permitted attribute mappings</w:t>
            </w:r>
          </w:p>
        </w:tc>
        <w:tc>
          <w:tcPr>
            <w:tcW w:type="dxa" w:w="3500"/>
            <w:vAlign w:val="top"/>
            <w:tcMar>
              <w:top w:w="70" w:type="dxa"/>
              <w:start w:w="85" w:type="dxa"/>
              <w:bottom w:w="70" w:type="dxa"/>
              <w:end w:w="85" w:type="dxa"/>
            </w:tcMar>
          </w:tcPr>
          <w:p>
            <w:pPr>
              <w:spacing w:before="0" w:after="0" w:line="240" w:lineRule="auto"/>
            </w:pPr>
            <w:r>
              <w:rPr>
                <w:rFonts w:ascii="Calibri" w:hAnsi="Calibri"/>
                <w:color w:val="202020"/>
                <w:sz w:val="13"/>
              </w:rPr>
              <w:t>Outcome, unique identity, lifecycle state and mapping result</w:t>
            </w:r>
          </w:p>
        </w:tc>
        <w:tc>
          <w:tcPr>
            <w:tcW w:type="dxa" w:w="1660"/>
            <w:vAlign w:val="top"/>
            <w:tcMar>
              <w:top w:w="70" w:type="dxa"/>
              <w:start w:w="85" w:type="dxa"/>
              <w:bottom w:w="70" w:type="dxa"/>
              <w:end w:w="85" w:type="dxa"/>
            </w:tcMar>
          </w:tcPr>
          <w:p>
            <w:pPr>
              <w:spacing w:before="0" w:after="0" w:line="240" w:lineRule="auto"/>
            </w:pPr>
            <w:r>
              <w:rPr>
                <w:rFonts w:ascii="Calibri" w:hAnsi="Calibri"/>
                <w:color w:val="202020"/>
                <w:sz w:val="13"/>
              </w:rPr>
              <w:t>Fictional access/security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TIM</w:t>
            </w:r>
          </w:p>
        </w:tc>
        <w:tc>
          <w:tcPr>
            <w:tcW w:type="dxa" w:w="3100"/>
            <w:vAlign w:val="top"/>
            <w:tcMar>
              <w:top w:w="70" w:type="dxa"/>
              <w:start w:w="85" w:type="dxa"/>
              <w:bottom w:w="70" w:type="dxa"/>
              <w:end w:w="85" w:type="dxa"/>
            </w:tcMar>
            <w:shd w:fill="EEF4F9"/>
          </w:tcPr>
          <w:p>
            <w:pPr>
              <w:spacing w:before="0" w:after="0" w:line="240" w:lineRule="auto"/>
            </w:pPr>
            <w:r>
              <w:rPr>
                <w:rFonts w:ascii="Calibri" w:hAnsi="Calibri"/>
                <w:color w:val="202020"/>
                <w:sz w:val="13"/>
              </w:rPr>
              <w:t>Expected synchronization/health vs component state</w:t>
            </w:r>
          </w:p>
        </w:tc>
        <w:tc>
          <w:tcPr>
            <w:tcW w:type="dxa" w:w="35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Source, offset/drift/health and chronology</w:t>
            </w:r>
          </w:p>
        </w:tc>
        <w:tc>
          <w:tcPr>
            <w:tcW w:type="dxa" w:w="166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Fictional infrastructure support role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OPS</w:t>
            </w:r>
          </w:p>
        </w:tc>
        <w:tc>
          <w:tcPr>
            <w:tcW w:type="dxa" w:w="3100"/>
            <w:vAlign w:val="top"/>
            <w:tcMar>
              <w:top w:w="70" w:type="dxa"/>
              <w:start w:w="85" w:type="dxa"/>
              <w:bottom w:w="70" w:type="dxa"/>
              <w:end w:w="85" w:type="dxa"/>
            </w:tcMar>
          </w:tcPr>
          <w:p>
            <w:pPr>
              <w:spacing w:before="0" w:after="0" w:line="240" w:lineRule="auto"/>
            </w:pPr>
            <w:r>
              <w:rPr>
                <w:rFonts w:ascii="Calibri" w:hAnsi="Calibri"/>
                <w:color w:val="202020"/>
                <w:sz w:val="13"/>
              </w:rPr>
              <w:t>Health/alert/ack states, backup scope/runs and recovery state</w:t>
            </w:r>
          </w:p>
        </w:tc>
        <w:tc>
          <w:tcPr>
            <w:tcW w:type="dxa" w:w="3500"/>
            <w:vAlign w:val="top"/>
            <w:tcMar>
              <w:top w:w="70" w:type="dxa"/>
              <w:start w:w="85" w:type="dxa"/>
              <w:bottom w:w="70" w:type="dxa"/>
              <w:end w:w="85" w:type="dxa"/>
            </w:tcMar>
          </w:tcPr>
          <w:p>
            <w:pPr>
              <w:spacing w:before="0" w:after="0" w:line="240" w:lineRule="auto"/>
            </w:pPr>
            <w:r>
              <w:rPr>
                <w:rFonts w:ascii="Calibri" w:hAnsi="Calibri"/>
                <w:color w:val="202020"/>
                <w:sz w:val="13"/>
              </w:rPr>
              <w:t>Component/job/copy/recovery point and lifecycle state</w:t>
            </w:r>
          </w:p>
        </w:tc>
        <w:tc>
          <w:tcPr>
            <w:tcW w:type="dxa" w:w="1660"/>
            <w:vAlign w:val="top"/>
            <w:tcMar>
              <w:top w:w="70" w:type="dxa"/>
              <w:start w:w="85" w:type="dxa"/>
              <w:bottom w:w="70" w:type="dxa"/>
              <w:end w:w="85" w:type="dxa"/>
            </w:tcMar>
          </w:tcPr>
          <w:p>
            <w:pPr>
              <w:spacing w:before="0" w:after="0" w:line="240" w:lineRule="auto"/>
            </w:pPr>
            <w:r>
              <w:rPr>
                <w:rFonts w:ascii="Calibri" w:hAnsi="Calibri"/>
                <w:color w:val="202020"/>
                <w:sz w:val="13"/>
              </w:rPr>
              <w:t>Fictional operations support role</w:t>
            </w:r>
          </w:p>
        </w:tc>
      </w:tr>
    </w:tbl>
    <w:p>
      <w:pPr>
        <w:spacing w:after="0"/>
      </w:pPr>
    </w:p>
    <w:p>
      <w:pPr>
        <w:pStyle w:val="Heading2"/>
        <w:keepNext/>
        <w:keepLines/>
      </w:pPr>
      <w:r>
        <w:t>9.3 Monitoring and recovery minimums</w:t>
      </w:r>
    </w:p>
    <w:p>
      <w:pPr>
        <w:pStyle w:val="ListBullet"/>
        <w:spacing w:after="40" w:line="252" w:lineRule="auto"/>
        <w:keepLines/>
      </w:pPr>
      <w:r>
        <w:rPr>
          <w:rFonts w:ascii="Calibri" w:hAnsi="Calibri"/>
          <w:b w:val="0"/>
          <w:i w:val="0"/>
          <w:color w:val="202020"/>
          <w:sz w:val="18"/>
        </w:rPr>
        <w:t>Monitor availability, authentication/security failure, latency, transaction volume, queue/backlog, rejection/quarantine, duplicates/gaps, data quality, storage/capacity, backup/recovery and stale health state.</w:t>
      </w:r>
    </w:p>
    <w:p>
      <w:pPr>
        <w:pStyle w:val="ListBullet"/>
        <w:spacing w:after="40" w:line="252" w:lineRule="auto"/>
        <w:keepLines/>
      </w:pPr>
      <w:r>
        <w:rPr>
          <w:rFonts w:ascii="Calibri" w:hAnsi="Calibri"/>
          <w:b w:val="0"/>
          <w:i w:val="0"/>
          <w:color w:val="202020"/>
          <w:sz w:val="18"/>
        </w:rPr>
        <w:t>Every alert must identify source, condition/rule, occurrence/detection time, severity, affected business/service context, owner/route and acknowledgement/recovery lifecycle.</w:t>
      </w:r>
    </w:p>
    <w:p>
      <w:pPr>
        <w:pStyle w:val="ListBullet"/>
        <w:spacing w:after="40" w:line="252" w:lineRule="auto"/>
        <w:keepLines/>
      </w:pPr>
      <w:r>
        <w:rPr>
          <w:rFonts w:ascii="Calibri" w:hAnsi="Calibri"/>
          <w:b w:val="0"/>
          <w:i w:val="0"/>
          <w:color w:val="202020"/>
          <w:sz w:val="18"/>
        </w:rPr>
        <w:t>Recover interface configuration, mappings, trust references, queues/checkpoints and required transaction/audit evidence as a coordinated set.</w:t>
      </w:r>
    </w:p>
    <w:p>
      <w:pPr>
        <w:pStyle w:val="ListBullet"/>
        <w:spacing w:after="40" w:line="252" w:lineRule="auto"/>
        <w:keepLines/>
      </w:pPr>
      <w:r>
        <w:rPr>
          <w:rFonts w:ascii="Calibri" w:hAnsi="Calibri"/>
          <w:b w:val="0"/>
          <w:i w:val="0"/>
          <w:color w:val="202020"/>
          <w:sz w:val="18"/>
        </w:rPr>
        <w:t>After recovery, reconcile active batches, source/target transactions, acknowledgements, exceptions, identity/time connectivity and monitoring before regulated resume.</w:t>
      </w:r>
    </w:p>
    <w:p>
      <w:pPr>
        <w:pStyle w:val="ListBullet"/>
        <w:spacing w:after="40" w:line="252" w:lineRule="auto"/>
        <w:keepLines/>
      </w:pPr>
      <w:r>
        <w:rPr>
          <w:rFonts w:ascii="Calibri" w:hAnsi="Calibri"/>
          <w:b w:val="0"/>
          <w:i w:val="0"/>
          <w:color w:val="202020"/>
          <w:sz w:val="18"/>
        </w:rPr>
        <w:t>Exact thresholds, SLOs, retention, backup frequency, RPO/RTO and recovery sequence remain approved downstream Verify values.</w:t>
      </w:r>
    </w:p>
    <w:p>
      <w:pPr>
        <w:pStyle w:val="Heading1"/>
        <w:keepNext/>
        <w:keepLines/>
      </w:pPr>
      <w:r>
        <w:t>10 Risk-control realization</w:t>
      </w:r>
    </w:p>
    <w:p>
      <w:pPr>
        <w:keepLines/>
      </w:pPr>
      <w:r>
        <w:t>The 26 shared risks remain authoritative. This IS records integration relevance and planned control realization but does not create a new risk, assign a residual rating or accept risk. Implementation and effectiveness evidence remain open.</w:t>
      </w:r>
    </w:p>
    <w:tbl>
      <w:tblPr>
        <w:tblStyle w:val="TableGrid"/>
        <w:tblW w:type="auto" w:w="0"/>
        <w:jc w:val="left"/>
        <w:tblLayout w:type="fixed"/>
        <w:tblLook w:firstColumn="1" w:firstRow="1" w:lastColumn="0" w:lastRow="0" w:noHBand="0" w:noVBand="1" w:val="04A0"/>
        <w:tblInd w:w="120" w:type="dxa"/>
      </w:tblPr>
      <w:tblGrid>
        <w:gridCol w:w="1100"/>
        <w:gridCol w:w="2600"/>
        <w:gridCol w:w="1050"/>
        <w:gridCol w:w="1800"/>
        <w:gridCol w:w="2810"/>
      </w:tblGrid>
      <w:tr>
        <w:trPr>
          <w:tblHeader w:val="true"/>
          <w:cantSplit/>
        </w:trPr>
        <w:tc>
          <w:tcPr>
            <w:tcW w:type="dxa" w:w="11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Risk ID</w:t>
            </w:r>
          </w:p>
        </w:tc>
        <w:tc>
          <w:tcPr>
            <w:tcW w:type="dxa" w:w="26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Scenario</w:t>
            </w:r>
          </w:p>
        </w:tc>
        <w:tc>
          <w:tcPr>
            <w:tcW w:type="dxa" w:w="105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Working gross</w:t>
            </w:r>
          </w:p>
        </w:tc>
        <w:tc>
          <w:tcPr>
            <w:tcW w:type="dxa" w:w="180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Integration relevance</w:t>
            </w:r>
          </w:p>
        </w:tc>
        <w:tc>
          <w:tcPr>
            <w:tcW w:type="dxa" w:w="2810"/>
            <w:shd w:fill="0B2545"/>
            <w:tcMar>
              <w:top w:w="75" w:type="dxa"/>
              <w:start w:w="80" w:type="dxa"/>
              <w:bottom w:w="75" w:type="dxa"/>
              <w:end w:w="80" w:type="dxa"/>
            </w:tcMar>
            <w:vAlign w:val="center"/>
          </w:tcPr>
          <w:p>
            <w:pPr>
              <w:spacing w:before="0" w:after="0" w:line="240" w:lineRule="auto"/>
            </w:pPr>
            <w:r>
              <w:rPr>
                <w:rFonts w:ascii="Calibri" w:hAnsi="Calibri"/>
                <w:b/>
                <w:color w:val="FFFFFF"/>
                <w:sz w:val="12"/>
              </w:rPr>
              <w:t>State after IS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RSK-MES-001</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Unapproved order, recipe, or execution state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ERP, AUT</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RSK-MES-002</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Incorrect or incomplete execution data and calculations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ERP, LIMS, AUT</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RSK-MES-003</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Incomplete batch completion, exception disposition, or review</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LIMS, AUT</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RSK-MES-004</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Loss, unreadability, or incomplete copy of regulated records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RSK-MES-005</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Unauthorised or excessive access</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IAM</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RSK-MES-006</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Credential, session, or service-account compromise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IAM, 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RSK-MES-007</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Invalid or non-attributable electronic signature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IAM, TIM</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RSK-MES-008</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Incomplete, alterable, or ineffective audit trail</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 TIM, 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RSK-MES-009</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Inconsistent time and chronology</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Medium</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AUT, HIS, TIM, 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RSK-MES-010</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Uncontrolled correction, deletion, or record lifecycle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RSK-MES-011</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ERP order/master-data or confirmation interface failure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ERP</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RSK-MES-012</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LIMS sample, result, or disposition interface failure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LIMS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RSK-MES-013</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Automation command, state, or measurement mismatch</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AUT</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RSK-MES-014</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Historian/reporting publication is incomplete or misleading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HIS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RSK-MES-015</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Cross-interface integrity, monitoring, or reconciliation failure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ERP, LIMS, AUT, HIS, IAM, TIM, 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RSK-MES-016</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Application or infrastructure unavailability and capacity exhaustion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RSK-MES-017</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Backup is incomplete, corrupt, unavailable, or outside need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RSK-MES-018</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Recovery fails objectives or creates inconsistent state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TIM, 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RSK-MES-019</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Cyber vulnerability, malware, or insecure component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ERP, LIMS, AUT, IAM, 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RSK-MES-020</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Supplier or shared-service controls are unclear or ineffective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RSK-MES-021</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Uncontrolled change, configuration, or promotion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ERP, LIMS, AUT, 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RSK-MES-022</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Incident or problem handling fails to protect GxP state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ERP, LIMS, 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RSK-MES-023</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Controlled report or extract is misinterpreted or altered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Medium</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HIS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RSK-MES-024</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Maintained-state controls, review, or training become ineffective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Medium</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IAM, TIM, OPS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RSK-MES-025</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2"/>
              </w:rPr>
              <w:t>Personal data processing is excessive or insufficiently protected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2"/>
              </w:rPr>
              <w:t>Working Medium</w:t>
            </w:r>
          </w:p>
        </w:tc>
        <w:tc>
          <w:tcPr>
            <w:tcW w:type="dxa" w:w="1800"/>
            <w:vAlign w:val="top"/>
            <w:tcMar>
              <w:top w:w="70" w:type="dxa"/>
              <w:start w:w="85" w:type="dxa"/>
              <w:bottom w:w="70" w:type="dxa"/>
              <w:end w:w="85" w:type="dxa"/>
            </w:tcMar>
          </w:tcPr>
          <w:p>
            <w:pPr>
              <w:spacing w:before="0" w:after="0" w:line="240" w:lineRule="auto"/>
            </w:pPr>
            <w:r>
              <w:rPr>
                <w:rFonts w:ascii="Calibri" w:hAnsi="Calibri"/>
                <w:color w:val="202020"/>
                <w:sz w:val="12"/>
              </w:rPr>
              <w:t>HIS, IAM, OPS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2"/>
              </w:rPr>
              <w:t>Open; IS control designed where applicable; implementation/effectiveness and residual assessment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1F4D78"/>
                <w:sz w:val="12"/>
              </w:rPr>
              <w:t>RSK-MES-026</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2"/>
              </w:rPr>
              <w:t>Initial load or migration loses content and meaning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2"/>
              </w:rPr>
              <w:t>Working High if applicable</w:t>
            </w:r>
          </w:p>
        </w:tc>
        <w:tc>
          <w:tcPr>
            <w:tcW w:type="dxa" w:w="18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Applicability Verify</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2"/>
              </w:rPr>
              <w:t>Open; IS control designed where applicable; implementation/effectiveness and residual assessment pending</w:t>
            </w:r>
          </w:p>
        </w:tc>
      </w:tr>
    </w:tbl>
    <w:p>
      <w:pPr>
        <w:spacing w:after="0"/>
      </w:pPr>
    </w:p>
    <w:tbl>
      <w:tblPr>
        <w:tblStyle w:val="TableGrid"/>
        <w:tblW w:type="auto" w:w="0"/>
        <w:tblLayout w:type="fixed"/>
        <w:tblLook w:firstColumn="1" w:firstRow="1" w:lastColumn="0" w:lastRow="0" w:noHBand="0" w:noVBand="1" w:val="04A0"/>
        <w:tblInd w:w="120" w:type="dxa"/>
      </w:tblPr>
      <w:tblGrid>
        <w:gridCol w:w="9360"/>
      </w:tblGrid>
      <w:tr>
        <w:tc>
          <w:tcPr>
            <w:tcW w:type="dxa" w:w="9360"/>
            <w:shd w:fill="FCE4D6"/>
            <w:tcMar>
              <w:top w:w="100" w:type="dxa"/>
              <w:start w:w="120" w:type="dxa"/>
              <w:bottom w:w="100" w:type="dxa"/>
              <w:end w:w="120" w:type="dxa"/>
            </w:tcMar>
          </w:tcPr>
          <w:p>
            <w:r>
              <w:rPr>
                <w:rFonts w:ascii="Calibri" w:hAnsi="Calibri"/>
                <w:b/>
                <w:i w:val="0"/>
                <w:color w:val="0B2545"/>
                <w:sz w:val="17"/>
              </w:rPr>
              <w:t xml:space="preserve">Residual-risk rule: </w:t>
            </w:r>
            <w:r>
              <w:rPr>
                <w:rFonts w:ascii="Calibri" w:hAnsi="Calibri"/>
                <w:b w:val="0"/>
                <w:i w:val="0"/>
                <w:color w:val="202020"/>
                <w:sz w:val="17"/>
              </w:rPr>
              <w:t>No residual risk is rated or accepted in this Integration Specification. Residual assessment requires implemented controls, objective multi-system verification evidence and authorised lifecycle review.</w:t>
            </w:r>
          </w:p>
        </w:tc>
      </w:tr>
    </w:tbl>
    <w:p>
      <w:pPr>
        <w:spacing w:after="0"/>
      </w:pPr>
    </w:p>
    <w:p>
      <w:pPr>
        <w:pStyle w:val="Heading1"/>
        <w:keepNext/>
        <w:keepLines/>
      </w:pPr>
      <w:r>
        <w:t>11 Requirement and live traceability update</w:t>
      </w:r>
    </w:p>
    <w:p>
      <w:pPr>
        <w:pStyle w:val="Heading2"/>
        <w:keepNext/>
        <w:keepLines/>
      </w:pPr>
      <w:r>
        <w:t>11.1 Sixteen-field live trace state</w:t>
      </w:r>
    </w:p>
    <w:tbl>
      <w:tblPr>
        <w:tblStyle w:val="TableGrid"/>
        <w:tblW w:type="auto" w:w="0"/>
        <w:jc w:val="left"/>
        <w:tblLayout w:type="fixed"/>
        <w:tblLook w:firstColumn="1" w:firstRow="1" w:lastColumn="0" w:lastRow="0" w:noHBand="0" w:noVBand="1" w:val="04A0"/>
        <w:tblInd w:w="120" w:type="dxa"/>
      </w:tblPr>
      <w:tblGrid>
        <w:gridCol w:w="600"/>
        <w:gridCol w:w="1950"/>
        <w:gridCol w:w="3820"/>
        <w:gridCol w:w="2990"/>
      </w:tblGrid>
      <w:tr>
        <w:trPr>
          <w:tblHeader w:val="true"/>
          <w:cantSplit/>
        </w:trPr>
        <w:tc>
          <w:tcPr>
            <w:tcW w:type="dxa" w:w="6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No.</w:t>
            </w:r>
          </w:p>
        </w:tc>
        <w:tc>
          <w:tcPr>
            <w:tcW w:type="dxa" w:w="19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Traceability field</w:t>
            </w:r>
          </w:p>
        </w:tc>
        <w:tc>
          <w:tcPr>
            <w:tcW w:type="dxa" w:w="382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Current controlled value</w:t>
            </w:r>
          </w:p>
        </w:tc>
        <w:tc>
          <w:tcPr>
            <w:tcW w:type="dxa" w:w="299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State after IS</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Requirement ID</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URS-MES-001 to 050</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2</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Requirement statement</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statement in NL-MES-URS-001</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3</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GxP relevance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Yes for all current requirements</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4</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Risk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One or more RSK-MES-001 to 026</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Unchanged - ITRA/ITRRA mapping</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5</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Risk level</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49 Working High / 1 Working Medium; method Verify</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ITRRA working result</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6</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 reference</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FS-MES-001 to 050</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Unchanged - assigned by FS</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7</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DS reference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8</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CS reference</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9</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Integration reference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60 detailed requirements across seven established families</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Assigned for direct/supporting scope by this IS</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10</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Test case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Not yet assigned; provisional rigor retained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11</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Test result</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run</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12</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Defect / deviation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N/A - no execution yet</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13</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SOP / user guide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14</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Operational control</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Interface terms of service/O&amp;M controls not yet assigned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15</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Change / incident / periodic review</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16</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Status</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 and IS designed; DS/CS/DIA/test and operational evidence open</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Updated by this IS</w:t>
            </w:r>
          </w:p>
        </w:tc>
      </w:tr>
    </w:tbl>
    <w:p>
      <w:pPr>
        <w:spacing w:after="0"/>
      </w:pPr>
    </w:p>
    <w:p>
      <w:pPr>
        <w:pStyle w:val="Heading2"/>
        <w:keepNext/>
        <w:keepLines/>
      </w:pPr>
      <w:r>
        <w:t>11.2 End-to-end requirement traceability</w:t>
      </w:r>
    </w:p>
    <w:tbl>
      <w:tblPr>
        <w:tblStyle w:val="TableGrid"/>
        <w:tblW w:type="auto" w:w="0"/>
        <w:jc w:val="left"/>
        <w:tblLayout w:type="fixed"/>
        <w:tblLook w:firstColumn="1" w:firstRow="1" w:lastColumn="0" w:lastRow="0" w:noHBand="0" w:noVBand="1" w:val="04A0"/>
        <w:tblInd w:w="120" w:type="dxa"/>
      </w:tblPr>
      <w:tblGrid>
        <w:gridCol w:w="720"/>
        <w:gridCol w:w="1450"/>
        <w:gridCol w:w="1550"/>
        <w:gridCol w:w="720"/>
        <w:gridCol w:w="2100"/>
        <w:gridCol w:w="520"/>
        <w:gridCol w:w="520"/>
        <w:gridCol w:w="1780"/>
      </w:tblGrid>
      <w:tr>
        <w:trPr>
          <w:tblHeader w:val="true"/>
          <w:cantSplit/>
        </w:trPr>
        <w:tc>
          <w:tcPr>
            <w:tcW w:type="dxa" w:w="72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URS</w:t>
            </w:r>
          </w:p>
        </w:tc>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Controlled title</w:t>
            </w:r>
          </w:p>
        </w:tc>
        <w:tc>
          <w:tcPr>
            <w:tcW w:type="dxa" w:w="155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Risk / level</w:t>
            </w:r>
          </w:p>
        </w:tc>
        <w:tc>
          <w:tcPr>
            <w:tcW w:type="dxa" w:w="72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FS</w:t>
            </w:r>
          </w:p>
        </w:tc>
        <w:tc>
          <w:tcPr>
            <w:tcW w:type="dxa" w:w="210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Integration</w:t>
            </w:r>
          </w:p>
        </w:tc>
        <w:tc>
          <w:tcPr>
            <w:tcW w:type="dxa" w:w="52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DS</w:t>
            </w:r>
          </w:p>
        </w:tc>
        <w:tc>
          <w:tcPr>
            <w:tcW w:type="dxa" w:w="52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CS</w:t>
            </w:r>
          </w:p>
        </w:tc>
        <w:tc>
          <w:tcPr>
            <w:tcW w:type="dxa" w:w="1780"/>
            <w:shd w:fill="0B2545"/>
            <w:tcMar>
              <w:top w:w="75" w:type="dxa"/>
              <w:start w:w="80" w:type="dxa"/>
              <w:bottom w:w="75" w:type="dxa"/>
              <w:end w:w="80" w:type="dxa"/>
            </w:tcMar>
            <w:vAlign w:val="center"/>
          </w:tcPr>
          <w:p>
            <w:pPr>
              <w:spacing w:before="0" w:after="0" w:line="240" w:lineRule="auto"/>
            </w:pPr>
            <w:r>
              <w:rPr>
                <w:rFonts w:ascii="Calibri" w:hAnsi="Calibri"/>
                <w:b/>
                <w:color w:val="FFFFFF"/>
                <w:sz w:val="11"/>
              </w:rPr>
              <w:t>Verification / state</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URS-MES-001</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Approved order and instruction selection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RSK-MES-001, RSK-MES-021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FS-MES-001</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INT-MES-ERP-001</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URS-MES-002</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execution sequence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RSK-MES-001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FS-MES-002</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 allocation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URS-MES-003</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Execution data and calculation capture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RSK-MES-002, RSK-MES-013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FS-MES-003</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INT-MES-AUT-002, 005</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URS-MES-004</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Material and equipment status verification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RSK-MES-001, RSK-MES-013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FS-MES-004</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INT-MES-AUT-001, 004</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URS-MES-005</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Controlled hold, resume, and termination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RSK-MES-001, RSK-MES-013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FS-MES-005</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INT-MES-AUT-004, 008</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URS-MES-006</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Exception and review-by-exception handling</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RSK-MES-015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FS-MES-006</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INT-MES-AUT-003, 009</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URS-MES-007</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Complete electronic batch record</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RSK-MES-002, RSK-MES-003, RSK-MES-007, RSK-MES-008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FS-MES-007</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N/A - EBR assembled within MES</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URS-MES-008</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Batch-record completion control</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RSK-MES-007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FS-MES-008</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MES completion control</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URS-MES-009</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Authorised batch-record review</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RSK-MES-003, RSK-MES-007, RSK-MES-008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FS-MES-009</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N/A - MES review control</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URS-MES-010</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Record retention and retrieval</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RSK-MES-004, RSK-MES-010, RSK-MES-017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FS-MES-010</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INT-MES-HIS-008; INT-MES-OPS-010 (supporting)</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URS-MES-011</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Complete and accurate record copies</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RSK-MES-004, RSK-MES-023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FS-MES-011</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INT-MES-HIS-003, 008 (supporting)</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URS-MES-012</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Unique identity and authentication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RSK-MES-006, RSK-MES-019, RSK-MES-024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FS-MES-012</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INT-MES-IAM-001, 002, 006</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URS-MES-013</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Role-based least-privilege access</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RSK-MES-005, RSK-MES-019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FS-MES-013</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INT-MES-IAM-003</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URS-MES-014</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access lifecycle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FS-MES-014</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INT-MES-IAM-002, 007</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URS-MES-015</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Privileged and service-account control</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RSK-MES-005, RSK-MES-006, RSK-MES-019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FS-MES-015</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INT-MES-IAM-005, 007, 008</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URS-MES-016</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Segregation and periodic access review</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FS-MES-016</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INT-MES-IAM-003, 007</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URS-MES-017</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Authorised electronic-signature application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RSK-MES-007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FS-MES-017</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INT-MES-IAM-004</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URS-MES-018</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Signature meaning and content</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RSK-MES-007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FS-MES-018</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INT-MES-IAM-002, 004; INT-MES-TIM-001, 004</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URS-MES-019</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Permanent signature-to-record linkage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RSK-MES-007, RSK-MES-010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FS-MES-019</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INT-MES-IAM-002; INT-MES-TIM-004</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URS-MES-020</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Automatic audit-trail capture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RSK-MES-008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FS-MES-020</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INT-MES-TIM-004; INT-MES-OPS-006, 008</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URS-MES-021</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Audit-trail protection and retention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RSK-MES-008, RSK-MES-010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FS-MES-021</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INT-MES-TIM-001, 004; INT-MES-OPS-010</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URS-MES-022</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Audit-trail search and review presentation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RSK-MES-008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FS-MES-022</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MES audit presentation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URS-MES-023</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Risk-based audit-trail review evidence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RSK-MES-008, RSK-MES-024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FS-MES-023</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INT-MES-OPS-001, 006 (supporting)</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URS-MES-024</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ALCOA+ data lifecycle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RSK-MES-002, RSK-MES-010, RSK-MES-026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FS-MES-024</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ERP-003/004; LIMS-004; AUT-005; HIS-003; IAM-002; TIM-004; OPS-008</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URS-MES-025</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Authoritative and consistent time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RSK-MES-009 / Working Medium</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FS-MES-025</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INT-MES-TIM-001 to INT-MES-TIM-006</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URS-MES-026</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correction of GxP data</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RSK-MES-010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FS-MES-026</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MES correction workflow</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URS-MES-027</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Preservation through transfer, retention, and migration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RSK-MES-004, RSK-MES-010, RSK-MES-026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FS-MES-027</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ERP-003/004; LIMS-004; AUT-005; HIS-003/008; OPS-010</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URS-MES-028</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ERP inbound orders and master data</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RSK-MES-011, RSK-MES-015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FS-MES-028</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INT-MES-ERP-001, 003, 004, 006-008</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URS-MES-029</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ERP outbound manufacturing confirmation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RSK-MES-011, RSK-MES-015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FS-MES-029</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INT-MES-ERP-002-004, 006-008</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URS-MES-030</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 sample request and status transfer</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RSK-MES-012, RSK-MES-015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FS-MES-030</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INT-MES-LIMS-001, 004, 006-008</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URS-MES-031</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LIMS result and disposition receipt</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RSK-MES-012, RSK-MES-015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FS-MES-031</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INT-MES-LIMS-002-004, 006-008</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URS-MES-032</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commands to automation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RSK-MES-013, RSK-MES-015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FS-MES-032</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INT-MES-AUT-001, 004-009</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URS-MES-033</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Automation data receipt</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RSK-MES-013, RSK-MES-015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FS-MES-033</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INT-MES-AUT-002-005, 007, 009</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URS-MES-034</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Historian and reporting publication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RSK-MES-014, RSK-MES-015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FS-MES-034</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INT-MES-HIS-001 to INT-MES-HIS-008</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URS-MES-035</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Enterprise identity integration</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RSK-MES-005, RSK-MES-006, RSK-MES-015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FS-MES-035</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INT-MES-IAM-001 to INT-MES-IAM-008</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URS-MES-036</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Common interface integrity and failure control</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RSK-MES-011, RSK-MES-012, RSK-MES-013, RSK-MES-014, RSK-MES-015, RSK-MES-019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FS-MES-036</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All seven INT-MES interface families</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URS-MES-037</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Risk-based backup coverage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RSK-MES-017, RSK-MES-020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FS-MES-037</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INT-MES-OPS-004, 007, 010</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URS-MES-038</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Complete and accurate restoration</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RSK-MES-017, RSK-MES-018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FS-MES-038</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INT-MES-OPS-005, 007, 008, 010</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URS-MES-039</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Coordinated service recovery</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RSK-MES-016, RSK-MES-018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FS-MES-039</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INT-MES-OPS-001, 002, 005, 006, 008-010</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URS-MES-040</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Backup and recovery verification and monitoring</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RSK-MES-017, RSK-MES-018, RSK-MES-024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FS-MES-040</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INT-MES-OPS-004, 005, 009, 010</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URS-MES-041</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Operational execution reporting</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RSK-MES-003, RSK-MES-014, RSK-MES-023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FS-MES-041</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INT-MES-HIS-001-003, 007</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URS-MES-042</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Quality and review-by-exception reporting</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RSK-MES-008, RSK-MES-023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FS-MES-042</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INT-MES-HIS-001-004, 007</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URS-MES-043</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Interface and exception reconciliation reporting</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RSK-MES-015, RSK-MES-022, RSK-MES-023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FS-MES-043</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ERP-008; LIMS-008; AUT-009; HIS-007; OPS-001-003/006/009</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URS-MES-044</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report and extract provenance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RSK-MES-004, RSK-MES-010, RSK-MES-014, RSK-MES-023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FS-MES-044</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INT-MES-HIS-002-005, 008; INT-MES-TIM-004</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URS-MES-045</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Operational monitoring and alerting</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RSK-MES-006, RSK-MES-015, RSK-MES-016, RSK-MES-017, RSK-MES-019, RSK-MES-022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FS-MES-045</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All family monitoring controls; INT-MES-OPS-001-003, 006, 008, 009</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URS-MES-046</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Incident and problem control</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RSK-MES-016, RSK-MES-018, RSK-MES-022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FS-MES-046</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INT-MES-OPS-006, 009</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URS-MES-047</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Controlled change and configuration baseline</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RSK-MES-001, RSK-MES-010, RSK-MES-019, RSK-MES-021, RSK-MES-022, RSK-MES-026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FS-MES-047</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ERP-009; LIMS-009; AUT-010; HIS-008; IAM-007/008; TIM-006; OPS-010</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URS-MES-048</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Supplier and service-provider assurance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RSK-MES-019, RSK-MES-020, RSK-MES-024, RSK-MES-025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FS-MES-048</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All family ownership/support/change controls</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URS-MES-049</w:t>
            </w:r>
          </w:p>
        </w:tc>
        <w:tc>
          <w:tcPr>
            <w:tcW w:type="dxa" w:w="1450"/>
            <w:vAlign w:val="top"/>
            <w:tcMar>
              <w:top w:w="70" w:type="dxa"/>
              <w:start w:w="85" w:type="dxa"/>
              <w:bottom w:w="70" w:type="dxa"/>
              <w:end w:w="85" w:type="dxa"/>
            </w:tcMar>
          </w:tcPr>
          <w:p>
            <w:pPr>
              <w:spacing w:before="0" w:after="0" w:line="240" w:lineRule="auto"/>
            </w:pPr>
            <w:r>
              <w:rPr>
                <w:rFonts w:ascii="Calibri" w:hAnsi="Calibri"/>
                <w:color w:val="202020"/>
                <w:sz w:val="11"/>
              </w:rPr>
              <w:t>Periodic evaluation of continued fitness</w:t>
            </w:r>
          </w:p>
        </w:tc>
        <w:tc>
          <w:tcPr>
            <w:tcW w:type="dxa" w:w="1550"/>
            <w:vAlign w:val="top"/>
            <w:tcMar>
              <w:top w:w="70" w:type="dxa"/>
              <w:start w:w="85" w:type="dxa"/>
              <w:bottom w:w="70" w:type="dxa"/>
              <w:end w:w="85" w:type="dxa"/>
            </w:tcMar>
          </w:tcPr>
          <w:p>
            <w:pPr>
              <w:spacing w:before="0" w:after="0" w:line="240" w:lineRule="auto"/>
            </w:pPr>
            <w:r>
              <w:rPr>
                <w:rFonts w:ascii="Calibri" w:hAnsi="Calibri"/>
                <w:color w:val="202020"/>
                <w:sz w:val="11"/>
              </w:rPr>
              <w:t>RSK-MES-019, RSK-MES-020, RSK-MES-021, RSK-MES-022, RSK-MES-024, RSK-MES-025 / Working High</w:t>
            </w:r>
          </w:p>
        </w:tc>
        <w:tc>
          <w:tcPr>
            <w:tcW w:type="dxa" w:w="720"/>
            <w:vAlign w:val="top"/>
            <w:tcMar>
              <w:top w:w="70" w:type="dxa"/>
              <w:start w:w="85" w:type="dxa"/>
              <w:bottom w:w="70" w:type="dxa"/>
              <w:end w:w="85" w:type="dxa"/>
            </w:tcMar>
          </w:tcPr>
          <w:p>
            <w:pPr>
              <w:spacing w:before="0" w:after="0" w:line="240" w:lineRule="auto"/>
            </w:pPr>
            <w:r>
              <w:rPr>
                <w:rFonts w:ascii="Calibri" w:hAnsi="Calibri"/>
                <w:color w:val="202020"/>
                <w:sz w:val="11"/>
              </w:rPr>
              <w:t>FS-MES-049</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1"/>
              </w:rPr>
              <w:t>All family monitoring/change/recovery controls</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tcPr>
          <w:p>
            <w:pPr>
              <w:spacing w:before="0" w:after="0" w:line="240" w:lineRule="auto"/>
            </w:pPr>
            <w:r>
              <w:rPr>
                <w:rFonts w:ascii="Calibri" w:hAnsi="Calibri"/>
                <w:color w:val="202020"/>
                <w:sz w:val="11"/>
              </w:rPr>
              <w:t>IS allocated where applicable; DS/CS/test evidence open</w:t>
            </w:r>
          </w:p>
        </w:tc>
      </w:tr>
      <w:tr>
        <w:trPr>
          <w:trHeight w:hRule="atLeast"/>
          <w:cantSplit/>
        </w:trPr>
        <w:tc>
          <w:tcPr>
            <w:tcW w:type="dxa" w:w="720"/>
            <w:vAlign w:val="top"/>
            <w:tcMar>
              <w:top w:w="70" w:type="dxa"/>
              <w:start w:w="85" w:type="dxa"/>
              <w:bottom w:w="70" w:type="dxa"/>
              <w:end w:w="85" w:type="dxa"/>
            </w:tcMar>
            <w:shd w:fill="DCE6F1"/>
          </w:tcPr>
          <w:p>
            <w:pPr>
              <w:spacing w:before="0" w:after="0" w:line="240" w:lineRule="auto"/>
            </w:pPr>
            <w:r>
              <w:rPr>
                <w:rFonts w:ascii="Calibri" w:hAnsi="Calibri"/>
                <w:b/>
                <w:color w:val="1F4D78"/>
                <w:sz w:val="11"/>
              </w:rPr>
              <w:t>URS-MES-050</w:t>
            </w:r>
          </w:p>
        </w:tc>
        <w:tc>
          <w:tcPr>
            <w:tcW w:type="dxa" w:w="14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Role-based training and controlled guidance</w:t>
            </w:r>
          </w:p>
        </w:tc>
        <w:tc>
          <w:tcPr>
            <w:tcW w:type="dxa" w:w="155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2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FS-MES-050</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training source/enforcement interface Verify</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2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780"/>
            <w:vAlign w:val="top"/>
            <w:tcMar>
              <w:top w:w="70" w:type="dxa"/>
              <w:start w:w="85" w:type="dxa"/>
              <w:bottom w:w="70" w:type="dxa"/>
              <w:end w:w="85" w:type="dxa"/>
            </w:tcMar>
            <w:shd w:fill="EEF4F9"/>
          </w:tcPr>
          <w:p>
            <w:pPr>
              <w:spacing w:before="0" w:after="0" w:line="240" w:lineRule="auto"/>
            </w:pPr>
            <w:r>
              <w:rPr>
                <w:rFonts w:ascii="Calibri" w:hAnsi="Calibri"/>
                <w:color w:val="202020"/>
                <w:sz w:val="11"/>
              </w:rPr>
              <w:t>IS allocated where applicable; DS/CS/test evidence open</w:t>
            </w:r>
          </w:p>
        </w:tc>
      </w:tr>
    </w:tbl>
    <w:p>
      <w:pPr>
        <w:spacing w:after="0"/>
      </w:pPr>
    </w:p>
    <w:p>
      <w:pPr>
        <w:pStyle w:val="Heading1"/>
        <w:keepNext/>
        <w:keepLines/>
      </w:pPr>
      <w:r>
        <w:t>12 Verification, deployment and operational handoff</w:t>
      </w:r>
    </w:p>
    <w:p>
      <w:pPr>
        <w:pStyle w:val="Heading2"/>
        <w:keepNext/>
        <w:keepLines/>
      </w:pPr>
      <w:r>
        <w:t>12.1 Risk-informed multi-system verification matrix</w:t>
      </w:r>
    </w:p>
    <w:tbl>
      <w:tblPr>
        <w:tblStyle w:val="TableGrid"/>
        <w:tblW w:type="auto" w:w="0"/>
        <w:jc w:val="left"/>
        <w:tblLayout w:type="fixed"/>
        <w:tblLook w:firstColumn="1" w:firstRow="1" w:lastColumn="0" w:lastRow="0" w:noHBand="0" w:noVBand="1" w:val="04A0"/>
        <w:tblInd w:w="120" w:type="dxa"/>
      </w:tblPr>
      <w:tblGrid>
        <w:gridCol w:w="1450"/>
        <w:gridCol w:w="3800"/>
        <w:gridCol w:w="2550"/>
        <w:gridCol w:w="1560"/>
      </w:tblGrid>
      <w:tr>
        <w:trPr>
          <w:tblHeader w:val="true"/>
          <w:cantSplit/>
        </w:trPr>
        <w:tc>
          <w:tcPr>
            <w:tcW w:type="dxa" w:w="14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Family</w:t>
            </w:r>
          </w:p>
        </w:tc>
        <w:tc>
          <w:tcPr>
            <w:tcW w:type="dxa" w:w="380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Minimum verification coverage</w:t>
            </w:r>
          </w:p>
        </w:tc>
        <w:tc>
          <w:tcPr>
            <w:tcW w:type="dxa" w:w="255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End-to-end / special focus</w:t>
            </w:r>
          </w:p>
        </w:tc>
        <w:tc>
          <w:tcPr>
            <w:tcW w:type="dxa" w:w="1560"/>
            <w:shd w:fill="0B2545"/>
            <w:tcMar>
              <w:top w:w="75" w:type="dxa"/>
              <w:start w:w="80" w:type="dxa"/>
              <w:bottom w:w="75" w:type="dxa"/>
              <w:end w:w="80" w:type="dxa"/>
            </w:tcMar>
            <w:vAlign w:val="center"/>
          </w:tcPr>
          <w:p>
            <w:pPr>
              <w:spacing w:before="0" w:after="0" w:line="240" w:lineRule="auto"/>
            </w:pPr>
            <w:r>
              <w:rPr>
                <w:rFonts w:ascii="Calibri" w:hAnsi="Calibri"/>
                <w:b/>
                <w:color w:val="FFFFFF"/>
                <w:sz w:val="13"/>
              </w:rPr>
              <w:t>Current state</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INT-MES-ERP-001</w:t>
            </w:r>
          </w:p>
        </w:tc>
        <w:tc>
          <w:tcPr>
            <w:tcW w:type="dxa" w:w="3800"/>
            <w:vAlign w:val="top"/>
            <w:tcMar>
              <w:top w:w="70" w:type="dxa"/>
              <w:start w:w="85" w:type="dxa"/>
              <w:bottom w:w="70" w:type="dxa"/>
              <w:end w:w="85" w:type="dxa"/>
            </w:tcMar>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INT-MES-LIMS-001</w:t>
            </w:r>
          </w:p>
        </w:tc>
        <w:tc>
          <w:tcPr>
            <w:tcW w:type="dxa" w:w="3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shd w:fill="EEF4F9"/>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shd w:fill="EEF4F9"/>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INT-MES-AUT-001</w:t>
            </w:r>
          </w:p>
        </w:tc>
        <w:tc>
          <w:tcPr>
            <w:tcW w:type="dxa" w:w="3800"/>
            <w:vAlign w:val="top"/>
            <w:tcMar>
              <w:top w:w="70" w:type="dxa"/>
              <w:start w:w="85" w:type="dxa"/>
              <w:bottom w:w="70" w:type="dxa"/>
              <w:end w:w="85" w:type="dxa"/>
            </w:tcMar>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INT-MES-HIS-001</w:t>
            </w:r>
          </w:p>
        </w:tc>
        <w:tc>
          <w:tcPr>
            <w:tcW w:type="dxa" w:w="3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shd w:fill="EEF4F9"/>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shd w:fill="EEF4F9"/>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INT-MES-IAM-001</w:t>
            </w:r>
          </w:p>
        </w:tc>
        <w:tc>
          <w:tcPr>
            <w:tcW w:type="dxa" w:w="3800"/>
            <w:vAlign w:val="top"/>
            <w:tcMar>
              <w:top w:w="70" w:type="dxa"/>
              <w:start w:w="85" w:type="dxa"/>
              <w:bottom w:w="70" w:type="dxa"/>
              <w:end w:w="85" w:type="dxa"/>
            </w:tcMar>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INT-MES-TIM-001</w:t>
            </w:r>
          </w:p>
        </w:tc>
        <w:tc>
          <w:tcPr>
            <w:tcW w:type="dxa" w:w="3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shd w:fill="EEF4F9"/>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shd w:fill="EEF4F9"/>
          </w:tcPr>
          <w:p>
            <w:pPr>
              <w:spacing w:before="0" w:after="0" w:line="240" w:lineRule="auto"/>
            </w:pPr>
            <w:r>
              <w:rPr>
                <w:rFonts w:ascii="Calibri" w:hAnsi="Calibri"/>
                <w:color w:val="202020"/>
                <w:sz w:val="13"/>
              </w:rPr>
              <w:t>Test IDs/data/environment/results not assigned; ITRRA rigor retained</w:t>
            </w:r>
          </w:p>
        </w:tc>
      </w:tr>
      <w:tr>
        <w:trPr>
          <w:trHeight w:hRule="atLeast"/>
          <w:cantSplit/>
        </w:trPr>
        <w:tc>
          <w:tcPr>
            <w:tcW w:type="dxa" w:w="14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INT-MES-OPS-001</w:t>
            </w:r>
          </w:p>
        </w:tc>
        <w:tc>
          <w:tcPr>
            <w:tcW w:type="dxa" w:w="3800"/>
            <w:vAlign w:val="top"/>
            <w:tcMar>
              <w:top w:w="70" w:type="dxa"/>
              <w:start w:w="85" w:type="dxa"/>
              <w:bottom w:w="70" w:type="dxa"/>
              <w:end w:w="85" w:type="dxa"/>
            </w:tcMar>
          </w:tcPr>
          <w:p>
            <w:pPr>
              <w:spacing w:before="0" w:after="0" w:line="240" w:lineRule="auto"/>
            </w:pPr>
            <w:r>
              <w:rPr>
                <w:rFonts w:ascii="Calibri" w:hAnsi="Calibri"/>
                <w:color w:val="202020"/>
                <w:sz w:val="13"/>
              </w:rPr>
              <w:t>Contract/schema; field mapping; positive/negative/boundary/state; auth/access; sequence/duplicate; timeout/retry/replay; error/reconciliation; monitoring/audit; version/change; recovery</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3"/>
              </w:rPr>
              <w:t>End-to-end provider -&gt; interface -&gt; MES/consumer with synthetic data; include performance/security where applicable</w:t>
            </w:r>
          </w:p>
        </w:tc>
        <w:tc>
          <w:tcPr>
            <w:tcW w:type="dxa" w:w="1560"/>
            <w:vAlign w:val="top"/>
            <w:tcMar>
              <w:top w:w="70" w:type="dxa"/>
              <w:start w:w="85" w:type="dxa"/>
              <w:bottom w:w="70" w:type="dxa"/>
              <w:end w:w="85" w:type="dxa"/>
            </w:tcMar>
          </w:tcPr>
          <w:p>
            <w:pPr>
              <w:spacing w:before="0" w:after="0" w:line="240" w:lineRule="auto"/>
            </w:pPr>
            <w:r>
              <w:rPr>
                <w:rFonts w:ascii="Calibri" w:hAnsi="Calibri"/>
                <w:color w:val="202020"/>
                <w:sz w:val="13"/>
              </w:rPr>
              <w:t>Test IDs/data/environment/results not assigned; ITRRA rigor retained</w:t>
            </w:r>
          </w:p>
        </w:tc>
      </w:tr>
    </w:tbl>
    <w:p>
      <w:pPr>
        <w:spacing w:after="0"/>
      </w:pPr>
    </w:p>
    <w:p>
      <w:pPr>
        <w:pStyle w:val="Heading2"/>
        <w:keepNext/>
        <w:keepLines/>
      </w:pPr>
      <w:r>
        <w:t>12.2 Deployment and release handoff</w:t>
      </w:r>
    </w:p>
    <w:tbl>
      <w:tblPr>
        <w:tblStyle w:val="TableGrid"/>
        <w:tblW w:type="auto" w:w="0"/>
        <w:jc w:val="left"/>
        <w:tblLayout w:type="fixed"/>
        <w:tblLook w:firstColumn="1" w:firstRow="1" w:lastColumn="0" w:lastRow="0" w:noHBand="0" w:noVBand="1" w:val="04A0"/>
        <w:tblInd w:w="120" w:type="dxa"/>
      </w:tblPr>
      <w:tblGrid>
        <w:gridCol w:w="2000"/>
        <w:gridCol w:w="5000"/>
        <w:gridCol w:w="2360"/>
      </w:tblGrid>
      <w:tr>
        <w:trPr>
          <w:tblHeader w:val="true"/>
          <w:cantSplit/>
        </w:trPr>
        <w:tc>
          <w:tcPr>
            <w:tcW w:type="dxa" w:w="20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Handoff</w:t>
            </w:r>
          </w:p>
        </w:tc>
        <w:tc>
          <w:tcPr>
            <w:tcW w:type="dxa" w:w="50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Required evidence</w:t>
            </w:r>
          </w:p>
        </w:tc>
        <w:tc>
          <w:tcPr>
            <w:tcW w:type="dxa" w:w="236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Blocking condition</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NL-MES-DS-001</w:t>
            </w:r>
          </w:p>
        </w:tc>
        <w:tc>
          <w:tcPr>
            <w:tcW w:type="dxa" w:w="5000"/>
            <w:vAlign w:val="top"/>
            <w:tcMar>
              <w:top w:w="70" w:type="dxa"/>
              <w:start w:w="85" w:type="dxa"/>
              <w:bottom w:w="70" w:type="dxa"/>
              <w:end w:w="85" w:type="dxa"/>
            </w:tcMar>
          </w:tcPr>
          <w:p>
            <w:pPr>
              <w:spacing w:before="0" w:after="0" w:line="240" w:lineRule="auto"/>
            </w:pPr>
            <w:r>
              <w:rPr>
                <w:rFonts w:ascii="Calibri" w:hAnsi="Calibri"/>
                <w:color w:val="202020"/>
                <w:sz w:val="13"/>
              </w:rPr>
              <w:t>Platform/pattern, topology, endpoints, trust, schemas, mapping implementation, queue/state store, monitoring and recovery design.</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3"/>
              </w:rPr>
              <w:t>Unresolved critical design or security/data-integrity control.</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NL-MES-CS-001</w:t>
            </w:r>
          </w:p>
        </w:tc>
        <w:tc>
          <w:tcPr>
            <w:tcW w:type="dxa" w:w="5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Environment routes, versions, mappings, timeouts/retries, policies, thresholds, credentials/certificate references and deployment baseline.</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3"/>
              </w:rPr>
              <w:t>Unapproved/untraceable production configuration.</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NL-MES-DIA-001</w:t>
            </w:r>
          </w:p>
        </w:tc>
        <w:tc>
          <w:tcPr>
            <w:tcW w:type="dxa" w:w="5000"/>
            <w:vAlign w:val="top"/>
            <w:tcMar>
              <w:top w:w="70" w:type="dxa"/>
              <w:start w:w="85" w:type="dxa"/>
              <w:bottom w:w="70" w:type="dxa"/>
              <w:end w:w="85" w:type="dxa"/>
            </w:tcMar>
          </w:tcPr>
          <w:p>
            <w:pPr>
              <w:spacing w:before="0" w:after="0" w:line="240" w:lineRule="auto"/>
            </w:pPr>
            <w:r>
              <w:rPr>
                <w:rFonts w:ascii="Calibri" w:hAnsi="Calibri"/>
                <w:color w:val="202020"/>
                <w:sz w:val="13"/>
              </w:rPr>
              <w:t>Provider/consumer authority, data change points, metadata, transfer/content-meaning preservation, reconciliation and migration applicability.</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3"/>
              </w:rPr>
              <w:t>Uncontrolled data transformation or missing integrity evidence.</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NL-MES-DRR-001</w:t>
            </w:r>
          </w:p>
        </w:tc>
        <w:tc>
          <w:tcPr>
            <w:tcW w:type="dxa" w:w="5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Systematic review of all seven families, open Verify items, risks, security, reuse, maintainability and URS/FS fulfilment.</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Final design review not approved.</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NL-MES-TRM-001</w:t>
            </w:r>
          </w:p>
        </w:tc>
        <w:tc>
          <w:tcPr>
            <w:tcW w:type="dxa" w:w="5000"/>
            <w:vAlign w:val="top"/>
            <w:tcMar>
              <w:top w:w="70" w:type="dxa"/>
              <w:start w:w="85" w:type="dxa"/>
              <w:bottom w:w="70" w:type="dxa"/>
              <w:end w:w="85" w:type="dxa"/>
            </w:tcMar>
          </w:tcPr>
          <w:p>
            <w:pPr>
              <w:spacing w:before="0" w:after="0" w:line="240" w:lineRule="auto"/>
            </w:pPr>
            <w:r>
              <w:rPr>
                <w:rFonts w:ascii="Calibri" w:hAnsi="Calibri"/>
                <w:color w:val="202020"/>
                <w:sz w:val="13"/>
              </w:rPr>
              <w:t>URS -&gt; risk -&gt; FS -&gt; IS/DS/CS -&gt; test/result and operational evidence.</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3"/>
              </w:rPr>
              <w:t>Missing direct trace or unjustified N/A.</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Verification records</w:t>
            </w:r>
          </w:p>
        </w:tc>
        <w:tc>
          <w:tcPr>
            <w:tcW w:type="dxa" w:w="5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Approved synthetic datasets, environments, cases, results and controlled issue/deviation handling across all stakeholders.</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Required tests not passed or unresolved impacting issue.</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Interface terms of service</w:t>
            </w:r>
          </w:p>
        </w:tc>
        <w:tc>
          <w:tcPr>
            <w:tcW w:type="dxa" w:w="5000"/>
            <w:vAlign w:val="top"/>
            <w:tcMar>
              <w:top w:w="70" w:type="dxa"/>
              <w:start w:w="85" w:type="dxa"/>
              <w:bottom w:w="70" w:type="dxa"/>
              <w:end w:w="85" w:type="dxa"/>
            </w:tcMar>
          </w:tcPr>
          <w:p>
            <w:pPr>
              <w:spacing w:before="0" w:after="0" w:line="240" w:lineRule="auto"/>
            </w:pPr>
            <w:r>
              <w:rPr>
                <w:rFonts w:ascii="Calibri" w:hAnsi="Calibri"/>
                <w:color w:val="202020"/>
                <w:sz w:val="13"/>
              </w:rPr>
              <w:t>Permanent owner, consumers, versions/deprecation, support/monitoring, SLO/SLA, security, change/incident communication and retirement.</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3"/>
              </w:rPr>
              <w:t>Ownership/support/consumer obligations not accepted.</w:t>
            </w:r>
          </w:p>
        </w:tc>
      </w:tr>
      <w:tr>
        <w:trPr>
          <w:trHeight w:hRule="atLeast"/>
          <w:cantSplit/>
        </w:trPr>
        <w:tc>
          <w:tcPr>
            <w:tcW w:type="dxa" w:w="200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O&amp;M / recovery procedures</w:t>
            </w:r>
          </w:p>
        </w:tc>
        <w:tc>
          <w:tcPr>
            <w:tcW w:type="dxa" w:w="5000"/>
            <w:vAlign w:val="top"/>
            <w:tcMar>
              <w:top w:w="70" w:type="dxa"/>
              <w:start w:w="85" w:type="dxa"/>
              <w:bottom w:w="70" w:type="dxa"/>
              <w:end w:w="85" w:type="dxa"/>
            </w:tcMar>
            <w:shd w:fill="EEF4F9"/>
          </w:tcPr>
          <w:p>
            <w:pPr>
              <w:spacing w:before="0" w:after="0" w:line="240" w:lineRule="auto"/>
            </w:pPr>
            <w:r>
              <w:rPr>
                <w:rFonts w:ascii="Calibri" w:hAnsi="Calibri"/>
                <w:color w:val="202020"/>
                <w:sz w:val="13"/>
              </w:rPr>
              <w:t>Monitoring, reconciliation, access, incident, backup/recovery, change, periodic review, training and retirement procedures.</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3"/>
              </w:rPr>
              <w:t>Operations not ready or recovery not verified.</w:t>
            </w:r>
          </w:p>
        </w:tc>
      </w:tr>
    </w:tbl>
    <w:p>
      <w:pPr>
        <w:spacing w:after="0"/>
      </w:pPr>
    </w:p>
    <w:p>
      <w:pPr>
        <w:pStyle w:val="Heading2"/>
        <w:keepNext/>
        <w:keepLines/>
      </w:pPr>
      <w:r>
        <w:t>12.3 Change, version and retirement model</w:t>
      </w:r>
    </w:p>
    <w:p>
      <w:pPr>
        <w:pStyle w:val="ListBullet"/>
        <w:spacing w:after="40" w:line="252" w:lineRule="auto"/>
        <w:keepLines/>
      </w:pPr>
      <w:r>
        <w:rPr>
          <w:rFonts w:ascii="Calibri" w:hAnsi="Calibri"/>
          <w:b w:val="0"/>
          <w:i w:val="0"/>
          <w:color w:val="202020"/>
          <w:sz w:val="18"/>
        </w:rPr>
        <w:t>Maintain an up-to-date inventory of contract and deployable versions, consumers and planned retirement dates; semantic or other versioning scheme remains Verify.</w:t>
      </w:r>
    </w:p>
    <w:p>
      <w:pPr>
        <w:pStyle w:val="ListBullet"/>
        <w:spacing w:after="40" w:line="252" w:lineRule="auto"/>
        <w:keepLines/>
      </w:pPr>
      <w:r>
        <w:rPr>
          <w:rFonts w:ascii="Calibri" w:hAnsi="Calibri"/>
          <w:b w:val="0"/>
          <w:i w:val="0"/>
          <w:color w:val="202020"/>
          <w:sz w:val="18"/>
        </w:rPr>
        <w:t>Assess upstream/downstream system, shared data-model, security, GxP/data-integrity, capacity, recovery and consumer impacts for every change.</w:t>
      </w:r>
    </w:p>
    <w:p>
      <w:pPr>
        <w:pStyle w:val="ListBullet"/>
        <w:spacing w:after="40" w:line="252" w:lineRule="auto"/>
        <w:keepLines/>
      </w:pPr>
      <w:r>
        <w:rPr>
          <w:rFonts w:ascii="Calibri" w:hAnsi="Calibri"/>
          <w:b w:val="0"/>
          <w:i w:val="0"/>
          <w:color w:val="202020"/>
          <w:sz w:val="18"/>
        </w:rPr>
        <w:t>Communicate major or breaking changes in advance and allow approved consumer migration/coexistence where feasible; notice and coexistence periods remain Verify.</w:t>
      </w:r>
    </w:p>
    <w:p>
      <w:pPr>
        <w:pStyle w:val="ListBullet"/>
        <w:spacing w:after="40" w:line="252" w:lineRule="auto"/>
        <w:keepLines/>
      </w:pPr>
      <w:r>
        <w:rPr>
          <w:rFonts w:ascii="Calibri" w:hAnsi="Calibri"/>
          <w:b w:val="0"/>
          <w:i w:val="0"/>
          <w:color w:val="202020"/>
          <w:sz w:val="18"/>
        </w:rPr>
        <w:t>Prevent new consumer onboarding to a retired version after the approved cut-off and verify all consumers have migrated before decommissioning.</w:t>
      </w:r>
    </w:p>
    <w:p>
      <w:pPr>
        <w:pStyle w:val="ListBullet"/>
        <w:spacing w:after="40" w:line="252" w:lineRule="auto"/>
        <w:keepLines/>
      </w:pPr>
      <w:r>
        <w:rPr>
          <w:rFonts w:ascii="Calibri" w:hAnsi="Calibri"/>
          <w:b w:val="0"/>
          <w:i w:val="0"/>
          <w:color w:val="202020"/>
          <w:sz w:val="18"/>
        </w:rPr>
        <w:t>On retirement, remove interface assets from platforms/environments, preserve required records/evidence, update access and consumer inventories and communicate completion/issues.</w:t>
      </w:r>
    </w:p>
    <w:p>
      <w:pPr>
        <w:pStyle w:val="Heading1"/>
        <w:keepNext/>
        <w:keepLines/>
      </w:pPr>
      <w:r>
        <w:t>13 Assumptions, Verify items and quality gate</w:t>
      </w:r>
    </w:p>
    <w:p>
      <w:pPr>
        <w:pStyle w:val="Heading2"/>
        <w:keepNext/>
        <w:keepLines/>
      </w:pPr>
      <w:r>
        <w:t>13.1 Assumptions</w:t>
      </w:r>
    </w:p>
    <w:tbl>
      <w:tblPr>
        <w:tblStyle w:val="TableGrid"/>
        <w:tblW w:type="auto" w:w="0"/>
        <w:jc w:val="left"/>
        <w:tblLayout w:type="fixed"/>
        <w:tblLook w:firstColumn="1" w:firstRow="1" w:lastColumn="0" w:lastRow="0" w:noHBand="0" w:noVBand="1" w:val="04A0"/>
        <w:tblInd w:w="120" w:type="dxa"/>
      </w:tblPr>
      <w:tblGrid>
        <w:gridCol w:w="1350"/>
        <w:gridCol w:w="4800"/>
        <w:gridCol w:w="3210"/>
      </w:tblGrid>
      <w:tr>
        <w:trPr>
          <w:tblHeader w:val="true"/>
          <w:cantSplit/>
        </w:trPr>
        <w:tc>
          <w:tcPr>
            <w:tcW w:type="dxa" w:w="13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Assumption ID</w:t>
            </w:r>
          </w:p>
        </w:tc>
        <w:tc>
          <w:tcPr>
            <w:tcW w:type="dxa" w:w="48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Assumption</w:t>
            </w:r>
          </w:p>
        </w:tc>
        <w:tc>
          <w:tcPr>
            <w:tcW w:type="dxa" w:w="32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Downstream handling</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ASM-IS-001</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The seven current interface-family IDs are the controlled package baseline.</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Reconcile any approved architecture/identifier change across SYS/FS/IS/TRM.</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ASM-IS-002</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CMP-MES-INT-001 will provide or coordinate the common control envelope.</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Confirm platform/pattern and responsibility in DS.</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ASM-IS-003</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Adjacent systems can provide stable business identifiers, status/version and authoritative data context.</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Confirm provider contracts and data owners.</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ASM-IS-004</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Configured/reusable interface capability is preferred to custom code where it meets intended use.</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Complete reuse/fit-gap and code-review applicability decision.</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ASM-IS-005</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Enterprise identity, time, backup and monitoring services can satisfy regulated needs.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Confirm service agreements, security and verification evidence.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ASM-IS-006</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Synthetic test data can cover all required end-to-end, negative, boundary and security scenarios.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Approve datasets and privacy controls in verification planning.</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ASM-IS-007</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No production data migration through these interfaces is confirmed.</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Resolve RSK-MES-026 applicability in DIA/design.</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ASM-IS-008</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Training enforcement has no approved interface in the current architecture.</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Resolve URS/FS-050 without inventing a family or endpoint.</w:t>
            </w:r>
          </w:p>
        </w:tc>
      </w:tr>
    </w:tbl>
    <w:p>
      <w:pPr>
        <w:spacing w:after="0"/>
      </w:pPr>
    </w:p>
    <w:p>
      <w:pPr>
        <w:pStyle w:val="Heading2"/>
        <w:keepNext/>
        <w:keepLines/>
      </w:pPr>
      <w:r>
        <w:t>13.2 Verify register</w:t>
      </w:r>
    </w:p>
    <w:tbl>
      <w:tblPr>
        <w:tblStyle w:val="TableGrid"/>
        <w:tblW w:type="auto" w:w="0"/>
        <w:jc w:val="left"/>
        <w:tblLayout w:type="fixed"/>
        <w:tblLook w:firstColumn="1" w:firstRow="1" w:lastColumn="0" w:lastRow="0" w:noHBand="0" w:noVBand="1" w:val="04A0"/>
        <w:tblInd w:w="120" w:type="dxa"/>
      </w:tblPr>
      <w:tblGrid>
        <w:gridCol w:w="1250"/>
        <w:gridCol w:w="4900"/>
        <w:gridCol w:w="3210"/>
      </w:tblGrid>
      <w:tr>
        <w:trPr>
          <w:tblHeader w:val="true"/>
          <w:cantSplit/>
        </w:trPr>
        <w:tc>
          <w:tcPr>
            <w:tcW w:type="dxa" w:w="12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Verify ID</w:t>
            </w:r>
          </w:p>
        </w:tc>
        <w:tc>
          <w:tcPr>
            <w:tcW w:type="dxa" w:w="49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Open item</w:t>
            </w:r>
          </w:p>
        </w:tc>
        <w:tc>
          <w:tcPr>
            <w:tcW w:type="dxa" w:w="32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Owner / resolution evidence / gate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Selected integration platform(s), reusable assets, supported patterns and licensing</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Architect/supplier evidence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VRF-IS-002</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Reconcile MLGP example IF tokens HIST/TIME with established HIS/TIM/OPS package IDs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Lifecycle owner / controlled catalogue update or documented acceptance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VRF-IS-003</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Permanent IT Interface Owner, Data Owner, provider/consumer owners and terms-of-service owners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Business/system/data owners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VRF-IS-004</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System/process/experience interface classification for each family</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IT Interface Owner + Architect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VRF-IS-005</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Exact provider/consumer products, releases, modules and authoritative source decisions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SYS/DS/DIA evidence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VRF-IS-006</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Protocols, API/message/event patterns, endpoints, URLs, ports and network routes per environment</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DS/CS / before integration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VRF-IS-007</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Authentication, encryption, trust, certificate/secret lifecycle and service-account controls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Security design/CS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VRF-IS-008</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Controlled schemas/resources, technical field names, data types, lengths, formats and examples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Schema repository/DS/CS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VRF-IS-009</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Detailed field mapping, transformations, code/unit/status catalogues and rounding/precision rules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Mapping artifact + data owners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VRF-IS-010</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Volumes, concurrency, payload sizes, latency/response and capacity targets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Business/architect / before performance plan</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Timeout, retry/backoff, idempotency, duplicate, sequence and replay parameters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DS/CS / before negative/challenge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VRF-IS-012</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Acknowledgement/business-response contracts and uncertain-state rules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Provider/consumer owners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VRF-IS-013</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Error categories, queue ownership, severity, reconciliation population/frequency and disposition</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O&amp;M/CS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VRF-IS-014</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Logging/audit event catalogue, masking and retention</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Security/DIA/record owner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VRF-IS-015</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Monitoring metrics, thresholds, dashboards/routes, SLO and escalation times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Operations/service owners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VRF-IS-016</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Version scheme, compatibility, consumer migration, deprecation and retirement periods</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IT Interface Owner / terms of service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VRF-IS-017</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Backup scope, recoverable configuration/state/checkpoints, retention, RPO/RTO and recovery sequence</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Continuity owner / DS/CS/O&amp;M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VRF-IS-018</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Reuse assessment, custom-code scope, repository, standards and code-review decision</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Architect/development lead / before build</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VRF-IS-019</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Supplier/platform agreements, support model, evidence access, notifications and consumer inventory</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Contract/service owner / before handover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VRF-IS-020</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Final multi-system test IDs, synthetic datasets, environments, performance/security scope and stakeholder participation</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Validation/Test Lead / before execution</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VRF-IS-021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3"/>
              </w:rPr>
              <w:t>Data migration/initial-load applicability and RSK-MES-026 disposition</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3"/>
              </w:rPr>
              <w:t>DIA/architecture/risk owner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VRF-IS-022</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3"/>
              </w:rPr>
              <w:t>Training source/enforcement interface need for URS/FS-050</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Process/access/training owners / before release</w:t>
            </w:r>
          </w:p>
        </w:tc>
      </w:tr>
    </w:tbl>
    <w:p>
      <w:pPr>
        <w:spacing w:after="0"/>
      </w:pPr>
    </w:p>
    <w:p>
      <w:pPr>
        <w:pStyle w:val="Heading2"/>
        <w:keepNext/>
        <w:keepLines/>
      </w:pPr>
      <w:r>
        <w:t>13.3 Integration Specification quality gate</w:t>
      </w:r>
    </w:p>
    <w:tbl>
      <w:tblPr>
        <w:tblStyle w:val="TableGrid"/>
        <w:tblW w:type="auto" w:w="0"/>
        <w:jc w:val="left"/>
        <w:tblLayout w:type="fixed"/>
        <w:tblLook w:firstColumn="1" w:firstRow="1" w:lastColumn="0" w:lastRow="0" w:noHBand="0" w:noVBand="1" w:val="04A0"/>
        <w:tblInd w:w="120" w:type="dxa"/>
      </w:tblPr>
      <w:tblGrid>
        <w:gridCol w:w="550"/>
        <w:gridCol w:w="3600"/>
        <w:gridCol w:w="800"/>
        <w:gridCol w:w="4410"/>
      </w:tblGrid>
      <w:tr>
        <w:trPr>
          <w:tblHeader w:val="true"/>
          <w:cantSplit/>
        </w:trPr>
        <w:tc>
          <w:tcPr>
            <w:tcW w:type="dxa" w:w="55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No.</w:t>
            </w:r>
          </w:p>
        </w:tc>
        <w:tc>
          <w:tcPr>
            <w:tcW w:type="dxa" w:w="36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Quality gate</w:t>
            </w:r>
          </w:p>
        </w:tc>
        <w:tc>
          <w:tcPr>
            <w:tcW w:type="dxa" w:w="80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Result</w:t>
            </w:r>
          </w:p>
        </w:tc>
        <w:tc>
          <w:tcPr>
            <w:tcW w:type="dxa" w:w="4410"/>
            <w:shd w:fill="0B2545"/>
            <w:tcMar>
              <w:top w:w="75" w:type="dxa"/>
              <w:start w:w="80" w:type="dxa"/>
              <w:bottom w:w="75" w:type="dxa"/>
              <w:end w:w="80" w:type="dxa"/>
            </w:tcMar>
            <w:vAlign w:val="center"/>
          </w:tcPr>
          <w:p>
            <w:pPr>
              <w:spacing w:before="0" w:after="0" w:line="240" w:lineRule="auto"/>
            </w:pPr>
            <w:r>
              <w:rPr>
                <w:rFonts w:ascii="Calibri" w:hAnsi="Calibri"/>
                <w:b/>
                <w:color w:val="FFFFFF"/>
                <w:sz w:val="14"/>
              </w:rPr>
              <w:t>Evidence</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Correct document identity and exact status/footer</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NL-MES-IS-001, v0.1 and required simulation wording.</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2</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Q0723783 minimum structure addressed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Purpose/scope/roles/definitions/trace/overview/resources/inputs/mapping/outputs/env/policies/dependencies/monitoring/references/enclosures/change log.</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3</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Q0873805 lifecycle controls addressed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Ownership, reuse, risk/supplier/change, design, multi-system testing, operation, recovery and retirement.</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4</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Seven established interface anchors preserved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ERP, LIMS, AUT, HIS, IAM, TIM and OPS; catalogue difference explicitly Verify.</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5</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Detailed unique integration requirements</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60 INT-MES-[IF]-### requirements; family ranges controlled.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6</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Logical contracts and field mappings</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21 contracts and per-family field group mapping/validation tables.</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7</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Common integrity/failure controls</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Trust, version, validation, idempotency, ack, retry/replay, quarantine, reconciliation, audit, monitoring and recovery.</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8</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All 50 URS and FS retained in trace</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Direct/supporting integration allocation or explicit N/A.</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9</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All 26 risks reused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No new risk namespace; integration relevance recorded.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10</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Residual risk not overstated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Risks remain Open; implementation/effectiveness and acceptance pending.</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11</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Technical values not invented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Endpoints, protocols, schemas, security material, targets and parameters remain Verify.</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12</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Security/data integrity/privacy by design</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Source authority, content/meaning, least privilege, protected transfer, masking and audit controls.</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13</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Multi-system verification handoff</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Contract/data/security/performance/end-to-end/recovery focus defined; IDs/results open.</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14</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Operational/terms-of-service handoff</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Owner/consumer/support/change/monitor/recovery/retirement obligations defined.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1F4D78"/>
                <w:sz w:val="13"/>
              </w:rPr>
              <w:t>15</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Dummy/privacy restrictions</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Fictional roles only; no credentials, live endpoints, real signatures or operational IDs/results.</w:t>
            </w:r>
          </w:p>
        </w:tc>
      </w:tr>
    </w:tbl>
    <w:p>
      <w:pPr>
        <w:spacing w:after="0"/>
      </w:pPr>
    </w:p>
    <w:p>
      <w:pPr>
        <w:pStyle w:val="Heading1"/>
        <w:keepNext/>
        <w:keepLines/>
      </w:pPr>
      <w:r>
        <w:t>14 References, enclosures, glossary and final status</w:t>
      </w:r>
    </w:p>
    <w:p>
      <w:pPr>
        <w:pStyle w:val="Heading2"/>
        <w:keepNext/>
        <w:keepLines/>
      </w:pPr>
      <w:r>
        <w:t>14.1 References</w:t>
      </w:r>
    </w:p>
    <w:p>
      <w:pPr>
        <w:keepLines/>
      </w:pPr>
      <w:r>
        <w:t>The controlled source documents and package records listed in sections 1.4 and 2.1 are the references for this specification. Detailed technical schema, mapping, repository, security, platform and service-agreement artifacts are not yet available and are recorded in the Verify register rather than invented.</w:t>
      </w:r>
    </w:p>
    <w:p>
      <w:pPr>
        <w:pStyle w:val="Heading2"/>
        <w:keepNext/>
        <w:keepLines/>
      </w:pPr>
      <w:r>
        <w:t>14.2 Enclosures</w:t>
      </w:r>
    </w:p>
    <w:p>
      <w:pPr>
        <w:keepLines/>
      </w:pPr>
      <w:r>
        <w:t>No separate enclosure is attached. Logical contract inventory, field mappings, policy/dependency registers, risk realization, traceability, Verify items and quality gate are embedded in this document. A controlled technical schema or mapping workbook may be added later with its own identifier/version and trace.</w:t>
      </w:r>
    </w:p>
    <w:p>
      <w:pPr>
        <w:pStyle w:val="Heading2"/>
        <w:keepNext/>
        <w:keepLines/>
      </w:pPr>
      <w:r>
        <w:t>14.3 Definitions</w:t>
      </w:r>
    </w:p>
    <w:tbl>
      <w:tblPr>
        <w:tblStyle w:val="TableGrid"/>
        <w:tblW w:type="auto" w:w="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Term</w:t>
            </w:r>
          </w:p>
        </w:tc>
        <w:tc>
          <w:tcPr>
            <w:tcW w:type="dxa" w:w="746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Meaning in this document</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Acknowledgement</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A technical or business response correlated to a transaction; technical receipt does not by itself mean business completion.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API</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Application Programming Interface; one possible interface technology, not yet selected for every family.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Contract</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The controlled logical/technical definition of resources/messages, fields, states, validation and responses.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Consumer</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An IT system/service or user group relying on data/function delivered by an interface.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Data Owner</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Role accountable for meaning, quality, permitted use and control of a data domain.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Idempotency</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Property that a repeated valid request/message does not create an unintended repeated business effect.</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IT Interface Owner</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Role accountable for lifecycle quality, business value, consumers and compliance of an IT interface.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Provider</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Authoritative or designated source system/service for an exchange.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Quarantine</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Controlled state preventing untrusted/invalid/ambiguous data from business use pending disposition.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Reconciliation</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Comparison of source, interface and target populations/states using identities, acknowledgements and control totals.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Replay</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Authorised reprocessing linked to the original transaction; must remain traceable and idempotent.</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Schema</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technical structure and data types for an interface contract.</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Terms of service</w:t>
            </w:r>
          </w:p>
        </w:tc>
        <w:tc>
          <w:tcPr>
            <w:tcW w:type="dxa" w:w="7460"/>
            <w:vAlign w:val="top"/>
            <w:tcMar>
              <w:top w:w="70" w:type="dxa"/>
              <w:start w:w="85" w:type="dxa"/>
              <w:bottom w:w="70" w:type="dxa"/>
              <w:end w:w="85" w:type="dxa"/>
            </w:tcMar>
          </w:tcPr>
          <w:p>
            <w:pPr>
              <w:spacing w:before="0" w:after="0" w:line="240" w:lineRule="auto"/>
            </w:pPr>
            <w:r>
              <w:rPr>
                <w:rFonts w:ascii="Calibri" w:hAnsi="Calibri"/>
                <w:color w:val="202020"/>
                <w:sz w:val="14"/>
              </w:rPr>
              <w:t>Lifecycle agreement covering ownership, consumers, technical/support/monitoring/change and communication practices.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1F4D78"/>
                <w:sz w:val="14"/>
              </w:rPr>
              <w:t>Verify</w:t>
            </w:r>
          </w:p>
        </w:tc>
        <w:tc>
          <w:tcPr>
            <w:tcW w:type="dxa" w:w="74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open item requiring authoritative evidence and approval; not an implicit acceptance.</w:t>
            </w:r>
          </w:p>
        </w:tc>
      </w:tr>
    </w:tbl>
    <w:p>
      <w:pPr>
        <w:spacing w:after="0"/>
      </w:pPr>
    </w:p>
    <w:p>
      <w:pPr>
        <w:pStyle w:val="Heading2"/>
        <w:keepNext/>
        <w:keepLines/>
      </w:pPr>
      <w:r>
        <w:t>14.4 Final controlled status</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E2F0D9"/>
            <w:tcMar>
              <w:top w:w="100" w:type="dxa"/>
              <w:start w:w="120" w:type="dxa"/>
              <w:bottom w:w="100" w:type="dxa"/>
              <w:end w:w="120" w:type="dxa"/>
            </w:tcMar>
          </w:tcPr>
          <w:p>
            <w:r>
              <w:rPr>
                <w:rFonts w:ascii="Calibri" w:hAnsi="Calibri"/>
                <w:b/>
                <w:i w:val="0"/>
                <w:color w:val="0B2545"/>
                <w:sz w:val="17"/>
              </w:rPr>
              <w:t xml:space="preserve">Controlled status: </w:t>
            </w:r>
            <w:r>
              <w:rPr>
                <w:rFonts w:ascii="Calibri" w:hAnsi="Calibri"/>
                <w:b w:val="0"/>
                <w:i w:val="0"/>
                <w:color w:val="202020"/>
                <w:sz w:val="17"/>
              </w:rPr>
              <w:t>Simulated Reviewed and Approved for Demo/Training Use Only. This wording confirms only a simulated review state and is not a real approval, validation conclusion, inspection record or operational release decision.</w:t>
            </w:r>
          </w:p>
        </w:tc>
      </w:tr>
    </w:tbl>
    <w:p>
      <w:pPr>
        <w:spacing w:after="0"/>
      </w:pPr>
    </w:p>
    <w:p>
      <w:pPr>
        <w:keepLines/>
      </w:pPr>
      <w:r>
        <w:t>Conclusion: NL-MES-IS-001 defines the logical integration baseline for all seven current MES interface families and assigns 60 detailed integration requirements with objective acceptance focus. The interface platform, technical contracts/mappings, environment values, security material, ownership agreements, design-review closure, verification results, operational controls and residual-risk acceptance remain open in the planned lifecycle.</w:t>
      </w:r>
    </w:p>
    <w:p>
      <w:pPr>
        <w:pStyle w:val="Heading2"/>
        <w:keepNext/>
        <w:keepLines/>
      </w:pPr>
      <w:r>
        <w:t>14.5 Final change record</w:t>
      </w:r>
    </w:p>
    <w:tbl>
      <w:tblPr>
        <w:tblStyle w:val="TableGrid"/>
        <w:tblW w:type="auto" w:w="0"/>
        <w:jc w:val="left"/>
        <w:tblLayout w:type="fixed"/>
        <w:tblLook w:firstColumn="1" w:firstRow="1" w:lastColumn="0" w:lastRow="0" w:noHBand="0" w:noVBand="1" w:val="04A0"/>
        <w:tblInd w:w="120" w:type="dxa"/>
      </w:tblPr>
      <w:tblGrid>
        <w:gridCol w:w="850"/>
        <w:gridCol w:w="1300"/>
        <w:gridCol w:w="4200"/>
        <w:gridCol w:w="3010"/>
      </w:tblGrid>
      <w:tr>
        <w:trPr>
          <w:tblHeader w:val="true"/>
          <w:cantSplit/>
        </w:trPr>
        <w:tc>
          <w:tcPr>
            <w:tcW w:type="dxa" w:w="85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Version</w:t>
            </w:r>
          </w:p>
        </w:tc>
        <w:tc>
          <w:tcPr>
            <w:tcW w:type="dxa" w:w="13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Date</w:t>
            </w:r>
          </w:p>
        </w:tc>
        <w:tc>
          <w:tcPr>
            <w:tcW w:type="dxa" w:w="420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Change</w:t>
            </w:r>
          </w:p>
        </w:tc>
        <w:tc>
          <w:tcPr>
            <w:tcW w:type="dxa" w:w="3010"/>
            <w:shd w:fill="0B2545"/>
            <w:tcMar>
              <w:top w:w="75" w:type="dxa"/>
              <w:start w:w="80" w:type="dxa"/>
              <w:bottom w:w="75" w:type="dxa"/>
              <w:end w:w="80" w:type="dxa"/>
            </w:tcMar>
            <w:vAlign w:val="center"/>
          </w:tcPr>
          <w:p>
            <w:pPr>
              <w:spacing w:before="0" w:after="0" w:line="240" w:lineRule="auto"/>
            </w:pPr>
            <w:r>
              <w:rPr>
                <w:rFonts w:ascii="Calibri" w:hAnsi="Calibri"/>
                <w:b/>
                <w:color w:val="FFFFFF"/>
                <w:sz w:val="15"/>
              </w:rPr>
              <w:t>Simulated status</w:t>
            </w:r>
          </w:p>
        </w:tc>
      </w:tr>
      <w:tr>
        <w:trPr>
          <w:trHeight w:hRule="atLeast"/>
          <w:cantSplit/>
        </w:trPr>
        <w:tc>
          <w:tcPr>
            <w:tcW w:type="dxa" w:w="850"/>
            <w:vAlign w:val="top"/>
            <w:tcMar>
              <w:top w:w="70" w:type="dxa"/>
              <w:start w:w="85" w:type="dxa"/>
              <w:bottom w:w="70" w:type="dxa"/>
              <w:end w:w="85" w:type="dxa"/>
            </w:tcMar>
            <w:shd w:fill="DCE6F1"/>
          </w:tcPr>
          <w:p>
            <w:pPr>
              <w:spacing w:before="0" w:after="0" w:line="240" w:lineRule="auto"/>
            </w:pPr>
            <w:r>
              <w:rPr>
                <w:rFonts w:ascii="Calibri" w:hAnsi="Calibri"/>
                <w:b/>
                <w:color w:val="1F4D78"/>
                <w:sz w:val="15"/>
              </w:rPr>
              <w:t>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5"/>
              </w:rPr>
              <w:t>10 Aug 2026</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5"/>
              </w:rPr>
              <w:t>Initial dummy Integration Specification with seven interface families and updated package traceability.</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5"/>
              </w:rPr>
              <w:t>Simulated Reviewed and Approved for Demo/Training Use Only.</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