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rFonts w:ascii="Calibri" w:hAnsi="Calibri"/>
          <w:b/>
          <w:sz w:val="18"/>
          <w:color w:val="1F4D78"/>
        </w:rPr>
        <w:t>DUMMY AUDIT SIMULATION PACKAGE | REQUIREMENT RISK BASELINE</w:t>
      </w:r>
    </w:p>
    <w:p>
      <w:pPr>
        <w:pStyle w:val="Title"/>
      </w:pPr>
      <w:r>
        <w:rPr>
          <w:rFonts w:ascii="Calibri" w:hAnsi="Calibri"/>
          <w:b/>
          <w:sz w:val="48"/>
          <w:color w:val="0B2545"/>
        </w:rPr>
        <w:t>IT Requirement Risk Assessment</w:t>
      </w:r>
    </w:p>
    <w:p>
      <w:pPr>
        <w:pStyle w:val="Subtitle"/>
      </w:pPr>
      <w:r>
        <w:rPr>
          <w:rFonts w:ascii="Calibri" w:hAnsi="Calibri"/>
          <w:b w:val="0"/>
          <w:sz w:val="26"/>
          <w:color w:val="1F4D78"/>
        </w:rPr>
        <w:t>MES PAS-X New Implementation | Novo Life</w:t>
      </w:r>
    </w:p>
    <w:p>
      <w:pPr>
        <w:pStyle w:val="Heading2"/>
      </w:pPr>
      <w:r>
        <w:rPr>
          <w:rFonts w:ascii="Calibri" w:hAnsi="Calibri"/>
          <w:b/>
          <w:sz w:val="26"/>
          <w:color w:val="2E74B5"/>
        </w:rPr>
        <w:t>Document control</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2300"/>
        <w:gridCol w:w="7060"/>
      </w:tblGrid>
      <w:tr>
        <w:trPr>
          <w:cantSplit/>
          <w:tblHeader w:val="true"/>
        </w:trPr>
        <w:tc>
          <w:tcPr>
            <w:tcW w:type="dxa" w:w="23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Control field</w:t>
            </w:r>
          </w:p>
        </w:tc>
        <w:tc>
          <w:tcPr>
            <w:tcW w:type="dxa" w:w="706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Value</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Document ID</w:t>
            </w:r>
          </w:p>
        </w:tc>
        <w:tc>
          <w:tcPr>
            <w:tcW w:type="dxa" w:w="7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NL-MES-ITRRA-001</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Version</w:t>
            </w:r>
          </w:p>
        </w:tc>
        <w:tc>
          <w:tcPr>
            <w:tcW w:type="dxa" w:w="7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0.1</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System / project</w:t>
            </w:r>
          </w:p>
        </w:tc>
        <w:tc>
          <w:tcPr>
            <w:tcW w:type="dxa" w:w="7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MES PAS-X new implementation for fictional organisation Novo Life</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Document classification</w:t>
            </w:r>
          </w:p>
        </w:tc>
        <w:tc>
          <w:tcPr>
            <w:tcW w:type="dxa" w:w="7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DUMMY - HACKATHON / TRAINING SIMULATION ONLY</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System criticality</w:t>
            </w:r>
          </w:p>
        </w:tc>
        <w:tc>
          <w:tcPr>
            <w:tcW w:type="dxa" w:w="7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GxP critical - working classification confirmed by NL-MES-SYS-001 and Q187219 context</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Assessment scope</w:t>
            </w:r>
          </w:p>
        </w:tc>
        <w:tc>
          <w:tcPr>
            <w:tcW w:type="dxa" w:w="7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ITRRA Part 1 overall IT-quality view plus Part 2 detailed assessment of exactly 50 baselined GxP URS</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Requirement classification</w:t>
            </w:r>
          </w:p>
        </w:tc>
        <w:tc>
          <w:tcPr>
            <w:tcW w:type="dxa" w:w="7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25 Functional | 25 Non-functional</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Risk register</w:t>
            </w:r>
          </w:p>
        </w:tc>
        <w:tc>
          <w:tcPr>
            <w:tcW w:type="dxa" w:w="7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RSK-MES-001 to RSK-MES-026 reused from NL-MES-ITRA-001; no new risk namespace</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Working portfolio</w:t>
            </w:r>
          </w:p>
        </w:tc>
        <w:tc>
          <w:tcPr>
            <w:tcW w:type="dxa" w:w="7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49 Working High | 1 Working Medium | 0 Working Low</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Risk method state</w:t>
            </w:r>
          </w:p>
        </w:tc>
        <w:tc>
          <w:tcPr>
            <w:tcW w:type="dxa" w:w="7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Working qualitative baseline; controlled Q0360643 formula/threshold implementation Verify</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Residual-risk state</w:t>
            </w:r>
          </w:p>
        </w:tc>
        <w:tc>
          <w:tcPr>
            <w:tcW w:type="dxa" w:w="7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Not rated; controls and verification evidence remain open; acceptance pending</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Document status</w:t>
            </w:r>
          </w:p>
        </w:tc>
        <w:tc>
          <w:tcPr>
            <w:tcW w:type="dxa" w:w="7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Simulated Reviewed and Approved for Demo/Training Use Only.</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Assessment date</w:t>
            </w:r>
          </w:p>
        </w:tc>
        <w:tc>
          <w:tcPr>
            <w:tcW w:type="dxa" w:w="7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10 Aug 2026</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Authoring role</w:t>
            </w:r>
          </w:p>
        </w:tc>
        <w:tc>
          <w:tcPr>
            <w:tcW w:type="dxa" w:w="7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Fictional Validation Lead / IT Risk Responsible</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Upstream records</w:t>
            </w:r>
          </w:p>
        </w:tc>
        <w:tc>
          <w:tcPr>
            <w:tcW w:type="dxa" w:w="7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NL-MES-MLGP-001; NL-MES-SYS-001; NL-MES-URS-001; NL-MES-ITRA-001</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Next controlled record</w:t>
            </w:r>
          </w:p>
        </w:tc>
        <w:tc>
          <w:tcPr>
            <w:tcW w:type="dxa" w:w="7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NL-MES-SUPA-001 - Supplier Assessment Report</w:t>
            </w:r>
          </w:p>
        </w:tc>
      </w:tr>
    </w:tbl>
    <w:p>
      <w:pPr>
        <w:spacing w:after="40"/>
      </w:pPr>
    </w:p>
    <w:p>
      <w:pPr>
        <w:spacing w:before="80" w:after="160"/>
        <w:ind w:left="120" w:right="120"/>
        <w:shd w:fill="FFF7DF"/>
        <w:pBdr>
          <w:left w:val="single" w:sz="18" w:space="4" w:color="7A5A00"/>
        </w:pBdr>
      </w:pPr>
      <w:r>
        <w:rPr>
          <w:rFonts w:ascii="Calibri" w:hAnsi="Calibri"/>
          <w:b/>
          <w:sz w:val="19"/>
          <w:color w:val="7A5A00"/>
        </w:rPr>
        <w:t xml:space="preserve">Simulation boundary. </w:t>
      </w:r>
      <w:r>
        <w:rPr>
          <w:rFonts w:ascii="Calibri" w:hAnsi="Calibri"/>
          <w:b w:val="0"/>
          <w:sz w:val="19"/>
          <w:color w:val="000000"/>
        </w:rPr>
        <w:t>This approved-looking record is fictional. Review entries approve only the training baseline; they do not constitute real Novo Nordisk approval, operational release, control effectiveness, numeric risk calculation, or residual-risk acceptance.</w:t>
      </w:r>
    </w:p>
    <w:p>
      <w:pPr>
        <w:pStyle w:val="Heading2"/>
      </w:pPr>
      <w:r>
        <w:rPr>
          <w:rFonts w:ascii="Calibri" w:hAnsi="Calibri"/>
          <w:b/>
          <w:sz w:val="26"/>
          <w:color w:val="2E74B5"/>
        </w:rPr>
        <w:t>Change log</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900"/>
        <w:gridCol w:w="1400"/>
        <w:gridCol w:w="2600"/>
        <w:gridCol w:w="4460"/>
      </w:tblGrid>
      <w:tr>
        <w:trPr>
          <w:cantSplit/>
          <w:tblHeader w:val="true"/>
        </w:trPr>
        <w:tc>
          <w:tcPr>
            <w:tcW w:type="dxa" w:w="90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Version</w:t>
            </w:r>
          </w:p>
        </w:tc>
        <w:tc>
          <w:tcPr>
            <w:tcW w:type="dxa" w:w="140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Date</w:t>
            </w:r>
          </w:p>
        </w:tc>
        <w:tc>
          <w:tcPr>
            <w:tcW w:type="dxa" w:w="26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Authoring role</w:t>
            </w:r>
          </w:p>
        </w:tc>
        <w:tc>
          <w:tcPr>
            <w:tcW w:type="dxa" w:w="446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Change description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0.1</w:t>
            </w:r>
          </w:p>
        </w:tc>
        <w:tc>
          <w:tcPr>
            <w:tcW w:type="dxa" w:w="14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10 Aug 2026</w:t>
            </w:r>
          </w:p>
        </w:tc>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Fictional Validation Lead / IT Risk Responsible</w:t>
            </w:r>
          </w:p>
        </w:tc>
        <w:tc>
          <w:tcPr>
            <w:tcW w:type="dxa" w:w="44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Initial ITRRA baseline: Part 1 overall quality-risk view, Part 2 assessment of 50 URS, verification-rigor assignment, shared-risk roll-up and live traceability update.</w:t>
            </w:r>
          </w:p>
        </w:tc>
      </w:tr>
    </w:tbl>
    <w:p>
      <w:pPr>
        <w:spacing w:after="40"/>
      </w:pPr>
    </w:p>
    <w:p>
      <w:pPr>
        <w:pStyle w:val="Heading2"/>
      </w:pPr>
      <w:r>
        <w:rPr>
          <w:rFonts w:ascii="Calibri" w:hAnsi="Calibri"/>
          <w:b/>
          <w:sz w:val="26"/>
          <w:color w:val="2E74B5"/>
        </w:rPr>
        <w:t>Simulated review and approval</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1900"/>
        <w:gridCol w:w="3500"/>
        <w:gridCol w:w="2100"/>
        <w:gridCol w:w="1860"/>
      </w:tblGrid>
      <w:tr>
        <w:trPr>
          <w:cantSplit/>
          <w:tblHeader w:val="true"/>
        </w:trPr>
        <w:tc>
          <w:tcPr>
            <w:tcW w:type="dxa" w:w="19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Role</w:t>
            </w:r>
          </w:p>
        </w:tc>
        <w:tc>
          <w:tcPr>
            <w:tcW w:type="dxa" w:w="35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Review / approval purpose</w:t>
            </w:r>
          </w:p>
        </w:tc>
        <w:tc>
          <w:tcPr>
            <w:tcW w:type="dxa" w:w="21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Simulation evidence</w:t>
            </w:r>
          </w:p>
        </w:tc>
        <w:tc>
          <w:tcPr>
            <w:tcW w:type="dxa" w:w="1860"/>
            <w:tcMar>
              <w:top w:w="70" w:type="dxa"/>
              <w:start w:w="120" w:type="dxa"/>
              <w:bottom w:w="70" w:type="dxa"/>
              <w:end w:w="120" w:type="dxa"/>
            </w:tcMar>
            <w:shd w:fill="0B2545"/>
            <w:vAlign w:val="center"/>
          </w:tcPr>
          <w:p>
            <w:pPr>
              <w:spacing w:before="0" w:after="0" w:line="240" w:lineRule="auto"/>
              <w:jc w:val="center"/>
            </w:pPr>
            <w:r/>
            <w:r>
              <w:rPr>
                <w:rFonts w:ascii="Calibri" w:hAnsi="Calibri"/>
                <w:b/>
                <w:sz w:val="15"/>
                <w:color w:val="FFFFFF"/>
              </w:rPr>
              <w:t>Status</w:t>
            </w:r>
          </w:p>
        </w:tc>
      </w:tr>
      <w:tr>
        <w:trPr>
          <w:cantSplit/>
        </w:trPr>
        <w:tc>
          <w:tcPr>
            <w:tcW w:type="dxa" w:w="19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Fictional IT Solution Owner</w:t>
            </w:r>
          </w:p>
        </w:tc>
        <w:tc>
          <w:tcPr>
            <w:tcW w:type="dxa" w:w="35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Accountability, intended-use alignment and downstream control ownership</w:t>
            </w:r>
          </w:p>
        </w:tc>
        <w:tc>
          <w:tcPr>
            <w:tcW w:type="dxa" w:w="21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Role-based simulated review; no signature</w:t>
            </w:r>
          </w:p>
        </w:tc>
        <w:tc>
          <w:tcPr>
            <w:tcW w:type="dxa" w:w="186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Simulated approved</w:t>
            </w:r>
          </w:p>
        </w:tc>
      </w:tr>
      <w:tr>
        <w:trPr>
          <w:cantSplit/>
        </w:trPr>
        <w:tc>
          <w:tcPr>
            <w:tcW w:type="dxa" w:w="1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Fictional Process Owner</w:t>
            </w:r>
          </w:p>
        </w:tc>
        <w:tc>
          <w:tcPr>
            <w:tcW w:type="dxa" w:w="3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Business-process impact, requirement intent and verification priority</w:t>
            </w:r>
          </w:p>
        </w:tc>
        <w:tc>
          <w:tcPr>
            <w:tcW w:type="dxa" w:w="21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Role-based simulated review; no signature</w:t>
            </w:r>
          </w:p>
        </w:tc>
        <w:tc>
          <w:tcPr>
            <w:tcW w:type="dxa" w:w="18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Simulated approved</w:t>
            </w:r>
          </w:p>
        </w:tc>
      </w:tr>
      <w:tr>
        <w:trPr>
          <w:cantSplit/>
        </w:trPr>
        <w:tc>
          <w:tcPr>
            <w:tcW w:type="dxa" w:w="19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Fictional Quality Assurance</w:t>
            </w:r>
          </w:p>
        </w:tc>
        <w:tc>
          <w:tcPr>
            <w:tcW w:type="dxa" w:w="35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Independent GxP/critical-aspect and open-risk review</w:t>
            </w:r>
          </w:p>
        </w:tc>
        <w:tc>
          <w:tcPr>
            <w:tcW w:type="dxa" w:w="21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Role-based simulated review; no signature</w:t>
            </w:r>
          </w:p>
        </w:tc>
        <w:tc>
          <w:tcPr>
            <w:tcW w:type="dxa" w:w="186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Simulated approved</w:t>
            </w:r>
          </w:p>
        </w:tc>
      </w:tr>
      <w:tr>
        <w:trPr>
          <w:cantSplit/>
        </w:trPr>
        <w:tc>
          <w:tcPr>
            <w:tcW w:type="dxa" w:w="1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Fictional Validation Lead</w:t>
            </w:r>
          </w:p>
        </w:tc>
        <w:tc>
          <w:tcPr>
            <w:tcW w:type="dxa" w:w="3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Method application, requirement coverage and traceability</w:t>
            </w:r>
          </w:p>
        </w:tc>
        <w:tc>
          <w:tcPr>
            <w:tcW w:type="dxa" w:w="21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Role-based simulated review; no signature</w:t>
            </w:r>
          </w:p>
        </w:tc>
        <w:tc>
          <w:tcPr>
            <w:tcW w:type="dxa" w:w="18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Simulated approved</w:t>
            </w:r>
          </w:p>
        </w:tc>
      </w:tr>
    </w:tbl>
    <w:p>
      <w:pPr>
        <w:spacing w:after="40"/>
      </w:pPr>
    </w:p>
    <w:p>
      <w:pPr>
        <w:keepLines w:val="0"/>
        <w:spacing w:after="100" w:line="252" w:lineRule="auto"/>
      </w:pPr>
      <w:r>
        <w:rPr>
          <w:rFonts w:ascii="Calibri" w:hAnsi="Calibri"/>
          <w:b/>
          <w:sz w:val="19"/>
          <w:color w:val="1F4D78"/>
        </w:rPr>
        <w:t>Approval distinction.</w:t>
      </w:r>
      <w:r>
        <w:rPr>
          <w:rFonts w:ascii="Calibri" w:hAnsi="Calibri"/>
          <w:sz w:val="19"/>
          <w:color w:val="000000"/>
        </w:rPr>
        <w:t xml:space="preserve"> This table records simulated approval of the ITRRA working baseline only. All 26 residual-risk ratings and acceptance decisions remain pending until controls are implemented, verified and accepted through the authorised fictional process.</w:t>
      </w:r>
    </w:p>
    <w:p>
      <w:r>
        <w:br w:type="page"/>
      </w:r>
    </w:p>
    <w:p>
      <w:pPr>
        <w:pStyle w:val="Heading1"/>
      </w:pPr>
      <w:r>
        <w:rPr>
          <w:rFonts w:ascii="Calibri" w:hAnsi="Calibri"/>
          <w:b/>
          <w:sz w:val="32"/>
          <w:color w:val="2E74B5"/>
        </w:rPr>
        <w:t>Contents</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1200"/>
        <w:gridCol w:w="8160"/>
      </w:tblGrid>
      <w:tr>
        <w:trPr>
          <w:cantSplit/>
          <w:tblHeader w:val="true"/>
        </w:trPr>
        <w:tc>
          <w:tcPr>
            <w:tcW w:type="dxa" w:w="1200"/>
            <w:tcMar>
              <w:top w:w="70" w:type="dxa"/>
              <w:start w:w="120" w:type="dxa"/>
              <w:bottom w:w="70" w:type="dxa"/>
              <w:end w:w="120" w:type="dxa"/>
            </w:tcMar>
            <w:shd w:fill="0B2545"/>
            <w:vAlign w:val="center"/>
          </w:tcPr>
          <w:p>
            <w:pPr>
              <w:spacing w:before="0" w:after="0" w:line="240" w:lineRule="auto"/>
              <w:jc w:val="center"/>
            </w:pPr>
            <w:r/>
            <w:r>
              <w:rPr>
                <w:rFonts w:ascii="Calibri" w:hAnsi="Calibri"/>
                <w:b/>
                <w:sz w:val="17"/>
                <w:color w:val="FFFFFF"/>
              </w:rPr>
              <w:t>Section</w:t>
            </w:r>
          </w:p>
        </w:tc>
        <w:tc>
          <w:tcPr>
            <w:tcW w:type="dxa" w:w="8160"/>
            <w:tcMar>
              <w:top w:w="70" w:type="dxa"/>
              <w:start w:w="120" w:type="dxa"/>
              <w:bottom w:w="70" w:type="dxa"/>
              <w:end w:w="120" w:type="dxa"/>
            </w:tcMar>
            <w:shd w:fill="0B2545"/>
            <w:vAlign w:val="center"/>
          </w:tcPr>
          <w:p>
            <w:pPr>
              <w:spacing w:before="0" w:after="0" w:line="240" w:lineRule="auto"/>
              <w:jc w:val="left"/>
            </w:pPr>
            <w:r/>
            <w:r>
              <w:rPr>
                <w:rFonts w:ascii="Calibri" w:hAnsi="Calibri"/>
                <w:b/>
                <w:sz w:val="17"/>
                <w:color w:val="FFFFFF"/>
              </w:rPr>
              <w:t>Title</w:t>
            </w:r>
          </w:p>
        </w:tc>
      </w:tr>
      <w:tr>
        <w:trPr>
          <w:cantSplit/>
        </w:trPr>
        <w:tc>
          <w:tcPr>
            <w:tcW w:type="dxa" w:w="1200"/>
            <w:tcMar>
              <w:top w:w="70" w:type="dxa"/>
              <w:start w:w="120" w:type="dxa"/>
              <w:bottom w:w="70" w:type="dxa"/>
              <w:end w:w="120" w:type="dxa"/>
            </w:tcMar>
            <w:vAlign w:val="center"/>
          </w:tcPr>
          <w:p>
            <w:pPr>
              <w:spacing w:before="0" w:after="0" w:line="240" w:lineRule="auto"/>
              <w:jc w:val="center"/>
            </w:pPr>
            <w:r/>
            <w:r>
              <w:rPr>
                <w:rFonts w:ascii="Calibri" w:hAnsi="Calibri"/>
                <w:b w:val="0"/>
                <w:sz w:val="17"/>
                <w:color w:val="000000"/>
              </w:rPr>
              <w:t>1</w:t>
            </w:r>
          </w:p>
        </w:tc>
        <w:tc>
          <w:tcPr>
            <w:tcW w:type="dxa" w:w="8160"/>
            <w:tcMar>
              <w:top w:w="70" w:type="dxa"/>
              <w:start w:w="120" w:type="dxa"/>
              <w:bottom w:w="70" w:type="dxa"/>
              <w:end w:w="120" w:type="dxa"/>
            </w:tcMar>
            <w:vAlign w:val="center"/>
          </w:tcPr>
          <w:p>
            <w:pPr>
              <w:spacing w:before="0" w:after="0" w:line="240" w:lineRule="auto"/>
              <w:jc w:val="left"/>
            </w:pPr>
            <w:r/>
            <w:r>
              <w:rPr>
                <w:rFonts w:ascii="Calibri" w:hAnsi="Calibri"/>
                <w:b w:val="0"/>
                <w:sz w:val="17"/>
                <w:color w:val="000000"/>
              </w:rPr>
              <w:t>Purpose and lifecycle relationship</w:t>
            </w:r>
          </w:p>
        </w:tc>
      </w:tr>
      <w:tr>
        <w:trPr>
          <w:cantSplit/>
        </w:trPr>
        <w:tc>
          <w:tcPr>
            <w:tcW w:type="dxa" w:w="12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7"/>
                <w:color w:val="000000"/>
              </w:rPr>
              <w:t>2</w:t>
            </w:r>
          </w:p>
        </w:tc>
        <w:tc>
          <w:tcPr>
            <w:tcW w:type="dxa" w:w="81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7"/>
                <w:color w:val="000000"/>
              </w:rPr>
              <w:t>Controlled source basis</w:t>
            </w:r>
          </w:p>
        </w:tc>
      </w:tr>
      <w:tr>
        <w:trPr>
          <w:cantSplit/>
        </w:trPr>
        <w:tc>
          <w:tcPr>
            <w:tcW w:type="dxa" w:w="1200"/>
            <w:tcMar>
              <w:top w:w="70" w:type="dxa"/>
              <w:start w:w="120" w:type="dxa"/>
              <w:bottom w:w="70" w:type="dxa"/>
              <w:end w:w="120" w:type="dxa"/>
            </w:tcMar>
            <w:vAlign w:val="center"/>
          </w:tcPr>
          <w:p>
            <w:pPr>
              <w:spacing w:before="0" w:after="0" w:line="240" w:lineRule="auto"/>
              <w:jc w:val="center"/>
            </w:pPr>
            <w:r/>
            <w:r>
              <w:rPr>
                <w:rFonts w:ascii="Calibri" w:hAnsi="Calibri"/>
                <w:b w:val="0"/>
                <w:sz w:val="17"/>
                <w:color w:val="000000"/>
              </w:rPr>
              <w:t>3</w:t>
            </w:r>
          </w:p>
        </w:tc>
        <w:tc>
          <w:tcPr>
            <w:tcW w:type="dxa" w:w="8160"/>
            <w:tcMar>
              <w:top w:w="70" w:type="dxa"/>
              <w:start w:w="120" w:type="dxa"/>
              <w:bottom w:w="70" w:type="dxa"/>
              <w:end w:w="120" w:type="dxa"/>
            </w:tcMar>
            <w:vAlign w:val="center"/>
          </w:tcPr>
          <w:p>
            <w:pPr>
              <w:spacing w:before="0" w:after="0" w:line="240" w:lineRule="auto"/>
              <w:jc w:val="left"/>
            </w:pPr>
            <w:r/>
            <w:r>
              <w:rPr>
                <w:rFonts w:ascii="Calibri" w:hAnsi="Calibri"/>
                <w:b w:val="0"/>
                <w:sz w:val="17"/>
                <w:color w:val="000000"/>
              </w:rPr>
              <w:t>ITRRA method and limitations</w:t>
            </w:r>
          </w:p>
        </w:tc>
      </w:tr>
      <w:tr>
        <w:trPr>
          <w:cantSplit/>
        </w:trPr>
        <w:tc>
          <w:tcPr>
            <w:tcW w:type="dxa" w:w="12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7"/>
                <w:color w:val="000000"/>
              </w:rPr>
              <w:t>4</w:t>
            </w:r>
          </w:p>
        </w:tc>
        <w:tc>
          <w:tcPr>
            <w:tcW w:type="dxa" w:w="81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7"/>
                <w:color w:val="000000"/>
              </w:rPr>
              <w:t>Part 1 - Overall IT quality risks</w:t>
            </w:r>
          </w:p>
        </w:tc>
      </w:tr>
      <w:tr>
        <w:trPr>
          <w:cantSplit/>
        </w:trPr>
        <w:tc>
          <w:tcPr>
            <w:tcW w:type="dxa" w:w="1200"/>
            <w:tcMar>
              <w:top w:w="70" w:type="dxa"/>
              <w:start w:w="120" w:type="dxa"/>
              <w:bottom w:w="70" w:type="dxa"/>
              <w:end w:w="120" w:type="dxa"/>
            </w:tcMar>
            <w:vAlign w:val="center"/>
          </w:tcPr>
          <w:p>
            <w:pPr>
              <w:spacing w:before="0" w:after="0" w:line="240" w:lineRule="auto"/>
              <w:jc w:val="center"/>
            </w:pPr>
            <w:r/>
            <w:r>
              <w:rPr>
                <w:rFonts w:ascii="Calibri" w:hAnsi="Calibri"/>
                <w:b w:val="0"/>
                <w:sz w:val="17"/>
                <w:color w:val="000000"/>
              </w:rPr>
              <w:t>5</w:t>
            </w:r>
          </w:p>
        </w:tc>
        <w:tc>
          <w:tcPr>
            <w:tcW w:type="dxa" w:w="8160"/>
            <w:tcMar>
              <w:top w:w="70" w:type="dxa"/>
              <w:start w:w="120" w:type="dxa"/>
              <w:bottom w:w="70" w:type="dxa"/>
              <w:end w:w="120" w:type="dxa"/>
            </w:tcMar>
            <w:vAlign w:val="center"/>
          </w:tcPr>
          <w:p>
            <w:pPr>
              <w:spacing w:before="0" w:after="0" w:line="240" w:lineRule="auto"/>
              <w:jc w:val="left"/>
            </w:pPr>
            <w:r/>
            <w:r>
              <w:rPr>
                <w:rFonts w:ascii="Calibri" w:hAnsi="Calibri"/>
                <w:b w:val="0"/>
                <w:sz w:val="17"/>
                <w:color w:val="000000"/>
              </w:rPr>
              <w:t>Part 2 - Detailed IT requirement risk assessment</w:t>
            </w:r>
          </w:p>
        </w:tc>
      </w:tr>
      <w:tr>
        <w:trPr>
          <w:cantSplit/>
        </w:trPr>
        <w:tc>
          <w:tcPr>
            <w:tcW w:type="dxa" w:w="12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7"/>
                <w:color w:val="000000"/>
              </w:rPr>
              <w:t>6</w:t>
            </w:r>
          </w:p>
        </w:tc>
        <w:tc>
          <w:tcPr>
            <w:tcW w:type="dxa" w:w="81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7"/>
                <w:color w:val="000000"/>
              </w:rPr>
              <w:t>Assessment summaries</w:t>
            </w:r>
          </w:p>
        </w:tc>
      </w:tr>
      <w:tr>
        <w:trPr>
          <w:cantSplit/>
        </w:trPr>
        <w:tc>
          <w:tcPr>
            <w:tcW w:type="dxa" w:w="1200"/>
            <w:tcMar>
              <w:top w:w="70" w:type="dxa"/>
              <w:start w:w="120" w:type="dxa"/>
              <w:bottom w:w="70" w:type="dxa"/>
              <w:end w:w="120" w:type="dxa"/>
            </w:tcMar>
            <w:vAlign w:val="center"/>
          </w:tcPr>
          <w:p>
            <w:pPr>
              <w:spacing w:before="0" w:after="0" w:line="240" w:lineRule="auto"/>
              <w:jc w:val="center"/>
            </w:pPr>
            <w:r/>
            <w:r>
              <w:rPr>
                <w:rFonts w:ascii="Calibri" w:hAnsi="Calibri"/>
                <w:b w:val="0"/>
                <w:sz w:val="17"/>
                <w:color w:val="000000"/>
              </w:rPr>
              <w:t>7</w:t>
            </w:r>
          </w:p>
        </w:tc>
        <w:tc>
          <w:tcPr>
            <w:tcW w:type="dxa" w:w="8160"/>
            <w:tcMar>
              <w:top w:w="70" w:type="dxa"/>
              <w:start w:w="120" w:type="dxa"/>
              <w:bottom w:w="70" w:type="dxa"/>
              <w:end w:w="120" w:type="dxa"/>
            </w:tcMar>
            <w:vAlign w:val="center"/>
          </w:tcPr>
          <w:p>
            <w:pPr>
              <w:spacing w:before="0" w:after="0" w:line="240" w:lineRule="auto"/>
              <w:jc w:val="left"/>
            </w:pPr>
            <w:r/>
            <w:r>
              <w:rPr>
                <w:rFonts w:ascii="Calibri" w:hAnsi="Calibri"/>
                <w:b w:val="0"/>
                <w:sz w:val="17"/>
                <w:color w:val="000000"/>
              </w:rPr>
              <w:t>Risk-based lifecycle activities</w:t>
            </w:r>
          </w:p>
        </w:tc>
      </w:tr>
      <w:tr>
        <w:trPr>
          <w:cantSplit/>
        </w:trPr>
        <w:tc>
          <w:tcPr>
            <w:tcW w:type="dxa" w:w="12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7"/>
                <w:color w:val="000000"/>
              </w:rPr>
              <w:t>8</w:t>
            </w:r>
          </w:p>
        </w:tc>
        <w:tc>
          <w:tcPr>
            <w:tcW w:type="dxa" w:w="81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7"/>
                <w:color w:val="000000"/>
              </w:rPr>
              <w:t>Shared master risk register update</w:t>
            </w:r>
          </w:p>
        </w:tc>
      </w:tr>
      <w:tr>
        <w:trPr>
          <w:cantSplit/>
        </w:trPr>
        <w:tc>
          <w:tcPr>
            <w:tcW w:type="dxa" w:w="1200"/>
            <w:tcMar>
              <w:top w:w="70" w:type="dxa"/>
              <w:start w:w="120" w:type="dxa"/>
              <w:bottom w:w="70" w:type="dxa"/>
              <w:end w:w="120" w:type="dxa"/>
            </w:tcMar>
            <w:vAlign w:val="center"/>
          </w:tcPr>
          <w:p>
            <w:pPr>
              <w:spacing w:before="0" w:after="0" w:line="240" w:lineRule="auto"/>
              <w:jc w:val="center"/>
            </w:pPr>
            <w:r/>
            <w:r>
              <w:rPr>
                <w:rFonts w:ascii="Calibri" w:hAnsi="Calibri"/>
                <w:b w:val="0"/>
                <w:sz w:val="17"/>
                <w:color w:val="000000"/>
              </w:rPr>
              <w:t>9</w:t>
            </w:r>
          </w:p>
        </w:tc>
        <w:tc>
          <w:tcPr>
            <w:tcW w:type="dxa" w:w="8160"/>
            <w:tcMar>
              <w:top w:w="70" w:type="dxa"/>
              <w:start w:w="120" w:type="dxa"/>
              <w:bottom w:w="70" w:type="dxa"/>
              <w:end w:w="120" w:type="dxa"/>
            </w:tcMar>
            <w:vAlign w:val="center"/>
          </w:tcPr>
          <w:p>
            <w:pPr>
              <w:spacing w:before="0" w:after="0" w:line="240" w:lineRule="auto"/>
              <w:jc w:val="left"/>
            </w:pPr>
            <w:r/>
            <w:r>
              <w:rPr>
                <w:rFonts w:ascii="Calibri" w:hAnsi="Calibri"/>
                <w:b w:val="0"/>
                <w:sz w:val="17"/>
                <w:color w:val="000000"/>
              </w:rPr>
              <w:t>Live traceability register update</w:t>
            </w:r>
          </w:p>
        </w:tc>
      </w:tr>
      <w:tr>
        <w:trPr>
          <w:cantSplit/>
        </w:trPr>
        <w:tc>
          <w:tcPr>
            <w:tcW w:type="dxa" w:w="12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7"/>
                <w:color w:val="000000"/>
              </w:rPr>
              <w:t>10</w:t>
            </w:r>
          </w:p>
        </w:tc>
        <w:tc>
          <w:tcPr>
            <w:tcW w:type="dxa" w:w="81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7"/>
                <w:color w:val="000000"/>
              </w:rPr>
              <w:t>Decisions, acceptance and open state</w:t>
            </w:r>
          </w:p>
        </w:tc>
      </w:tr>
      <w:tr>
        <w:trPr>
          <w:cantSplit/>
        </w:trPr>
        <w:tc>
          <w:tcPr>
            <w:tcW w:type="dxa" w:w="1200"/>
            <w:tcMar>
              <w:top w:w="70" w:type="dxa"/>
              <w:start w:w="120" w:type="dxa"/>
              <w:bottom w:w="70" w:type="dxa"/>
              <w:end w:w="120" w:type="dxa"/>
            </w:tcMar>
            <w:vAlign w:val="center"/>
          </w:tcPr>
          <w:p>
            <w:pPr>
              <w:spacing w:before="0" w:after="0" w:line="240" w:lineRule="auto"/>
              <w:jc w:val="center"/>
            </w:pPr>
            <w:r/>
            <w:r>
              <w:rPr>
                <w:rFonts w:ascii="Calibri" w:hAnsi="Calibri"/>
                <w:b w:val="0"/>
                <w:sz w:val="17"/>
                <w:color w:val="000000"/>
              </w:rPr>
              <w:t>11</w:t>
            </w:r>
          </w:p>
        </w:tc>
        <w:tc>
          <w:tcPr>
            <w:tcW w:type="dxa" w:w="8160"/>
            <w:tcMar>
              <w:top w:w="70" w:type="dxa"/>
              <w:start w:w="120" w:type="dxa"/>
              <w:bottom w:w="70" w:type="dxa"/>
              <w:end w:w="120" w:type="dxa"/>
            </w:tcMar>
            <w:vAlign w:val="center"/>
          </w:tcPr>
          <w:p>
            <w:pPr>
              <w:spacing w:before="0" w:after="0" w:line="240" w:lineRule="auto"/>
              <w:jc w:val="left"/>
            </w:pPr>
            <w:r/>
            <w:r>
              <w:rPr>
                <w:rFonts w:ascii="Calibri" w:hAnsi="Calibri"/>
                <w:b w:val="0"/>
                <w:sz w:val="17"/>
                <w:color w:val="000000"/>
              </w:rPr>
              <w:t>Maintenance and review</w:t>
            </w:r>
          </w:p>
        </w:tc>
      </w:tr>
      <w:tr>
        <w:trPr>
          <w:cantSplit/>
        </w:trPr>
        <w:tc>
          <w:tcPr>
            <w:tcW w:type="dxa" w:w="12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7"/>
                <w:color w:val="000000"/>
              </w:rPr>
              <w:t>12</w:t>
            </w:r>
          </w:p>
        </w:tc>
        <w:tc>
          <w:tcPr>
            <w:tcW w:type="dxa" w:w="81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7"/>
                <w:color w:val="000000"/>
              </w:rPr>
              <w:t>Assumptions and Verify register</w:t>
            </w:r>
          </w:p>
        </w:tc>
      </w:tr>
      <w:tr>
        <w:trPr>
          <w:cantSplit/>
        </w:trPr>
        <w:tc>
          <w:tcPr>
            <w:tcW w:type="dxa" w:w="1200"/>
            <w:tcMar>
              <w:top w:w="70" w:type="dxa"/>
              <w:start w:w="120" w:type="dxa"/>
              <w:bottom w:w="70" w:type="dxa"/>
              <w:end w:w="120" w:type="dxa"/>
            </w:tcMar>
            <w:vAlign w:val="center"/>
          </w:tcPr>
          <w:p>
            <w:pPr>
              <w:spacing w:before="0" w:after="0" w:line="240" w:lineRule="auto"/>
              <w:jc w:val="center"/>
            </w:pPr>
            <w:r/>
            <w:r>
              <w:rPr>
                <w:rFonts w:ascii="Calibri" w:hAnsi="Calibri"/>
                <w:b w:val="0"/>
                <w:sz w:val="17"/>
                <w:color w:val="000000"/>
              </w:rPr>
              <w:t>13</w:t>
            </w:r>
          </w:p>
        </w:tc>
        <w:tc>
          <w:tcPr>
            <w:tcW w:type="dxa" w:w="8160"/>
            <w:tcMar>
              <w:top w:w="70" w:type="dxa"/>
              <w:start w:w="120" w:type="dxa"/>
              <w:bottom w:w="70" w:type="dxa"/>
              <w:end w:w="120" w:type="dxa"/>
            </w:tcMar>
            <w:vAlign w:val="center"/>
          </w:tcPr>
          <w:p>
            <w:pPr>
              <w:spacing w:before="0" w:after="0" w:line="240" w:lineRule="auto"/>
              <w:jc w:val="left"/>
            </w:pPr>
            <w:r/>
            <w:r>
              <w:rPr>
                <w:rFonts w:ascii="Calibri" w:hAnsi="Calibri"/>
                <w:b w:val="0"/>
                <w:sz w:val="17"/>
                <w:color w:val="000000"/>
              </w:rPr>
              <w:t>Quality gate</w:t>
            </w:r>
          </w:p>
        </w:tc>
      </w:tr>
      <w:tr>
        <w:trPr>
          <w:cantSplit/>
        </w:trPr>
        <w:tc>
          <w:tcPr>
            <w:tcW w:type="dxa" w:w="12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7"/>
                <w:color w:val="000000"/>
              </w:rPr>
              <w:t>14</w:t>
            </w:r>
          </w:p>
        </w:tc>
        <w:tc>
          <w:tcPr>
            <w:tcW w:type="dxa" w:w="81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7"/>
                <w:color w:val="000000"/>
              </w:rPr>
              <w:t>Glossary, final status and change log</w:t>
            </w:r>
          </w:p>
        </w:tc>
      </w:tr>
    </w:tbl>
    <w:p>
      <w:pPr>
        <w:spacing w:after="40"/>
      </w:pPr>
    </w:p>
    <w:p>
      <w:pPr>
        <w:pStyle w:val="Heading1"/>
      </w:pPr>
      <w:r>
        <w:rPr>
          <w:rFonts w:ascii="Calibri" w:hAnsi="Calibri"/>
          <w:b/>
          <w:sz w:val="32"/>
          <w:color w:val="2E74B5"/>
        </w:rPr>
        <w:t>Executive summary</w:t>
      </w:r>
    </w:p>
    <w:p>
      <w:pPr>
        <w:keepLines w:val="0"/>
        <w:spacing w:after="100" w:line="252" w:lineRule="auto"/>
      </w:pPr>
      <w:r>
        <w:rPr>
          <w:rFonts w:ascii="Calibri" w:hAnsi="Calibri"/>
          <w:sz w:val="21"/>
          <w:color w:val="000000"/>
        </w:rPr>
        <w:t>NL-MES-ITRRA-001 applies the two-part structure described in Q0861822 to the current conceptual MES PAS-X implementation. Part 1 examines overall IT quality risks; Part 2 assesses every one of the 50 baselined GxP user requirements and assigns a provisional verification-rigor route.</w:t>
      </w:r>
    </w:p>
    <w:p>
      <w:pPr>
        <w:keepLines w:val="0"/>
        <w:spacing w:after="100" w:line="252" w:lineRule="auto"/>
      </w:pPr>
      <w:r>
        <w:rPr>
          <w:rFonts w:ascii="Calibri" w:hAnsi="Calibri"/>
          <w:sz w:val="21"/>
          <w:color w:val="000000"/>
        </w:rPr>
        <w:t>The requirement portfolio contains 25 functional and 25 non-functional requirements. Using the maximum working level of each requirement's linked RSK-MES record, 49 requirements are Working High and URS-MES-025 is Working Medium. No requirement is Working Low and no requirement is excluded from verification.</w:t>
      </w:r>
    </w:p>
    <w:p>
      <w:pPr>
        <w:keepLines w:val="0"/>
        <w:spacing w:after="100" w:line="252" w:lineRule="auto"/>
      </w:pPr>
      <w:r>
        <w:rPr>
          <w:rFonts w:ascii="Calibri" w:hAnsi="Calibri"/>
          <w:sz w:val="21"/>
          <w:color w:val="000000"/>
        </w:rPr>
        <w:t>The supplied Q0360643 PDF exposes factor names, category definitions and weights, but not the controlled workbook formulas and threshold implementation needed to reproduce its automatic totals and final composite classifications. This document therefore records explicit working factor selections and qualitative levels without claiming numeric scores or final Q0360643 calculations.</w:t>
      </w:r>
    </w:p>
    <w:p>
      <w:pPr>
        <w:spacing w:before="80" w:after="160"/>
        <w:ind w:left="120" w:right="120"/>
        <w:shd w:fill="E2F0D9"/>
        <w:pBdr>
          <w:left w:val="single" w:sz="18" w:space="4" w:color="375623"/>
        </w:pBdr>
      </w:pPr>
      <w:r>
        <w:rPr>
          <w:rFonts w:ascii="Calibri" w:hAnsi="Calibri"/>
          <w:b/>
          <w:sz w:val="19"/>
          <w:color w:val="375623"/>
        </w:rPr>
        <w:t xml:space="preserve">Decision. </w:t>
      </w:r>
      <w:r>
        <w:rPr>
          <w:rFonts w:ascii="Calibri" w:hAnsi="Calibri"/>
          <w:b w:val="0"/>
          <w:sz w:val="19"/>
          <w:color w:val="000000"/>
        </w:rPr>
        <w:t>The ITRRA baseline is suitable to drive supplier assessment, functional/design/configuration work and risk-based verification planning. It is not evidence that design controls are implemented, tests are executed, residual risks are acceptable, or the system is ready for release.</w:t>
      </w:r>
    </w:p>
    <w:p>
      <w:pPr>
        <w:pStyle w:val="Heading1"/>
      </w:pPr>
      <w:r>
        <w:rPr>
          <w:rFonts w:ascii="Calibri" w:hAnsi="Calibri"/>
          <w:b/>
          <w:sz w:val="32"/>
          <w:color w:val="2E74B5"/>
        </w:rPr>
        <w:t>1 Purpose and lifecycle relationship</w:t>
      </w:r>
    </w:p>
    <w:p>
      <w:pPr>
        <w:pStyle w:val="Heading2"/>
      </w:pPr>
      <w:r>
        <w:rPr>
          <w:rFonts w:ascii="Calibri" w:hAnsi="Calibri"/>
          <w:b/>
          <w:sz w:val="26"/>
          <w:color w:val="2E74B5"/>
        </w:rPr>
        <w:t>1.1 Purpose</w:t>
      </w:r>
    </w:p>
    <w:p>
      <w:pPr>
        <w:keepLines w:val="0"/>
        <w:spacing w:after="100" w:line="252" w:lineRule="auto"/>
      </w:pPr>
      <w:r>
        <w:rPr>
          <w:rFonts w:ascii="Calibri" w:hAnsi="Calibri"/>
          <w:sz w:val="21"/>
          <w:color w:val="000000"/>
        </w:rPr>
        <w:t>The purpose of this record is to identify quality risks at the individual requirement level, document the available business and technical risk factors, reuse the controlled system-risk namespace, define required lifecycle activities and maintain end-to-end traceability for the Novo Life MES PAS-X simulation.</w:t>
      </w:r>
    </w:p>
    <w:p>
      <w:pPr>
        <w:pStyle w:val="Heading2"/>
      </w:pPr>
      <w:r>
        <w:rPr>
          <w:rFonts w:ascii="Calibri" w:hAnsi="Calibri"/>
          <w:b/>
          <w:sz w:val="26"/>
          <w:color w:val="2E74B5"/>
        </w:rPr>
        <w:t>1.2 Objectives</w:t>
      </w:r>
    </w:p>
    <w:p>
      <w:pPr>
        <w:pStyle w:val="ListBullet"/>
        <w:spacing w:after="60" w:line="240" w:lineRule="auto"/>
      </w:pPr>
      <w:r>
        <w:rPr>
          <w:rFonts w:ascii="Calibri" w:hAnsi="Calibri"/>
          <w:sz w:val="20"/>
          <w:color w:val="000000"/>
        </w:rPr>
        <w:t>Apply the Q0861822 Part 1 and Part 2 concepts without inventing unavailable calculation logic.</w:t>
      </w:r>
    </w:p>
    <w:p>
      <w:pPr>
        <w:pStyle w:val="ListBullet"/>
        <w:spacing w:after="60" w:line="240" w:lineRule="auto"/>
      </w:pPr>
      <w:r>
        <w:rPr>
          <w:rFonts w:ascii="Calibri" w:hAnsi="Calibri"/>
          <w:sz w:val="20"/>
          <w:color w:val="000000"/>
        </w:rPr>
        <w:t>Assess exactly URS-MES-001 through URS-MES-050; preserve their IDs, statements and GxP relevance.</w:t>
      </w:r>
    </w:p>
    <w:p>
      <w:pPr>
        <w:pStyle w:val="ListBullet"/>
        <w:spacing w:after="60" w:line="240" w:lineRule="auto"/>
      </w:pPr>
      <w:r>
        <w:rPr>
          <w:rFonts w:ascii="Calibri" w:hAnsi="Calibri"/>
          <w:sz w:val="20"/>
          <w:color w:val="000000"/>
        </w:rPr>
        <w:t>Reuse only RSK-MES-001 through RSK-MES-026 and keep the ITRA gross/residual and acceptance state coherent.</w:t>
      </w:r>
    </w:p>
    <w:p>
      <w:pPr>
        <w:pStyle w:val="ListBullet"/>
        <w:spacing w:after="60" w:line="240" w:lineRule="auto"/>
      </w:pPr>
      <w:r>
        <w:rPr>
          <w:rFonts w:ascii="Calibri" w:hAnsi="Calibri"/>
          <w:sz w:val="20"/>
          <w:color w:val="000000"/>
        </w:rPr>
        <w:t>Distinguish functional from non-functional requirements and show the applicable working factor basis.</w:t>
      </w:r>
    </w:p>
    <w:p>
      <w:pPr>
        <w:pStyle w:val="ListBullet"/>
        <w:spacing w:after="60" w:line="240" w:lineRule="auto"/>
      </w:pPr>
      <w:r>
        <w:rPr>
          <w:rFonts w:ascii="Calibri" w:hAnsi="Calibri"/>
          <w:sz w:val="20"/>
          <w:color w:val="000000"/>
        </w:rPr>
        <w:t>Assign provisional verification rigor while leaving downstream design and test evidence identifiers unassigned.</w:t>
      </w:r>
    </w:p>
    <w:p>
      <w:pPr>
        <w:pStyle w:val="ListBullet"/>
        <w:spacing w:after="60" w:line="240" w:lineRule="auto"/>
      </w:pPr>
      <w:r>
        <w:rPr>
          <w:rFonts w:ascii="Calibri" w:hAnsi="Calibri"/>
          <w:sz w:val="20"/>
          <w:color w:val="000000"/>
        </w:rPr>
        <w:t>Update the shared risk and 16-field live traceability registers without hiding open lifecycle evidence.</w:t>
      </w:r>
    </w:p>
    <w:p>
      <w:pPr>
        <w:pStyle w:val="Heading2"/>
      </w:pPr>
      <w:r>
        <w:rPr>
          <w:rFonts w:ascii="Calibri" w:hAnsi="Calibri"/>
          <w:b/>
          <w:sz w:val="26"/>
          <w:color w:val="2E74B5"/>
        </w:rPr>
        <w:t>1.3 Scope and exclusions</w:t>
      </w:r>
    </w:p>
    <w:p>
      <w:pPr>
        <w:pStyle w:val="ListBullet"/>
        <w:spacing w:after="60" w:line="240" w:lineRule="auto"/>
      </w:pPr>
      <w:r>
        <w:rPr>
          <w:rFonts w:ascii="Calibri" w:hAnsi="Calibri"/>
          <w:sz w:val="20"/>
          <w:color w:val="000000"/>
        </w:rPr>
        <w:t>In scope: intended-use and overall quality-risk review; functional and non-functional requirement risk; linked risks; control objectives; control ownership; verification rigor; register updates; maintenance triggers.</w:t>
      </w:r>
    </w:p>
    <w:p>
      <w:pPr>
        <w:pStyle w:val="ListBullet"/>
        <w:spacing w:after="60" w:line="240" w:lineRule="auto"/>
      </w:pPr>
      <w:r>
        <w:rPr>
          <w:rFonts w:ascii="Calibri" w:hAnsi="Calibri"/>
          <w:sz w:val="20"/>
          <w:color w:val="000000"/>
        </w:rPr>
        <w:t>Out of scope: real ServiceNow IRM entries, actual PAS-X design/configuration classification, supplier evidence, numeric Q0360643 workbook calculation, executed test evidence, deviations, defects, operational release and residual-risk acceptance.</w:t>
      </w:r>
    </w:p>
    <w:p>
      <w:pPr>
        <w:pStyle w:val="ListBullet"/>
        <w:spacing w:after="60" w:line="240" w:lineRule="auto"/>
      </w:pPr>
      <w:r>
        <w:rPr>
          <w:rFonts w:ascii="Calibri" w:hAnsi="Calibri"/>
          <w:sz w:val="20"/>
          <w:color w:val="000000"/>
        </w:rPr>
        <w:t>All roles, review entries and dates are fictional and exist only for this demo/training simulation.</w:t>
      </w:r>
    </w:p>
    <w:p>
      <w:pPr>
        <w:pStyle w:val="Heading2"/>
      </w:pPr>
      <w:r>
        <w:rPr>
          <w:rFonts w:ascii="Calibri" w:hAnsi="Calibri"/>
          <w:b/>
          <w:sz w:val="26"/>
          <w:color w:val="2E74B5"/>
        </w:rPr>
        <w:t>1.4 Lifecycle relationships</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1700"/>
        <w:gridCol w:w="2300"/>
        <w:gridCol w:w="5360"/>
      </w:tblGrid>
      <w:tr>
        <w:trPr>
          <w:cantSplit/>
          <w:tblHeader w:val="true"/>
        </w:trPr>
        <w:tc>
          <w:tcPr>
            <w:tcW w:type="dxa" w:w="17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Relationship</w:t>
            </w:r>
          </w:p>
        </w:tc>
        <w:tc>
          <w:tcPr>
            <w:tcW w:type="dxa" w:w="23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Document / record</w:t>
            </w:r>
          </w:p>
        </w:tc>
        <w:tc>
          <w:tcPr>
            <w:tcW w:type="dxa" w:w="536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How this ITRRA links</w:t>
            </w:r>
          </w:p>
        </w:tc>
      </w:tr>
      <w:tr>
        <w:trPr>
          <w:cantSplit/>
        </w:trPr>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Governance</w:t>
            </w:r>
          </w:p>
        </w:tc>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NL-MES-MLGP-001</w:t>
            </w:r>
          </w:p>
        </w:tc>
        <w:tc>
          <w:tcPr>
            <w:tcW w:type="dxa" w:w="53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Controls sequence, IDs, registers, status wording and quality gates.</w:t>
            </w:r>
          </w:p>
        </w:tc>
      </w:tr>
      <w:tr>
        <w:trPr>
          <w:cantSplit/>
        </w:trPr>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System boundary</w:t>
            </w:r>
          </w:p>
        </w:tc>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NL-MES-SYS-001</w:t>
            </w:r>
          </w:p>
        </w:tc>
        <w:tc>
          <w:tcPr>
            <w:tcW w:type="dxa" w:w="5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Provides intended use, GxP criticality, components, interfaces and open architecture assumptions.</w:t>
            </w:r>
          </w:p>
        </w:tc>
      </w:tr>
      <w:tr>
        <w:trPr>
          <w:cantSplit/>
        </w:trPr>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Implementation</w:t>
            </w:r>
          </w:p>
        </w:tc>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NL-MES-IPLAN-001</w:t>
            </w:r>
          </w:p>
        </w:tc>
        <w:tc>
          <w:tcPr>
            <w:tcW w:type="dxa" w:w="53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Provides lifecycle delivery, dependency and acceptance planning.</w:t>
            </w:r>
          </w:p>
        </w:tc>
      </w:tr>
      <w:tr>
        <w:trPr>
          <w:cantSplit/>
        </w:trPr>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Requirements</w:t>
            </w:r>
          </w:p>
        </w:tc>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NL-MES-URS-001</w:t>
            </w:r>
          </w:p>
        </w:tc>
        <w:tc>
          <w:tcPr>
            <w:tcW w:type="dxa" w:w="5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Provides exactly 50 controlled GxP requirements and statements.</w:t>
            </w:r>
          </w:p>
        </w:tc>
      </w:tr>
      <w:tr>
        <w:trPr>
          <w:cantSplit/>
        </w:trPr>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System risk</w:t>
            </w:r>
          </w:p>
        </w:tc>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NL-MES-ITRA-001</w:t>
            </w:r>
          </w:p>
        </w:tc>
        <w:tc>
          <w:tcPr>
            <w:tcW w:type="dxa" w:w="53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Provides RSK-MES-001 to 026, working gross levels, controls, owners and open residual state.</w:t>
            </w:r>
          </w:p>
        </w:tc>
      </w:tr>
      <w:tr>
        <w:trPr>
          <w:cantSplit/>
        </w:trPr>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Current record</w:t>
            </w:r>
          </w:p>
        </w:tc>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NL-MES-ITRRA-001</w:t>
            </w:r>
          </w:p>
        </w:tc>
        <w:tc>
          <w:tcPr>
            <w:tcW w:type="dxa" w:w="5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Adds requirement class, factor basis, working level and provisional verification rigor.</w:t>
            </w:r>
          </w:p>
        </w:tc>
      </w:tr>
      <w:tr>
        <w:trPr>
          <w:cantSplit/>
        </w:trPr>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Immediate downstream</w:t>
            </w:r>
          </w:p>
        </w:tc>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NL-MES-SUPA-001</w:t>
            </w:r>
          </w:p>
        </w:tc>
        <w:tc>
          <w:tcPr>
            <w:tcW w:type="dxa" w:w="53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Assesses supplier/service-provider capability and evidence against linked risks and requirements.</w:t>
            </w:r>
          </w:p>
        </w:tc>
      </w:tr>
      <w:tr>
        <w:trPr>
          <w:cantSplit/>
        </w:trPr>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Design downstream</w:t>
            </w:r>
          </w:p>
        </w:tc>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NL-MES-FS/IS/DS/CS-001</w:t>
            </w:r>
          </w:p>
        </w:tc>
        <w:tc>
          <w:tcPr>
            <w:tcW w:type="dxa" w:w="5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Must define functions, interfaces, architecture and configuration that realise the control objectives.</w:t>
            </w:r>
          </w:p>
        </w:tc>
      </w:tr>
      <w:tr>
        <w:trPr>
          <w:cantSplit/>
        </w:trPr>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Assurance downstream</w:t>
            </w:r>
          </w:p>
        </w:tc>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NL-MES-DIA/DRR/TRM/IQP/IQTC-001</w:t>
            </w:r>
          </w:p>
        </w:tc>
        <w:tc>
          <w:tcPr>
            <w:tcW w:type="dxa" w:w="53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Must use the ITRRA rigor, create controlled evidence IDs and close or expose gaps.</w:t>
            </w:r>
          </w:p>
        </w:tc>
      </w:tr>
    </w:tbl>
    <w:p>
      <w:pPr>
        <w:spacing w:after="40"/>
      </w:pPr>
    </w:p>
    <w:p>
      <w:pPr>
        <w:spacing w:before="80" w:after="160"/>
        <w:ind w:left="120" w:right="120"/>
        <w:shd w:fill="E8EEF5"/>
        <w:pBdr>
          <w:left w:val="single" w:sz="18" w:space="4" w:color="1F4D78"/>
        </w:pBdr>
      </w:pPr>
      <w:r>
        <w:rPr>
          <w:rFonts w:ascii="Calibri" w:hAnsi="Calibri"/>
          <w:b/>
          <w:sz w:val="19"/>
          <w:color w:val="1F4D78"/>
        </w:rPr>
        <w:t xml:space="preserve">Identifier control. </w:t>
      </w:r>
      <w:r>
        <w:rPr>
          <w:rFonts w:ascii="Calibri" w:hAnsi="Calibri"/>
          <w:b w:val="0"/>
          <w:sz w:val="19"/>
          <w:color w:val="000000"/>
        </w:rPr>
        <w:t>A downstream record may cite only existing URS-MES and RSK-MES identifiers. Proposed new requirements or risks must first be assessed in their master register and propagated through the shared traceability model.</w:t>
      </w:r>
    </w:p>
    <w:p>
      <w:pPr>
        <w:pStyle w:val="Heading1"/>
      </w:pPr>
      <w:r>
        <w:rPr>
          <w:rFonts w:ascii="Calibri" w:hAnsi="Calibri"/>
          <w:b/>
          <w:sz w:val="32"/>
          <w:color w:val="2E74B5"/>
        </w:rPr>
        <w:t>2 Controlled source basis</w:t>
      </w:r>
    </w:p>
    <w:p>
      <w:pPr>
        <w:pStyle w:val="Heading2"/>
      </w:pPr>
      <w:r>
        <w:rPr>
          <w:rFonts w:ascii="Calibri" w:hAnsi="Calibri"/>
          <w:b/>
          <w:sz w:val="26"/>
          <w:color w:val="2E74B5"/>
        </w:rPr>
        <w:t>2.1 Source register</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650"/>
        <w:gridCol w:w="2550"/>
        <w:gridCol w:w="2750"/>
        <w:gridCol w:w="3410"/>
      </w:tblGrid>
      <w:tr>
        <w:trPr>
          <w:cantSplit/>
          <w:tblHeader w:val="true"/>
        </w:trPr>
        <w:tc>
          <w:tcPr>
            <w:tcW w:type="dxa" w:w="650"/>
            <w:tcMar>
              <w:top w:w="70" w:type="dxa"/>
              <w:start w:w="120" w:type="dxa"/>
              <w:bottom w:w="70" w:type="dxa"/>
              <w:end w:w="120" w:type="dxa"/>
            </w:tcMar>
            <w:shd w:fill="0B2545"/>
            <w:vAlign w:val="center"/>
          </w:tcPr>
          <w:p>
            <w:pPr>
              <w:spacing w:before="0" w:after="0" w:line="240" w:lineRule="auto"/>
              <w:jc w:val="center"/>
            </w:pPr>
            <w:r/>
            <w:r>
              <w:rPr>
                <w:rFonts w:ascii="Calibri" w:hAnsi="Calibri"/>
                <w:b/>
                <w:sz w:val="14"/>
                <w:color w:val="FFFFFF"/>
              </w:rPr>
              <w:t>Ref.</w:t>
            </w:r>
          </w:p>
        </w:tc>
        <w:tc>
          <w:tcPr>
            <w:tcW w:type="dxa" w:w="2550"/>
            <w:tcMar>
              <w:top w:w="70" w:type="dxa"/>
              <w:start w:w="120" w:type="dxa"/>
              <w:bottom w:w="70" w:type="dxa"/>
              <w:end w:w="120" w:type="dxa"/>
            </w:tcMar>
            <w:shd w:fill="0B2545"/>
            <w:vAlign w:val="center"/>
          </w:tcPr>
          <w:p>
            <w:pPr>
              <w:spacing w:before="0" w:after="0" w:line="240" w:lineRule="auto"/>
              <w:jc w:val="left"/>
            </w:pPr>
            <w:r/>
            <w:r>
              <w:rPr>
                <w:rFonts w:ascii="Calibri" w:hAnsi="Calibri"/>
                <w:b/>
                <w:sz w:val="14"/>
                <w:color w:val="FFFFFF"/>
              </w:rPr>
              <w:t>Source document</w:t>
            </w:r>
          </w:p>
        </w:tc>
        <w:tc>
          <w:tcPr>
            <w:tcW w:type="dxa" w:w="2750"/>
            <w:tcMar>
              <w:top w:w="70" w:type="dxa"/>
              <w:start w:w="120" w:type="dxa"/>
              <w:bottom w:w="70" w:type="dxa"/>
              <w:end w:w="120" w:type="dxa"/>
            </w:tcMar>
            <w:shd w:fill="0B2545"/>
            <w:vAlign w:val="center"/>
          </w:tcPr>
          <w:p>
            <w:pPr>
              <w:spacing w:before="0" w:after="0" w:line="240" w:lineRule="auto"/>
              <w:jc w:val="left"/>
            </w:pPr>
            <w:r/>
            <w:r>
              <w:rPr>
                <w:rFonts w:ascii="Calibri" w:hAnsi="Calibri"/>
                <w:b/>
                <w:sz w:val="14"/>
                <w:color w:val="FFFFFF"/>
              </w:rPr>
              <w:t>Visible control information</w:t>
            </w:r>
          </w:p>
        </w:tc>
        <w:tc>
          <w:tcPr>
            <w:tcW w:type="dxa" w:w="3410"/>
            <w:tcMar>
              <w:top w:w="70" w:type="dxa"/>
              <w:start w:w="120" w:type="dxa"/>
              <w:bottom w:w="70" w:type="dxa"/>
              <w:end w:w="120" w:type="dxa"/>
            </w:tcMar>
            <w:shd w:fill="0B2545"/>
            <w:vAlign w:val="center"/>
          </w:tcPr>
          <w:p>
            <w:pPr>
              <w:spacing w:before="0" w:after="0" w:line="240" w:lineRule="auto"/>
              <w:jc w:val="left"/>
            </w:pPr>
            <w:r/>
            <w:r>
              <w:rPr>
                <w:rFonts w:ascii="Calibri" w:hAnsi="Calibri"/>
                <w:b/>
                <w:sz w:val="14"/>
                <w:color w:val="FFFFFF"/>
              </w:rPr>
              <w:t>Application in this ITRRA</w:t>
            </w:r>
          </w:p>
        </w:tc>
      </w:tr>
      <w:tr>
        <w:trPr>
          <w:cantSplit/>
        </w:trPr>
        <w:tc>
          <w:tcPr>
            <w:tcW w:type="dxa" w:w="6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D-01</w:t>
            </w:r>
          </w:p>
        </w:tc>
        <w:tc>
          <w:tcPr>
            <w:tcW w:type="dxa" w:w="255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Master Lifecycle Generation Plan</w:t>
            </w:r>
          </w:p>
        </w:tc>
        <w:tc>
          <w:tcPr>
            <w:tcW w:type="dxa" w:w="275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NL-MES-MLGP-001, v0.1</w:t>
            </w:r>
          </w:p>
        </w:tc>
        <w:tc>
          <w:tcPr>
            <w:tcW w:type="dxa" w:w="34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Sequence, IDs, registers, simulated status and quality gates.</w:t>
            </w:r>
          </w:p>
        </w:tc>
      </w:tr>
      <w:tr>
        <w:trPr>
          <w:cantSplit/>
        </w:trPr>
        <w:tc>
          <w:tcPr>
            <w:tcW w:type="dxa" w:w="6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D-02</w:t>
            </w:r>
          </w:p>
        </w:tc>
        <w:tc>
          <w:tcPr>
            <w:tcW w:type="dxa" w:w="25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System Overview and Description</w:t>
            </w:r>
          </w:p>
        </w:tc>
        <w:tc>
          <w:tcPr>
            <w:tcW w:type="dxa" w:w="27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NL-MES-SYS-001, v0.1</w:t>
            </w:r>
          </w:p>
        </w:tc>
        <w:tc>
          <w:tcPr>
            <w:tcW w:type="dxa" w:w="34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Conceptual intended use, boundary, GxP criticality, interfaces and Verify items.</w:t>
            </w:r>
          </w:p>
        </w:tc>
      </w:tr>
      <w:tr>
        <w:trPr>
          <w:cantSplit/>
        </w:trPr>
        <w:tc>
          <w:tcPr>
            <w:tcW w:type="dxa" w:w="6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D-03</w:t>
            </w:r>
          </w:p>
        </w:tc>
        <w:tc>
          <w:tcPr>
            <w:tcW w:type="dxa" w:w="255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User Requirement Specification</w:t>
            </w:r>
          </w:p>
        </w:tc>
        <w:tc>
          <w:tcPr>
            <w:tcW w:type="dxa" w:w="275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NL-MES-URS-001, v0.1</w:t>
            </w:r>
          </w:p>
        </w:tc>
        <w:tc>
          <w:tcPr>
            <w:tcW w:type="dxa" w:w="34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Exactly 50 GxP requirements, titles/statements and conceptual integrations.</w:t>
            </w:r>
          </w:p>
        </w:tc>
      </w:tr>
      <w:tr>
        <w:trPr>
          <w:cantSplit/>
        </w:trPr>
        <w:tc>
          <w:tcPr>
            <w:tcW w:type="dxa" w:w="6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D-04</w:t>
            </w:r>
          </w:p>
        </w:tc>
        <w:tc>
          <w:tcPr>
            <w:tcW w:type="dxa" w:w="25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IT Risk Assessment</w:t>
            </w:r>
          </w:p>
        </w:tc>
        <w:tc>
          <w:tcPr>
            <w:tcW w:type="dxa" w:w="27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NL-MES-ITRA-001, v0.1</w:t>
            </w:r>
          </w:p>
        </w:tc>
        <w:tc>
          <w:tcPr>
            <w:tcW w:type="dxa" w:w="34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Shared RSK-MES-001 to 026, linked URS, working gross ratings, controls and open acceptance state.</w:t>
            </w:r>
          </w:p>
        </w:tc>
      </w:tr>
      <w:tr>
        <w:trPr>
          <w:cantSplit/>
        </w:trPr>
        <w:tc>
          <w:tcPr>
            <w:tcW w:type="dxa" w:w="6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S-01</w:t>
            </w:r>
          </w:p>
        </w:tc>
        <w:tc>
          <w:tcPr>
            <w:tcW w:type="dxa" w:w="255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IT requirement risk assessment (ITRRA)</w:t>
            </w:r>
          </w:p>
        </w:tc>
        <w:tc>
          <w:tcPr>
            <w:tcW w:type="dxa" w:w="275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Q0861822, Ver. 1.0, Approved 01 Feb 2024</w:t>
            </w:r>
          </w:p>
        </w:tc>
        <w:tc>
          <w:tcPr>
            <w:tcW w:type="dxa" w:w="34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Two-part structure, functional/non-functional assessment and risk-based verification guidance.</w:t>
            </w:r>
          </w:p>
        </w:tc>
      </w:tr>
      <w:tr>
        <w:trPr>
          <w:cantSplit/>
        </w:trPr>
        <w:tc>
          <w:tcPr>
            <w:tcW w:type="dxa" w:w="6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S-02</w:t>
            </w:r>
          </w:p>
        </w:tc>
        <w:tc>
          <w:tcPr>
            <w:tcW w:type="dxa" w:w="25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IT Requirement Risk Assessment template</w:t>
            </w:r>
          </w:p>
        </w:tc>
        <w:tc>
          <w:tcPr>
            <w:tcW w:type="dxa" w:w="27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Q0360643, Ver. 2.0, Status Approved; Approved Date blank in supplied PDF - Verify</w:t>
            </w:r>
          </w:p>
        </w:tc>
        <w:tc>
          <w:tcPr>
            <w:tcW w:type="dxa" w:w="34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Part 1 fields, functional/non-functional factors, definitions and summary structure.</w:t>
            </w:r>
          </w:p>
        </w:tc>
      </w:tr>
      <w:tr>
        <w:trPr>
          <w:cantSplit/>
        </w:trPr>
        <w:tc>
          <w:tcPr>
            <w:tcW w:type="dxa" w:w="6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S-03</w:t>
            </w:r>
          </w:p>
        </w:tc>
        <w:tc>
          <w:tcPr>
            <w:tcW w:type="dxa" w:w="255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Manage IT systems including digital solutions</w:t>
            </w:r>
          </w:p>
        </w:tc>
        <w:tc>
          <w:tcPr>
            <w:tcW w:type="dxa" w:w="275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Q187219, Ver. 12.0, Effective 20 Aug 2025</w:t>
            </w:r>
          </w:p>
        </w:tc>
        <w:tc>
          <w:tcPr>
            <w:tcW w:type="dxa" w:w="34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GxP requirement-risk obligation, controls, acceptance and review lifecycle.</w:t>
            </w:r>
          </w:p>
        </w:tc>
      </w:tr>
      <w:tr>
        <w:trPr>
          <w:cantSplit/>
        </w:trPr>
        <w:tc>
          <w:tcPr>
            <w:tcW w:type="dxa" w:w="6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S-04</w:t>
            </w:r>
          </w:p>
        </w:tc>
        <w:tc>
          <w:tcPr>
            <w:tcW w:type="dxa" w:w="25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Science- and Risk-based Validation</w:t>
            </w:r>
          </w:p>
        </w:tc>
        <w:tc>
          <w:tcPr>
            <w:tcW w:type="dxa" w:w="27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Q218515, Ver. 8.0, Effective 01 Jun 2026</w:t>
            </w:r>
          </w:p>
        </w:tc>
        <w:tc>
          <w:tcPr>
            <w:tcW w:type="dxa" w:w="34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Critical aspects, lifecycle scaling, design review and verification.</w:t>
            </w:r>
          </w:p>
        </w:tc>
      </w:tr>
      <w:tr>
        <w:trPr>
          <w:cantSplit/>
        </w:trPr>
        <w:tc>
          <w:tcPr>
            <w:tcW w:type="dxa" w:w="6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S-05</w:t>
            </w:r>
          </w:p>
        </w:tc>
        <w:tc>
          <w:tcPr>
            <w:tcW w:type="dxa" w:w="255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Manage documentation for IT solutions</w:t>
            </w:r>
          </w:p>
        </w:tc>
        <w:tc>
          <w:tcPr>
            <w:tcW w:type="dxa" w:w="275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Q0359339, Ver. 4.0, Approved 18 Nov 2024</w:t>
            </w:r>
          </w:p>
        </w:tc>
        <w:tc>
          <w:tcPr>
            <w:tcW w:type="dxa" w:w="34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Document control, approval, maintenance and source/template hierarchy.</w:t>
            </w:r>
          </w:p>
        </w:tc>
      </w:tr>
      <w:tr>
        <w:trPr>
          <w:cantSplit/>
        </w:trPr>
        <w:tc>
          <w:tcPr>
            <w:tcW w:type="dxa" w:w="6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S-06</w:t>
            </w:r>
          </w:p>
        </w:tc>
        <w:tc>
          <w:tcPr>
            <w:tcW w:type="dxa" w:w="25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Manage data integrity in IT solutions</w:t>
            </w:r>
          </w:p>
        </w:tc>
        <w:tc>
          <w:tcPr>
            <w:tcW w:type="dxa" w:w="27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Q204010, Ver. 8.0, Issued/Training Copy; proposed effective 25 Jun 2026 - Verify</w:t>
            </w:r>
          </w:p>
        </w:tc>
        <w:tc>
          <w:tcPr>
            <w:tcW w:type="dxa" w:w="34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GxP-data lifecycle, technical failure modes, proportional controls and traceability.</w:t>
            </w:r>
          </w:p>
        </w:tc>
      </w:tr>
      <w:tr>
        <w:trPr>
          <w:cantSplit/>
        </w:trPr>
        <w:tc>
          <w:tcPr>
            <w:tcW w:type="dxa" w:w="6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S-07</w:t>
            </w:r>
          </w:p>
        </w:tc>
        <w:tc>
          <w:tcPr>
            <w:tcW w:type="dxa" w:w="255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Manage IT interfaces</w:t>
            </w:r>
          </w:p>
        </w:tc>
        <w:tc>
          <w:tcPr>
            <w:tcW w:type="dxa" w:w="275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Q0873805, Ver. 1.0, Approved 03 Apr 2024</w:t>
            </w:r>
          </w:p>
        </w:tc>
        <w:tc>
          <w:tcPr>
            <w:tcW w:type="dxa" w:w="34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Interface ownership, failure controls, supplier capability and lifecycle management.</w:t>
            </w:r>
          </w:p>
        </w:tc>
      </w:tr>
      <w:tr>
        <w:trPr>
          <w:cantSplit/>
        </w:trPr>
        <w:tc>
          <w:tcPr>
            <w:tcW w:type="dxa" w:w="6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S-08</w:t>
            </w:r>
          </w:p>
        </w:tc>
        <w:tc>
          <w:tcPr>
            <w:tcW w:type="dxa" w:w="25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Backup and recovery of IT solutions</w:t>
            </w:r>
          </w:p>
        </w:tc>
        <w:tc>
          <w:tcPr>
            <w:tcW w:type="dxa" w:w="27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Q0808604, Ver. 2.0, Approved 30 Aug 2024</w:t>
            </w:r>
          </w:p>
        </w:tc>
        <w:tc>
          <w:tcPr>
            <w:tcW w:type="dxa" w:w="34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Backup scope, objectives, restore/recovery verification and monitoring.</w:t>
            </w:r>
          </w:p>
        </w:tc>
      </w:tr>
      <w:tr>
        <w:trPr>
          <w:cantSplit/>
        </w:trPr>
        <w:tc>
          <w:tcPr>
            <w:tcW w:type="dxa" w:w="6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S-09</w:t>
            </w:r>
          </w:p>
        </w:tc>
        <w:tc>
          <w:tcPr>
            <w:tcW w:type="dxa" w:w="255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Manage Information Security in IT Solutions</w:t>
            </w:r>
          </w:p>
        </w:tc>
        <w:tc>
          <w:tcPr>
            <w:tcW w:type="dxa" w:w="275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Q187655, Ver. 3.0, Effective 02 Oct 2023</w:t>
            </w:r>
          </w:p>
        </w:tc>
        <w:tc>
          <w:tcPr>
            <w:tcW w:type="dxa" w:w="34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CIA, gross/net risk, component/interface/supplier scope, ownership and review.</w:t>
            </w:r>
          </w:p>
        </w:tc>
      </w:tr>
      <w:tr>
        <w:trPr>
          <w:cantSplit/>
        </w:trPr>
        <w:tc>
          <w:tcPr>
            <w:tcW w:type="dxa" w:w="6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S-10</w:t>
            </w:r>
          </w:p>
        </w:tc>
        <w:tc>
          <w:tcPr>
            <w:tcW w:type="dxa" w:w="25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Risk Acceptance</w:t>
            </w:r>
          </w:p>
        </w:tc>
        <w:tc>
          <w:tcPr>
            <w:tcW w:type="dxa" w:w="27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23219.SN-IRM-UG-011; visible header Ver. 6.0; change log includes 7.0 - Verify</w:t>
            </w:r>
          </w:p>
        </w:tc>
        <w:tc>
          <w:tcPr>
            <w:tcW w:type="dxa" w:w="34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Acceptance prerequisites, ITRA conclusion, Monitor state, snapshot/version behaviour and owner review.</w:t>
            </w:r>
          </w:p>
        </w:tc>
      </w:tr>
    </w:tbl>
    <w:p>
      <w:pPr>
        <w:spacing w:after="40"/>
      </w:pPr>
    </w:p>
    <w:p>
      <w:pPr>
        <w:pStyle w:val="Heading2"/>
      </w:pPr>
      <w:r>
        <w:rPr>
          <w:rFonts w:ascii="Calibri" w:hAnsi="Calibri"/>
          <w:b/>
          <w:sz w:val="26"/>
          <w:color w:val="2E74B5"/>
        </w:rPr>
        <w:t>2.2 Source priority and limitations</w:t>
      </w:r>
    </w:p>
    <w:p>
      <w:pPr>
        <w:pStyle w:val="ListBullet"/>
        <w:spacing w:after="60" w:line="240" w:lineRule="auto"/>
      </w:pPr>
      <w:r>
        <w:rPr>
          <w:rFonts w:ascii="Calibri" w:hAnsi="Calibri"/>
          <w:sz w:val="20"/>
          <w:color w:val="000000"/>
        </w:rPr>
        <w:t>Controlled source guidance and the baselined package records take priority over generic examples.</w:t>
      </w:r>
    </w:p>
    <w:p>
      <w:pPr>
        <w:pStyle w:val="ListBullet"/>
        <w:spacing w:after="60" w:line="240" w:lineRule="auto"/>
      </w:pPr>
      <w:r>
        <w:rPr>
          <w:rFonts w:ascii="Calibri" w:hAnsi="Calibri"/>
          <w:sz w:val="20"/>
          <w:color w:val="000000"/>
        </w:rPr>
        <w:t>Q0861822 states that the primary result is appropriate action/control, not a number or category.</w:t>
      </w:r>
    </w:p>
    <w:p>
      <w:pPr>
        <w:pStyle w:val="ListBullet"/>
        <w:spacing w:after="60" w:line="240" w:lineRule="auto"/>
      </w:pPr>
      <w:r>
        <w:rPr>
          <w:rFonts w:ascii="Calibri" w:hAnsi="Calibri"/>
          <w:sz w:val="20"/>
          <w:color w:val="000000"/>
        </w:rPr>
        <w:t>The Q0360643 PDF is used as structural and definitional evidence; its workbook automation is not reverse-engineered or invented.</w:t>
      </w:r>
    </w:p>
    <w:p>
      <w:pPr>
        <w:pStyle w:val="ListBullet"/>
        <w:spacing w:after="60" w:line="240" w:lineRule="auto"/>
      </w:pPr>
      <w:r>
        <w:rPr>
          <w:rFonts w:ascii="Calibri" w:hAnsi="Calibri"/>
          <w:sz w:val="20"/>
          <w:color w:val="000000"/>
        </w:rPr>
        <w:t>Where PAS-X version, configuration/customisation, architecture, supplier, interface protocol, retention, recovery objective or local method evidence is absent, the record states Verify.</w:t>
      </w:r>
    </w:p>
    <w:p>
      <w:pPr>
        <w:spacing w:before="80" w:after="160"/>
        <w:ind w:left="120" w:right="120"/>
        <w:shd w:fill="FDECEC"/>
        <w:pBdr>
          <w:left w:val="single" w:sz="18" w:space="4" w:color="9B1C1C"/>
        </w:pBdr>
      </w:pPr>
      <w:r>
        <w:rPr>
          <w:rFonts w:ascii="Calibri" w:hAnsi="Calibri"/>
          <w:b/>
          <w:sz w:val="19"/>
          <w:color w:val="9B1C1C"/>
        </w:rPr>
        <w:t xml:space="preserve">Source/template gap. </w:t>
      </w:r>
      <w:r>
        <w:rPr>
          <w:rFonts w:ascii="Calibri" w:hAnsi="Calibri"/>
          <w:b w:val="0"/>
          <w:sz w:val="19"/>
          <w:color w:val="000000"/>
        </w:rPr>
        <w:t>Verify the controlled Q0360643 workbook formulas, impact/likelihood thresholds and final risk-matrix mapping before this working baseline is converted into a numeric or final calculated assessment. The supplied PDF does not prove those calculation controls.</w:t>
      </w:r>
    </w:p>
    <w:p>
      <w:pPr>
        <w:pStyle w:val="Heading1"/>
      </w:pPr>
      <w:r>
        <w:rPr>
          <w:rFonts w:ascii="Calibri" w:hAnsi="Calibri"/>
          <w:b/>
          <w:sz w:val="32"/>
          <w:color w:val="2E74B5"/>
        </w:rPr>
        <w:t>3 ITRRA method and limitations</w:t>
      </w:r>
    </w:p>
    <w:p>
      <w:pPr>
        <w:pStyle w:val="Heading2"/>
      </w:pPr>
      <w:r>
        <w:rPr>
          <w:rFonts w:ascii="Calibri" w:hAnsi="Calibri"/>
          <w:b/>
          <w:sz w:val="26"/>
          <w:color w:val="2E74B5"/>
        </w:rPr>
        <w:t>3.1 Two-part structure</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1500"/>
        <w:gridCol w:w="2800"/>
        <w:gridCol w:w="3100"/>
        <w:gridCol w:w="1960"/>
      </w:tblGrid>
      <w:tr>
        <w:trPr>
          <w:cantSplit/>
          <w:tblHeader w:val="true"/>
        </w:trPr>
        <w:tc>
          <w:tcPr>
            <w:tcW w:type="dxa" w:w="15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Part</w:t>
            </w:r>
          </w:p>
        </w:tc>
        <w:tc>
          <w:tcPr>
            <w:tcW w:type="dxa" w:w="28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Purpose</w:t>
            </w:r>
          </w:p>
        </w:tc>
        <w:tc>
          <w:tcPr>
            <w:tcW w:type="dxa" w:w="31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Application in this document</w:t>
            </w:r>
          </w:p>
        </w:tc>
        <w:tc>
          <w:tcPr>
            <w:tcW w:type="dxa" w:w="196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Current result</w:t>
            </w:r>
          </w:p>
        </w:tc>
      </w:tr>
      <w:tr>
        <w:trPr>
          <w:cantSplit/>
        </w:trPr>
        <w:tc>
          <w:tcPr>
            <w:tcW w:type="dxa" w:w="15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Part 1 - Overall IT quality risks</w:t>
            </w:r>
          </w:p>
        </w:tc>
        <w:tc>
          <w:tcPr>
            <w:tcW w:type="dxa" w:w="28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Investigate need/intended use, major capabilities, business-process failure and implementation considerations.</w:t>
            </w:r>
          </w:p>
        </w:tc>
        <w:tc>
          <w:tcPr>
            <w:tcW w:type="dxa" w:w="31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Ten MES requirement domains reconciled to the existing 26 system risks.</w:t>
            </w:r>
          </w:p>
        </w:tc>
        <w:tc>
          <w:tcPr>
            <w:tcW w:type="dxa" w:w="19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Complete as a working baseline</w:t>
            </w:r>
          </w:p>
        </w:tc>
      </w:tr>
      <w:tr>
        <w:trPr>
          <w:cantSplit/>
        </w:trPr>
        <w:tc>
          <w:tcPr>
            <w:tcW w:type="dxa" w:w="1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Part 2 - Detailed requirement risk</w:t>
            </w:r>
          </w:p>
        </w:tc>
        <w:tc>
          <w:tcPr>
            <w:tcW w:type="dxa" w:w="28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Assess functional and non-functional GxP URS and define risk-based lifecycle activities.</w:t>
            </w:r>
          </w:p>
        </w:tc>
        <w:tc>
          <w:tcPr>
            <w:tcW w:type="dxa" w:w="31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Exactly 50 URS assessed; 25 functional and 25 non-functional.</w:t>
            </w:r>
          </w:p>
        </w:tc>
        <w:tc>
          <w:tcPr>
            <w:tcW w:type="dxa" w:w="19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Complete with method/technical Verify items</w:t>
            </w:r>
          </w:p>
        </w:tc>
      </w:tr>
    </w:tbl>
    <w:p>
      <w:pPr>
        <w:spacing w:after="40"/>
      </w:pPr>
    </w:p>
    <w:p>
      <w:pPr>
        <w:pStyle w:val="Heading2"/>
      </w:pPr>
      <w:r>
        <w:rPr>
          <w:rFonts w:ascii="Calibri" w:hAnsi="Calibri"/>
          <w:b/>
          <w:sz w:val="26"/>
          <w:color w:val="2E74B5"/>
        </w:rPr>
        <w:t>3.2 Functional requirement factors</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1200"/>
        <w:gridCol w:w="1700"/>
        <w:gridCol w:w="2900"/>
        <w:gridCol w:w="3560"/>
      </w:tblGrid>
      <w:tr>
        <w:trPr>
          <w:cantSplit/>
          <w:tblHeader w:val="true"/>
        </w:trPr>
        <w:tc>
          <w:tcPr>
            <w:tcW w:type="dxa" w:w="12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Area</w:t>
            </w:r>
          </w:p>
        </w:tc>
        <w:tc>
          <w:tcPr>
            <w:tcW w:type="dxa" w:w="17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Factor</w:t>
            </w:r>
          </w:p>
        </w:tc>
        <w:tc>
          <w:tcPr>
            <w:tcW w:type="dxa" w:w="29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Categories visible in Q0360643</w:t>
            </w:r>
          </w:p>
        </w:tc>
        <w:tc>
          <w:tcPr>
            <w:tcW w:type="dxa" w:w="356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Controlled use here</w:t>
            </w:r>
          </w:p>
        </w:tc>
      </w:tr>
      <w:tr>
        <w:trPr>
          <w:cantSplit/>
        </w:trPr>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Impact</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Type of process</w:t>
            </w:r>
          </w:p>
        </w:tc>
        <w:tc>
          <w:tcPr>
            <w:tcW w:type="dxa" w:w="29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Calculation/Validation; Change of data; Display</w:t>
            </w:r>
          </w:p>
        </w:tc>
        <w:tc>
          <w:tcPr>
            <w:tcW w:type="dxa" w:w="35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Working selection based on the controlled URS; confirm during FS/design.</w:t>
            </w:r>
          </w:p>
        </w:tc>
      </w:tr>
      <w:tr>
        <w:trPr>
          <w:cantSplit/>
        </w:trPr>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Impact</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Business impact</w:t>
            </w:r>
          </w:p>
        </w:tc>
        <w:tc>
          <w:tcPr>
            <w:tcW w:type="dxa" w:w="2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CA/Compliance; Wrong information; Negligible</w:t>
            </w:r>
          </w:p>
        </w:tc>
        <w:tc>
          <w:tcPr>
            <w:tcW w:type="dxa" w:w="3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Working GxP/process consequence selection.</w:t>
            </w:r>
          </w:p>
        </w:tc>
      </w:tr>
      <w:tr>
        <w:trPr>
          <w:cantSplit/>
        </w:trPr>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Impact</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Frequency of use</w:t>
            </w:r>
          </w:p>
        </w:tc>
        <w:tc>
          <w:tcPr>
            <w:tcW w:type="dxa" w:w="29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Very often; Often; Rare</w:t>
            </w:r>
          </w:p>
        </w:tc>
        <w:tc>
          <w:tcPr>
            <w:tcW w:type="dxa" w:w="35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Working intended-use frequency; operational evidence pending.</w:t>
            </w:r>
          </w:p>
        </w:tc>
      </w:tr>
      <w:tr>
        <w:trPr>
          <w:cantSplit/>
        </w:trPr>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Impact</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Affected users</w:t>
            </w:r>
          </w:p>
        </w:tc>
        <w:tc>
          <w:tcPr>
            <w:tcW w:type="dxa" w:w="2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Large number/Very important; Group; Limited</w:t>
            </w:r>
          </w:p>
        </w:tc>
        <w:tc>
          <w:tcPr>
            <w:tcW w:type="dxa" w:w="3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Importance and population considered; actual site population Verify.</w:t>
            </w:r>
          </w:p>
        </w:tc>
      </w:tr>
      <w:tr>
        <w:trPr>
          <w:cantSplit/>
        </w:trPr>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Likelihood</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Business logic</w:t>
            </w:r>
          </w:p>
        </w:tc>
        <w:tc>
          <w:tcPr>
            <w:tcW w:type="dxa" w:w="29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Complex; Medium; Simple</w:t>
            </w:r>
          </w:p>
        </w:tc>
        <w:tc>
          <w:tcPr>
            <w:tcW w:type="dxa" w:w="35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Working decomposition view; FS confirmation required.</w:t>
            </w:r>
          </w:p>
        </w:tc>
      </w:tr>
      <w:tr>
        <w:trPr>
          <w:cantSplit/>
        </w:trPr>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Likelihood</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Implementation</w:t>
            </w:r>
          </w:p>
        </w:tc>
        <w:tc>
          <w:tcPr>
            <w:tcW w:type="dxa" w:w="2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SW Cat. 5/custom; SW Cat. 4/configured; SW Cat. 3/standard</w:t>
            </w:r>
          </w:p>
        </w:tc>
        <w:tc>
          <w:tcPr>
            <w:tcW w:type="dxa" w:w="3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Not selected: PAS-X standard/configured/customised split is Verify.</w:t>
            </w:r>
          </w:p>
        </w:tc>
      </w:tr>
      <w:tr>
        <w:trPr>
          <w:cantSplit/>
        </w:trPr>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Likelihood</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Size</w:t>
            </w:r>
          </w:p>
        </w:tc>
        <w:tc>
          <w:tcPr>
            <w:tcW w:type="dxa" w:w="29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Large; Average; Small</w:t>
            </w:r>
          </w:p>
        </w:tc>
        <w:tc>
          <w:tcPr>
            <w:tcW w:type="dxa" w:w="35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Working scope view; FS/DS/CS confirmation required.</w:t>
            </w:r>
          </w:p>
        </w:tc>
      </w:tr>
      <w:tr>
        <w:trPr>
          <w:cantSplit/>
        </w:trPr>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Likelihood</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Interfaces</w:t>
            </w:r>
          </w:p>
        </w:tc>
        <w:tc>
          <w:tcPr>
            <w:tcW w:type="dxa" w:w="2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Many interfaces; Interfaced; None</w:t>
            </w:r>
          </w:p>
        </w:tc>
        <w:tc>
          <w:tcPr>
            <w:tcW w:type="dxa" w:w="3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Based on conceptual integration map; protocol/message catalogue Verify.</w:t>
            </w:r>
          </w:p>
        </w:tc>
      </w:tr>
    </w:tbl>
    <w:p>
      <w:pPr>
        <w:spacing w:after="40"/>
      </w:pPr>
    </w:p>
    <w:p>
      <w:pPr>
        <w:pStyle w:val="Heading2"/>
      </w:pPr>
      <w:r>
        <w:rPr>
          <w:rFonts w:ascii="Calibri" w:hAnsi="Calibri"/>
          <w:b/>
          <w:sz w:val="26"/>
          <w:color w:val="2E74B5"/>
        </w:rPr>
        <w:t>3.3 Non-functional requirement factors</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1600"/>
        <w:gridCol w:w="4700"/>
        <w:gridCol w:w="3060"/>
      </w:tblGrid>
      <w:tr>
        <w:trPr>
          <w:cantSplit/>
          <w:tblHeader w:val="true"/>
        </w:trPr>
        <w:tc>
          <w:tcPr>
            <w:tcW w:type="dxa" w:w="16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Level</w:t>
            </w:r>
          </w:p>
        </w:tc>
        <w:tc>
          <w:tcPr>
            <w:tcW w:type="dxa" w:w="47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Definition visible in supplied template</w:t>
            </w:r>
          </w:p>
        </w:tc>
        <w:tc>
          <w:tcPr>
            <w:tcW w:type="dxa" w:w="306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Application / limitation</w:t>
            </w:r>
          </w:p>
        </w:tc>
      </w:tr>
      <w:tr>
        <w:trPr>
          <w:cantSplit/>
        </w:trPr>
        <w:tc>
          <w:tcPr>
            <w:tcW w:type="dxa" w:w="16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High (A)</w:t>
            </w:r>
          </w:p>
        </w:tc>
        <w:tc>
          <w:tcPr>
            <w:tcW w:type="dxa" w:w="4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Serious extended outage, loss of connectivity, or compromise of large amounts of data/services/enterprise.</w:t>
            </w:r>
          </w:p>
        </w:tc>
        <w:tc>
          <w:tcPr>
            <w:tcW w:type="dxa" w:w="3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Working High for 24 non-functional requirements.</w:t>
            </w:r>
          </w:p>
        </w:tc>
      </w:tr>
      <w:tr>
        <w:trPr>
          <w:cantSplit/>
        </w:trPr>
        <w:tc>
          <w:tcPr>
            <w:tcW w:type="dxa" w:w="1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Medium (B)</w:t>
            </w:r>
          </w:p>
        </w:tc>
        <w:tc>
          <w:tcPr>
            <w:tcW w:type="dxa" w:w="4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Tangible/significant harm requiring extra effort to repair.</w:t>
            </w:r>
          </w:p>
        </w:tc>
        <w:tc>
          <w:tcPr>
            <w:tcW w:type="dxa" w:w="3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Working Medium for URS-MES-025.</w:t>
            </w:r>
          </w:p>
        </w:tc>
      </w:tr>
      <w:tr>
        <w:trPr>
          <w:cantSplit/>
        </w:trPr>
        <w:tc>
          <w:tcPr>
            <w:tcW w:type="dxa" w:w="16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Low (C)</w:t>
            </w:r>
          </w:p>
        </w:tc>
        <w:tc>
          <w:tcPr>
            <w:tcW w:type="dxa" w:w="4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Insignificant or very limited damage with little repair effort.</w:t>
            </w:r>
          </w:p>
        </w:tc>
        <w:tc>
          <w:tcPr>
            <w:tcW w:type="dxa" w:w="3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No current requirement assigned.</w:t>
            </w:r>
          </w:p>
        </w:tc>
      </w:tr>
      <w:tr>
        <w:trPr>
          <w:cantSplit/>
        </w:trPr>
        <w:tc>
          <w:tcPr>
            <w:tcW w:type="dxa" w:w="1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Likely (I)</w:t>
            </w:r>
          </w:p>
        </w:tc>
        <w:tc>
          <w:tcPr>
            <w:tcW w:type="dxa" w:w="4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More than 50% chance of materialisation.</w:t>
            </w:r>
          </w:p>
        </w:tc>
        <w:tc>
          <w:tcPr>
            <w:tcW w:type="dxa" w:w="3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No current requirement assigned.</w:t>
            </w:r>
          </w:p>
        </w:tc>
      </w:tr>
      <w:tr>
        <w:trPr>
          <w:cantSplit/>
        </w:trPr>
        <w:tc>
          <w:tcPr>
            <w:tcW w:type="dxa" w:w="16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Possible (II)</w:t>
            </w:r>
          </w:p>
        </w:tc>
        <w:tc>
          <w:tcPr>
            <w:tcW w:type="dxa" w:w="4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Between 25% and 50% chance of materialisation.</w:t>
            </w:r>
          </w:p>
        </w:tc>
        <w:tc>
          <w:tcPr>
            <w:tcW w:type="dxa" w:w="3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Working conservative placeholder for all 50; evidence Verify.</w:t>
            </w:r>
          </w:p>
        </w:tc>
      </w:tr>
      <w:tr>
        <w:trPr>
          <w:cantSplit/>
        </w:trPr>
        <w:tc>
          <w:tcPr>
            <w:tcW w:type="dxa" w:w="1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Unlikely (III)</w:t>
            </w:r>
          </w:p>
        </w:tc>
        <w:tc>
          <w:tcPr>
            <w:tcW w:type="dxa" w:w="4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Less than 25% chance of materialisation.</w:t>
            </w:r>
          </w:p>
        </w:tc>
        <w:tc>
          <w:tcPr>
            <w:tcW w:type="dxa" w:w="3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No current requirement assigned.</w:t>
            </w:r>
          </w:p>
        </w:tc>
      </w:tr>
    </w:tbl>
    <w:p>
      <w:pPr>
        <w:spacing w:after="40"/>
      </w:pPr>
    </w:p>
    <w:p>
      <w:pPr>
        <w:pStyle w:val="Heading2"/>
      </w:pPr>
      <w:r>
        <w:rPr>
          <w:rFonts w:ascii="Calibri" w:hAnsi="Calibri"/>
          <w:b/>
          <w:sz w:val="26"/>
          <w:color w:val="2E74B5"/>
        </w:rPr>
        <w:t>3.4 Working assessment and state rules</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1900"/>
        <w:gridCol w:w="5000"/>
        <w:gridCol w:w="2460"/>
      </w:tblGrid>
      <w:tr>
        <w:trPr>
          <w:cantSplit/>
          <w:tblHeader w:val="true"/>
        </w:trPr>
        <w:tc>
          <w:tcPr>
            <w:tcW w:type="dxa" w:w="19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Decision field</w:t>
            </w:r>
          </w:p>
        </w:tc>
        <w:tc>
          <w:tcPr>
            <w:tcW w:type="dxa" w:w="50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Rule</w:t>
            </w:r>
          </w:p>
        </w:tc>
        <w:tc>
          <w:tcPr>
            <w:tcW w:type="dxa" w:w="246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Current result</w:t>
            </w:r>
          </w:p>
        </w:tc>
      </w:tr>
      <w:tr>
        <w:trPr>
          <w:cantSplit/>
        </w:trPr>
        <w:tc>
          <w:tcPr>
            <w:tcW w:type="dxa" w:w="19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Linked risk</w:t>
            </w:r>
          </w:p>
        </w:tc>
        <w:tc>
          <w:tcPr>
            <w:tcW w:type="dxa" w:w="50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Use the existing RSK-MES mapping from NL-MES-ITRA-001; no duplicate scenario IDs.</w:t>
            </w:r>
          </w:p>
        </w:tc>
        <w:tc>
          <w:tcPr>
            <w:tcW w:type="dxa" w:w="24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50/50 requirements linked</w:t>
            </w:r>
          </w:p>
        </w:tc>
      </w:tr>
      <w:tr>
        <w:trPr>
          <w:cantSplit/>
        </w:trPr>
        <w:tc>
          <w:tcPr>
            <w:tcW w:type="dxa" w:w="1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Working impact</w:t>
            </w:r>
          </w:p>
        </w:tc>
        <w:tc>
          <w:tcPr>
            <w:tcW w:type="dxa" w:w="50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High (A) unless the existing linked-risk context supports Working Medium (B).</w:t>
            </w:r>
          </w:p>
        </w:tc>
        <w:tc>
          <w:tcPr>
            <w:tcW w:type="dxa" w:w="24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49 High; 1 Medium</w:t>
            </w:r>
          </w:p>
        </w:tc>
      </w:tr>
      <w:tr>
        <w:trPr>
          <w:cantSplit/>
        </w:trPr>
        <w:tc>
          <w:tcPr>
            <w:tcW w:type="dxa" w:w="19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Working likelihood</w:t>
            </w:r>
          </w:p>
        </w:tc>
        <w:tc>
          <w:tcPr>
            <w:tcW w:type="dxa" w:w="50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Possible (II) is a conservative placeholder pending actual implementation and operational evidence.</w:t>
            </w:r>
          </w:p>
        </w:tc>
        <w:tc>
          <w:tcPr>
            <w:tcW w:type="dxa" w:w="24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50 Possible; method Verify</w:t>
            </w:r>
          </w:p>
        </w:tc>
      </w:tr>
      <w:tr>
        <w:trPr>
          <w:cantSplit/>
        </w:trPr>
        <w:tc>
          <w:tcPr>
            <w:tcW w:type="dxa" w:w="1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Working requirement risk</w:t>
            </w:r>
          </w:p>
        </w:tc>
        <w:tc>
          <w:tcPr>
            <w:tcW w:type="dxa" w:w="50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Use the maximum linked ITRA working level; do not calculate a final Q0360643 composite.</w:t>
            </w:r>
          </w:p>
        </w:tc>
        <w:tc>
          <w:tcPr>
            <w:tcW w:type="dxa" w:w="24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49 High; 1 Medium</w:t>
            </w:r>
          </w:p>
        </w:tc>
      </w:tr>
      <w:tr>
        <w:trPr>
          <w:cantSplit/>
        </w:trPr>
        <w:tc>
          <w:tcPr>
            <w:tcW w:type="dxa" w:w="19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Control objective</w:t>
            </w:r>
          </w:p>
        </w:tc>
        <w:tc>
          <w:tcPr>
            <w:tcW w:type="dxa" w:w="50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Define preventive/detective/corrective lifecycle controls and fictional accountable role.</w:t>
            </w:r>
          </w:p>
        </w:tc>
        <w:tc>
          <w:tcPr>
            <w:tcW w:type="dxa" w:w="24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Defined for every URS</w:t>
            </w:r>
          </w:p>
        </w:tc>
      </w:tr>
      <w:tr>
        <w:trPr>
          <w:cantSplit/>
        </w:trPr>
        <w:tc>
          <w:tcPr>
            <w:tcW w:type="dxa" w:w="1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Verification rigor</w:t>
            </w:r>
          </w:p>
        </w:tc>
        <w:tc>
          <w:tcPr>
            <w:tcW w:type="dxa" w:w="50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High requires broader/multiple-scenario challenge; Medium still requires controlled verification.</w:t>
            </w:r>
          </w:p>
        </w:tc>
        <w:tc>
          <w:tcPr>
            <w:tcW w:type="dxa" w:w="24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Assigned for every URS</w:t>
            </w:r>
          </w:p>
        </w:tc>
      </w:tr>
      <w:tr>
        <w:trPr>
          <w:cantSplit/>
        </w:trPr>
        <w:tc>
          <w:tcPr>
            <w:tcW w:type="dxa" w:w="19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Residual risk</w:t>
            </w:r>
          </w:p>
        </w:tc>
        <w:tc>
          <w:tcPr>
            <w:tcW w:type="dxa" w:w="50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Rate only after implemented controls, valid evidence and exception review.</w:t>
            </w:r>
          </w:p>
        </w:tc>
        <w:tc>
          <w:tcPr>
            <w:tcW w:type="dxa" w:w="24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Not rated for all 26 risks</w:t>
            </w:r>
          </w:p>
        </w:tc>
      </w:tr>
      <w:tr>
        <w:trPr>
          <w:cantSplit/>
        </w:trPr>
        <w:tc>
          <w:tcPr>
            <w:tcW w:type="dxa" w:w="1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Acceptance</w:t>
            </w:r>
          </w:p>
        </w:tc>
        <w:tc>
          <w:tcPr>
            <w:tcW w:type="dxa" w:w="50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Separate document approval from residual-risk acceptance by IT Solution Owner/QA as applicable.</w:t>
            </w:r>
          </w:p>
        </w:tc>
        <w:tc>
          <w:tcPr>
            <w:tcW w:type="dxa" w:w="24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Pending for all 26 risks</w:t>
            </w:r>
          </w:p>
        </w:tc>
      </w:tr>
    </w:tbl>
    <w:p>
      <w:pPr>
        <w:spacing w:after="40"/>
      </w:pPr>
    </w:p>
    <w:p>
      <w:pPr>
        <w:spacing w:before="80" w:after="160"/>
        <w:ind w:left="120" w:right="120"/>
        <w:shd w:fill="FFF7DF"/>
        <w:pBdr>
          <w:left w:val="single" w:sz="18" w:space="4" w:color="7A5A00"/>
        </w:pBdr>
      </w:pPr>
      <w:r>
        <w:rPr>
          <w:rFonts w:ascii="Calibri" w:hAnsi="Calibri"/>
          <w:b/>
          <w:sz w:val="19"/>
          <w:color w:val="7A5A00"/>
        </w:rPr>
        <w:t xml:space="preserve">Risk method limitation. </w:t>
      </w:r>
      <w:r>
        <w:rPr>
          <w:rFonts w:ascii="Calibri" w:hAnsi="Calibri"/>
          <w:b w:val="0"/>
          <w:sz w:val="19"/>
          <w:color w:val="000000"/>
        </w:rPr>
        <w:t>All High/Medium values in this document are explicitly working qualitative placeholders. They are not controlled Q0360643 calculated results, numeric scores, release criteria, or residual-risk decisions.</w:t>
      </w:r>
    </w:p>
    <w:p>
      <w:pPr>
        <w:pStyle w:val="Heading2"/>
      </w:pPr>
      <w:r>
        <w:rPr>
          <w:rFonts w:ascii="Calibri" w:hAnsi="Calibri"/>
          <w:b/>
          <w:sz w:val="26"/>
          <w:color w:val="2E74B5"/>
        </w:rPr>
        <w:t>3.5 Participants and accountabilities</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2300"/>
        <w:gridCol w:w="3550"/>
        <w:gridCol w:w="3510"/>
      </w:tblGrid>
      <w:tr>
        <w:trPr>
          <w:cantSplit/>
          <w:tblHeader w:val="true"/>
        </w:trPr>
        <w:tc>
          <w:tcPr>
            <w:tcW w:type="dxa" w:w="23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Role</w:t>
            </w:r>
          </w:p>
        </w:tc>
        <w:tc>
          <w:tcPr>
            <w:tcW w:type="dxa" w:w="355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Knowledge / accountability</w:t>
            </w:r>
          </w:p>
        </w:tc>
        <w:tc>
          <w:tcPr>
            <w:tcW w:type="dxa" w:w="351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ITRRA contribution</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Fictional Process Owner / SME</w:t>
            </w:r>
          </w:p>
        </w:tc>
        <w:tc>
          <w:tcPr>
            <w:tcW w:type="dxa" w:w="355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Business process, intended use, impact and critical aspects</w:t>
            </w:r>
          </w:p>
        </w:tc>
        <w:tc>
          <w:tcPr>
            <w:tcW w:type="dxa" w:w="351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Confirms business factor basis and control intent.</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Fictional IT Solution Owner</w:t>
            </w:r>
          </w:p>
        </w:tc>
        <w:tc>
          <w:tcPr>
            <w:tcW w:type="dxa" w:w="35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System ownership, resources, control ownership and acceptance</w:t>
            </w:r>
          </w:p>
        </w:tc>
        <w:tc>
          <w:tcPr>
            <w:tcW w:type="dxa" w:w="35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Owns implementation and later residual-risk decision.</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Fictional Validation Lead</w:t>
            </w:r>
          </w:p>
        </w:tc>
        <w:tc>
          <w:tcPr>
            <w:tcW w:type="dxa" w:w="355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Method, rigor, traceability and lifecycle coverage</w:t>
            </w:r>
          </w:p>
        </w:tc>
        <w:tc>
          <w:tcPr>
            <w:tcW w:type="dxa" w:w="351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Maintains ITRRA and verification handoff.</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Fictional Quality Assurance</w:t>
            </w:r>
          </w:p>
        </w:tc>
        <w:tc>
          <w:tcPr>
            <w:tcW w:type="dxa" w:w="35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Independent GxP and critical-aspect oversight</w:t>
            </w:r>
          </w:p>
        </w:tc>
        <w:tc>
          <w:tcPr>
            <w:tcW w:type="dxa" w:w="35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Reviews risk basis, controls, exceptions and acceptance where required.</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Fictional Data Integrity / Security SME</w:t>
            </w:r>
          </w:p>
        </w:tc>
        <w:tc>
          <w:tcPr>
            <w:tcW w:type="dxa" w:w="355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Records, audit, access, signatures, security and data flows</w:t>
            </w:r>
          </w:p>
        </w:tc>
        <w:tc>
          <w:tcPr>
            <w:tcW w:type="dxa" w:w="351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Reviews control adequacy and evidence expectations.</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Fictional Integration Lead / Data Owner</w:t>
            </w:r>
          </w:p>
        </w:tc>
        <w:tc>
          <w:tcPr>
            <w:tcW w:type="dxa" w:w="35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Interface source authority, mappings, errors and reconciliation</w:t>
            </w:r>
          </w:p>
        </w:tc>
        <w:tc>
          <w:tcPr>
            <w:tcW w:type="dxa" w:w="35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Confirms integration risk and test coverage.</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Fictional Test Manager</w:t>
            </w:r>
          </w:p>
        </w:tc>
        <w:tc>
          <w:tcPr>
            <w:tcW w:type="dxa" w:w="355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Test strategy, controlled IDs, execution and review</w:t>
            </w:r>
          </w:p>
        </w:tc>
        <w:tc>
          <w:tcPr>
            <w:tcW w:type="dxa" w:w="351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Uses rigor assignments when plans/cases exist.</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Fictional Supplier / Service Manager</w:t>
            </w:r>
          </w:p>
        </w:tc>
        <w:tc>
          <w:tcPr>
            <w:tcW w:type="dxa" w:w="35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Supplier evidence, support, lifecycle and continuity</w:t>
            </w:r>
          </w:p>
        </w:tc>
        <w:tc>
          <w:tcPr>
            <w:tcW w:type="dxa" w:w="35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Confirms reliance and operational obligations.</w:t>
            </w:r>
          </w:p>
        </w:tc>
      </w:tr>
    </w:tbl>
    <w:p>
      <w:pPr>
        <w:spacing w:after="40"/>
      </w:pPr>
    </w:p>
    <w:p>
      <w:pPr>
        <w:pStyle w:val="Heading2"/>
      </w:pPr>
      <w:r>
        <w:rPr>
          <w:rFonts w:ascii="Calibri" w:hAnsi="Calibri"/>
          <w:b/>
          <w:sz w:val="26"/>
          <w:color w:val="2E74B5"/>
        </w:rPr>
        <w:t>3.6 Assessment workflow</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700"/>
        <w:gridCol w:w="2100"/>
        <w:gridCol w:w="6560"/>
      </w:tblGrid>
      <w:tr>
        <w:trPr>
          <w:cantSplit/>
          <w:tblHeader w:val="true"/>
        </w:trPr>
        <w:tc>
          <w:tcPr>
            <w:tcW w:type="dxa" w:w="70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Step</w:t>
            </w:r>
          </w:p>
        </w:tc>
        <w:tc>
          <w:tcPr>
            <w:tcW w:type="dxa" w:w="21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Activity</w:t>
            </w:r>
          </w:p>
        </w:tc>
        <w:tc>
          <w:tcPr>
            <w:tcW w:type="dxa" w:w="656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Application</w:t>
            </w:r>
          </w:p>
        </w:tc>
      </w:tr>
      <w:tr>
        <w:trPr>
          <w:cantSplit/>
        </w:trPr>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1</w:t>
            </w:r>
          </w:p>
        </w:tc>
        <w:tc>
          <w:tcPr>
            <w:tcW w:type="dxa" w:w="21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Lock inputs</w:t>
            </w:r>
          </w:p>
        </w:tc>
        <w:tc>
          <w:tcPr>
            <w:tcW w:type="dxa" w:w="65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Use the baselined URS and ITRA registers; reject unknown IDs.</w:t>
            </w:r>
          </w:p>
        </w:tc>
      </w:tr>
      <w:tr>
        <w:trPr>
          <w:cantSplit/>
        </w:trPr>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2</w:t>
            </w:r>
          </w:p>
        </w:tc>
        <w:tc>
          <w:tcPr>
            <w:tcW w:type="dxa" w:w="21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Classify requirement</w:t>
            </w:r>
          </w:p>
        </w:tc>
        <w:tc>
          <w:tcPr>
            <w:tcW w:type="dxa" w:w="6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Assign Functional or Non-functional using the requirement intent.</w:t>
            </w:r>
          </w:p>
        </w:tc>
      </w:tr>
      <w:tr>
        <w:trPr>
          <w:cantSplit/>
        </w:trPr>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3</w:t>
            </w:r>
          </w:p>
        </w:tc>
        <w:tc>
          <w:tcPr>
            <w:tcW w:type="dxa" w:w="21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Describe failure</w:t>
            </w:r>
          </w:p>
        </w:tc>
        <w:tc>
          <w:tcPr>
            <w:tcW w:type="dxa" w:w="65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State how failure could harm the supported GxP process and link existing risks.</w:t>
            </w:r>
          </w:p>
        </w:tc>
      </w:tr>
      <w:tr>
        <w:trPr>
          <w:cantSplit/>
        </w:trPr>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4</w:t>
            </w:r>
          </w:p>
        </w:tc>
        <w:tc>
          <w:tcPr>
            <w:tcW w:type="dxa" w:w="21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Assess factors</w:t>
            </w:r>
          </w:p>
        </w:tc>
        <w:tc>
          <w:tcPr>
            <w:tcW w:type="dxa" w:w="6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Record available Q0360643 categories and mark unsupported technical factors Verify.</w:t>
            </w:r>
          </w:p>
        </w:tc>
      </w:tr>
      <w:tr>
        <w:trPr>
          <w:cantSplit/>
        </w:trPr>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5</w:t>
            </w:r>
          </w:p>
        </w:tc>
        <w:tc>
          <w:tcPr>
            <w:tcW w:type="dxa" w:w="21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Assign working level</w:t>
            </w:r>
          </w:p>
        </w:tc>
        <w:tc>
          <w:tcPr>
            <w:tcW w:type="dxa" w:w="65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Carry the maximum linked ITRA working level without numeric calculation.</w:t>
            </w:r>
          </w:p>
        </w:tc>
      </w:tr>
      <w:tr>
        <w:trPr>
          <w:cantSplit/>
        </w:trPr>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6</w:t>
            </w:r>
          </w:p>
        </w:tc>
        <w:tc>
          <w:tcPr>
            <w:tcW w:type="dxa" w:w="21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Define control objective</w:t>
            </w:r>
          </w:p>
        </w:tc>
        <w:tc>
          <w:tcPr>
            <w:tcW w:type="dxa" w:w="6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Specify preventive/detective/corrective intent and accountable fictional role.</w:t>
            </w:r>
          </w:p>
        </w:tc>
      </w:tr>
      <w:tr>
        <w:trPr>
          <w:cantSplit/>
        </w:trPr>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7</w:t>
            </w:r>
          </w:p>
        </w:tc>
        <w:tc>
          <w:tcPr>
            <w:tcW w:type="dxa" w:w="21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Set lifecycle rigor</w:t>
            </w:r>
          </w:p>
        </w:tc>
        <w:tc>
          <w:tcPr>
            <w:tcW w:type="dxa" w:w="65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Define test breadth, negative/boundary/challenge and end-to-end expectations.</w:t>
            </w:r>
          </w:p>
        </w:tc>
      </w:tr>
      <w:tr>
        <w:trPr>
          <w:cantSplit/>
        </w:trPr>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8</w:t>
            </w:r>
          </w:p>
        </w:tc>
        <w:tc>
          <w:tcPr>
            <w:tcW w:type="dxa" w:w="21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Update registers</w:t>
            </w:r>
          </w:p>
        </w:tc>
        <w:tc>
          <w:tcPr>
            <w:tcW w:type="dxa" w:w="6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Reconcile risk and traceability coverage; expose all open design/test/acceptance evidence.</w:t>
            </w:r>
          </w:p>
        </w:tc>
      </w:tr>
    </w:tbl>
    <w:p>
      <w:pPr>
        <w:spacing w:after="40"/>
      </w:pPr>
    </w:p>
    <w:p>
      <w:pPr>
        <w:pStyle w:val="Heading1"/>
      </w:pPr>
      <w:r>
        <w:rPr>
          <w:rFonts w:ascii="Calibri" w:hAnsi="Calibri"/>
          <w:b/>
          <w:sz w:val="32"/>
          <w:color w:val="2E74B5"/>
        </w:rPr>
        <w:t>4 Part 1 - Overall IT quality risks</w:t>
      </w:r>
    </w:p>
    <w:p>
      <w:pPr>
        <w:keepLines w:val="0"/>
        <w:spacing w:after="100" w:line="252" w:lineRule="auto"/>
      </w:pPr>
      <w:r>
        <w:rPr>
          <w:rFonts w:ascii="Calibri" w:hAnsi="Calibri"/>
          <w:sz w:val="21"/>
          <w:color w:val="000000"/>
        </w:rPr>
        <w:t>Part 1 records the overall business need, major MES capabilities, the consequence of capability failure and the implementation considerations needed to reduce risk. It does not replace the system-level ITRA; it reconciles that baseline to the requirement catalogue.</w:t>
      </w:r>
    </w:p>
    <w:p>
      <w:pPr>
        <w:pStyle w:val="Heading2"/>
      </w:pPr>
      <w:r>
        <w:rPr>
          <w:rFonts w:ascii="Calibri" w:hAnsi="Calibri"/>
          <w:b/>
          <w:sz w:val="26"/>
          <w:color w:val="2E74B5"/>
        </w:rPr>
        <w:t>4.1 Manufacturing workflow and EBR</w:t>
      </w:r>
    </w:p>
    <w:p>
      <w:pPr>
        <w:spacing w:after="60" w:line="240" w:lineRule="auto"/>
      </w:pPr>
      <w:r>
        <w:rPr>
          <w:rFonts w:ascii="Calibri" w:hAnsi="Calibri"/>
          <w:b/>
          <w:sz w:val="19"/>
          <w:color w:val="1F4D78"/>
        </w:rPr>
        <w:t xml:space="preserve">Need and intended use. </w:t>
      </w:r>
      <w:r>
        <w:rPr>
          <w:rFonts w:ascii="Calibri" w:hAnsi="Calibri"/>
          <w:sz w:val="19"/>
          <w:color w:val="000000"/>
        </w:rPr>
        <w:t>Execute authorised production orders and recipes consistently while creating complete electronic batch evidence.</w:t>
      </w:r>
    </w:p>
    <w:p>
      <w:pPr>
        <w:spacing w:after="60" w:line="240" w:lineRule="auto"/>
      </w:pPr>
      <w:r>
        <w:rPr>
          <w:rFonts w:ascii="Calibri" w:hAnsi="Calibri"/>
          <w:b/>
          <w:sz w:val="18"/>
          <w:color w:val="1F4D78"/>
        </w:rPr>
        <w:t xml:space="preserve">Major capabilities. </w:t>
      </w:r>
      <w:r>
        <w:rPr>
          <w:rFonts w:ascii="Calibri" w:hAnsi="Calibri"/>
          <w:sz w:val="18"/>
          <w:color w:val="000000"/>
        </w:rPr>
        <w:t>URS-MES-001 to 009: Approved order and instruction selection; Controlled execution sequence; Execution data and calculation capture; Material and equipment status verification; Controlled hold, resume, and termination; Exception and review-by-exception handling; Complete electronic batch record; Batch-record completion control; Authorised batch-record review.</w:t>
      </w:r>
    </w:p>
    <w:p>
      <w:pPr>
        <w:spacing w:after="60" w:line="240" w:lineRule="auto"/>
      </w:pPr>
      <w:r>
        <w:rPr>
          <w:rFonts w:ascii="Calibri" w:hAnsi="Calibri"/>
          <w:b/>
          <w:sz w:val="19"/>
          <w:color w:val="1F4D78"/>
        </w:rPr>
        <w:t xml:space="preserve">Business-process risk. </w:t>
      </w:r>
      <w:r>
        <w:rPr>
          <w:rFonts w:ascii="Calibri" w:hAnsi="Calibri"/>
          <w:sz w:val="19"/>
          <w:color w:val="000000"/>
        </w:rPr>
        <w:t>Batch execution may use an unauthorised state or incomplete evidence, compromising product-quality decisions, data integrity, compliance, or timely release.</w:t>
      </w:r>
    </w:p>
    <w:p>
      <w:pPr>
        <w:spacing w:after="60" w:line="240" w:lineRule="auto"/>
      </w:pPr>
      <w:r>
        <w:rPr>
          <w:rFonts w:ascii="Calibri" w:hAnsi="Calibri"/>
          <w:b/>
          <w:sz w:val="19"/>
          <w:color w:val="1F4D78"/>
        </w:rPr>
        <w:t xml:space="preserve">Implementation considerations. </w:t>
      </w:r>
      <w:r>
        <w:rPr>
          <w:rFonts w:ascii="Calibri" w:hAnsi="Calibri"/>
          <w:sz w:val="19"/>
          <w:color w:val="000000"/>
        </w:rPr>
        <w:t>Enforce approved workflow states, prerequisites, data validation, review gates, exception disposition, attributable audit evidence, and batch-context reconciliation; implementation detail and evidence remain Verify. Accountable roles: Fictional Process Owner with IT Solution Owner and Quality Assurance.</w:t>
      </w:r>
    </w:p>
    <w:p>
      <w:pPr>
        <w:spacing w:after="60" w:line="240" w:lineRule="auto"/>
      </w:pPr>
      <w:r>
        <w:rPr>
          <w:rFonts w:ascii="Calibri" w:hAnsi="Calibri"/>
          <w:b/>
          <w:sz w:val="18"/>
          <w:color w:val="1F4D78"/>
        </w:rPr>
        <w:t xml:space="preserve">Register linkage. </w:t>
      </w:r>
      <w:r>
        <w:rPr>
          <w:rFonts w:ascii="Calibri" w:hAnsi="Calibri"/>
          <w:sz w:val="18"/>
          <w:color w:val="000000"/>
        </w:rPr>
        <w:t>Requirements: URS-MES-001 to 009. Risks: RSK-MES-001, RSK-MES-002, RSK-MES-003, RSK-MES-007, RSK-MES-008, RSK-MES-013, RSK-MES-015, RSK-MES-021.</w:t>
      </w:r>
    </w:p>
    <w:p>
      <w:pPr>
        <w:pStyle w:val="Heading2"/>
      </w:pPr>
      <w:r>
        <w:rPr>
          <w:rFonts w:ascii="Calibri" w:hAnsi="Calibri"/>
          <w:b/>
          <w:sz w:val="26"/>
          <w:color w:val="2E74B5"/>
        </w:rPr>
        <w:t>4.2 Electronic records and copies</w:t>
      </w:r>
    </w:p>
    <w:p>
      <w:pPr>
        <w:spacing w:after="60" w:line="240" w:lineRule="auto"/>
      </w:pPr>
      <w:r>
        <w:rPr>
          <w:rFonts w:ascii="Calibri" w:hAnsi="Calibri"/>
          <w:b/>
          <w:sz w:val="19"/>
          <w:color w:val="1F4D78"/>
        </w:rPr>
        <w:t xml:space="preserve">Need and intended use. </w:t>
      </w:r>
      <w:r>
        <w:rPr>
          <w:rFonts w:ascii="Calibri" w:hAnsi="Calibri"/>
          <w:sz w:val="19"/>
          <w:color w:val="000000"/>
        </w:rPr>
        <w:t>Retain and reproduce regulated batch records with their content, meaning and evidentiary relationships.</w:t>
      </w:r>
    </w:p>
    <w:p>
      <w:pPr>
        <w:spacing w:after="60" w:line="240" w:lineRule="auto"/>
      </w:pPr>
      <w:r>
        <w:rPr>
          <w:rFonts w:ascii="Calibri" w:hAnsi="Calibri"/>
          <w:b/>
          <w:sz w:val="18"/>
          <w:color w:val="1F4D78"/>
        </w:rPr>
        <w:t xml:space="preserve">Major capabilities. </w:t>
      </w:r>
      <w:r>
        <w:rPr>
          <w:rFonts w:ascii="Calibri" w:hAnsi="Calibri"/>
          <w:sz w:val="18"/>
          <w:color w:val="000000"/>
        </w:rPr>
        <w:t>URS-MES-010, URS-MES-011: Record retention and retrieval; Complete and accurate record copies.</w:t>
      </w:r>
    </w:p>
    <w:p>
      <w:pPr>
        <w:spacing w:after="60" w:line="240" w:lineRule="auto"/>
      </w:pPr>
      <w:r>
        <w:rPr>
          <w:rFonts w:ascii="Calibri" w:hAnsi="Calibri"/>
          <w:b/>
          <w:sz w:val="19"/>
          <w:color w:val="1F4D78"/>
        </w:rPr>
        <w:t xml:space="preserve">Business-process risk. </w:t>
      </w:r>
      <w:r>
        <w:rPr>
          <w:rFonts w:ascii="Calibri" w:hAnsi="Calibri"/>
          <w:sz w:val="19"/>
          <w:color w:val="000000"/>
        </w:rPr>
        <w:t>Regulated records may be lost, unreadable, incomplete, altered, detached from metadata/signatures, or misleading throughout retention and retrieval.</w:t>
      </w:r>
    </w:p>
    <w:p>
      <w:pPr>
        <w:spacing w:after="60" w:line="240" w:lineRule="auto"/>
      </w:pPr>
      <w:r>
        <w:rPr>
          <w:rFonts w:ascii="Calibri" w:hAnsi="Calibri"/>
          <w:b/>
          <w:sz w:val="19"/>
          <w:color w:val="1F4D78"/>
        </w:rPr>
        <w:t xml:space="preserve">Implementation considerations. </w:t>
      </w:r>
      <w:r>
        <w:rPr>
          <w:rFonts w:ascii="Calibri" w:hAnsi="Calibri"/>
          <w:sz w:val="19"/>
          <w:color w:val="000000"/>
        </w:rPr>
        <w:t>Define retention and copy controls that preserve content, meaning, metadata, signatures, audit trails, readability, retrieval, and protection from unauthorised deletion; implementation detail and evidence remain Verify. Accountable roles: Fictional Data Integrity SME with Records Owner and IT Solution Owner.</w:t>
      </w:r>
    </w:p>
    <w:p>
      <w:pPr>
        <w:spacing w:after="60" w:line="240" w:lineRule="auto"/>
      </w:pPr>
      <w:r>
        <w:rPr>
          <w:rFonts w:ascii="Calibri" w:hAnsi="Calibri"/>
          <w:b/>
          <w:sz w:val="18"/>
          <w:color w:val="1F4D78"/>
        </w:rPr>
        <w:t xml:space="preserve">Register linkage. </w:t>
      </w:r>
      <w:r>
        <w:rPr>
          <w:rFonts w:ascii="Calibri" w:hAnsi="Calibri"/>
          <w:sz w:val="18"/>
          <w:color w:val="000000"/>
        </w:rPr>
        <w:t>Requirements: URS-MES-010, URS-MES-011. Risks: RSK-MES-004, RSK-MES-010, RSK-MES-017, RSK-MES-023.</w:t>
      </w:r>
    </w:p>
    <w:p>
      <w:pPr>
        <w:pStyle w:val="Heading2"/>
      </w:pPr>
      <w:r>
        <w:rPr>
          <w:rFonts w:ascii="Calibri" w:hAnsi="Calibri"/>
          <w:b/>
          <w:sz w:val="26"/>
          <w:color w:val="2E74B5"/>
        </w:rPr>
        <w:t>4.3 Identity and access control</w:t>
      </w:r>
    </w:p>
    <w:p>
      <w:pPr>
        <w:spacing w:after="60" w:line="240" w:lineRule="auto"/>
      </w:pPr>
      <w:r>
        <w:rPr>
          <w:rFonts w:ascii="Calibri" w:hAnsi="Calibri"/>
          <w:b/>
          <w:sz w:val="19"/>
          <w:color w:val="1F4D78"/>
        </w:rPr>
        <w:t xml:space="preserve">Need and intended use. </w:t>
      </w:r>
      <w:r>
        <w:rPr>
          <w:rFonts w:ascii="Calibri" w:hAnsi="Calibri"/>
          <w:sz w:val="19"/>
          <w:color w:val="000000"/>
        </w:rPr>
        <w:t>Allow only uniquely identified, appropriately authorised people and services to act in the MES.</w:t>
      </w:r>
    </w:p>
    <w:p>
      <w:pPr>
        <w:spacing w:after="60" w:line="240" w:lineRule="auto"/>
      </w:pPr>
      <w:r>
        <w:rPr>
          <w:rFonts w:ascii="Calibri" w:hAnsi="Calibri"/>
          <w:b/>
          <w:sz w:val="18"/>
          <w:color w:val="1F4D78"/>
        </w:rPr>
        <w:t xml:space="preserve">Major capabilities. </w:t>
      </w:r>
      <w:r>
        <w:rPr>
          <w:rFonts w:ascii="Calibri" w:hAnsi="Calibri"/>
          <w:sz w:val="18"/>
          <w:color w:val="000000"/>
        </w:rPr>
        <w:t>URS-MES-012 to 016: Unique identity and authentication; Role-based least-privilege access; Controlled access lifecycle; Privileged and service-account control; Segregation and periodic access review.</w:t>
      </w:r>
    </w:p>
    <w:p>
      <w:pPr>
        <w:spacing w:after="60" w:line="240" w:lineRule="auto"/>
      </w:pPr>
      <w:r>
        <w:rPr>
          <w:rFonts w:ascii="Calibri" w:hAnsi="Calibri"/>
          <w:b/>
          <w:sz w:val="19"/>
          <w:color w:val="1F4D78"/>
        </w:rPr>
        <w:t xml:space="preserve">Business-process risk. </w:t>
      </w:r>
      <w:r>
        <w:rPr>
          <w:rFonts w:ascii="Calibri" w:hAnsi="Calibri"/>
          <w:sz w:val="19"/>
          <w:color w:val="000000"/>
        </w:rPr>
        <w:t>An unauthorised, excessive, unowned, stale, or conflicting identity may perform or conceal regulated actions.</w:t>
      </w:r>
    </w:p>
    <w:p>
      <w:pPr>
        <w:spacing w:after="60" w:line="240" w:lineRule="auto"/>
      </w:pPr>
      <w:r>
        <w:rPr>
          <w:rFonts w:ascii="Calibri" w:hAnsi="Calibri"/>
          <w:b/>
          <w:sz w:val="19"/>
          <w:color w:val="1F4D78"/>
        </w:rPr>
        <w:t xml:space="preserve">Implementation considerations. </w:t>
      </w:r>
      <w:r>
        <w:rPr>
          <w:rFonts w:ascii="Calibri" w:hAnsi="Calibri"/>
          <w:sz w:val="19"/>
          <w:color w:val="000000"/>
        </w:rPr>
        <w:t>Use unique authentication, least privilege, controlled access lifecycle, privileged/service-account ownership, segregation checks, monitoring, and periodic review; implementation detail and evidence remain Verify. Accountable roles: Fictional IT Solution Owner with Information Security SME and Quality Assurance.</w:t>
      </w:r>
    </w:p>
    <w:p>
      <w:pPr>
        <w:spacing w:after="60" w:line="240" w:lineRule="auto"/>
      </w:pPr>
      <w:r>
        <w:rPr>
          <w:rFonts w:ascii="Calibri" w:hAnsi="Calibri"/>
          <w:b/>
          <w:sz w:val="18"/>
          <w:color w:val="1F4D78"/>
        </w:rPr>
        <w:t xml:space="preserve">Register linkage. </w:t>
      </w:r>
      <w:r>
        <w:rPr>
          <w:rFonts w:ascii="Calibri" w:hAnsi="Calibri"/>
          <w:sz w:val="18"/>
          <w:color w:val="000000"/>
        </w:rPr>
        <w:t>Requirements: URS-MES-012 to 016. Risks: RSK-MES-005, RSK-MES-006, RSK-MES-019, RSK-MES-024.</w:t>
      </w:r>
    </w:p>
    <w:p>
      <w:pPr>
        <w:pStyle w:val="Heading2"/>
      </w:pPr>
      <w:r>
        <w:rPr>
          <w:rFonts w:ascii="Calibri" w:hAnsi="Calibri"/>
          <w:b/>
          <w:sz w:val="26"/>
          <w:color w:val="2E74B5"/>
        </w:rPr>
        <w:t>4.4 Electronic signatures</w:t>
      </w:r>
    </w:p>
    <w:p>
      <w:pPr>
        <w:spacing w:after="60" w:line="240" w:lineRule="auto"/>
      </w:pPr>
      <w:r>
        <w:rPr>
          <w:rFonts w:ascii="Calibri" w:hAnsi="Calibri"/>
          <w:b/>
          <w:sz w:val="19"/>
          <w:color w:val="1F4D78"/>
        </w:rPr>
        <w:t xml:space="preserve">Need and intended use. </w:t>
      </w:r>
      <w:r>
        <w:rPr>
          <w:rFonts w:ascii="Calibri" w:hAnsi="Calibri"/>
          <w:sz w:val="19"/>
          <w:color w:val="000000"/>
        </w:rPr>
        <w:t>Provide attributable electronic approvals with correct meaning and permanent linkage.</w:t>
      </w:r>
    </w:p>
    <w:p>
      <w:pPr>
        <w:spacing w:after="60" w:line="240" w:lineRule="auto"/>
      </w:pPr>
      <w:r>
        <w:rPr>
          <w:rFonts w:ascii="Calibri" w:hAnsi="Calibri"/>
          <w:b/>
          <w:sz w:val="18"/>
          <w:color w:val="1F4D78"/>
        </w:rPr>
        <w:t xml:space="preserve">Major capabilities. </w:t>
      </w:r>
      <w:r>
        <w:rPr>
          <w:rFonts w:ascii="Calibri" w:hAnsi="Calibri"/>
          <w:sz w:val="18"/>
          <w:color w:val="000000"/>
        </w:rPr>
        <w:t>URS-MES-017 to 019: Authorised electronic-signature application; Signature meaning and content; Permanent signature-to-record linkage.</w:t>
      </w:r>
    </w:p>
    <w:p>
      <w:pPr>
        <w:spacing w:after="60" w:line="240" w:lineRule="auto"/>
      </w:pPr>
      <w:r>
        <w:rPr>
          <w:rFonts w:ascii="Calibri" w:hAnsi="Calibri"/>
          <w:b/>
          <w:sz w:val="19"/>
          <w:color w:val="1F4D78"/>
        </w:rPr>
        <w:t xml:space="preserve">Business-process risk. </w:t>
      </w:r>
      <w:r>
        <w:rPr>
          <w:rFonts w:ascii="Calibri" w:hAnsi="Calibri"/>
          <w:sz w:val="19"/>
          <w:color w:val="000000"/>
        </w:rPr>
        <w:t>A signature may be non-attributable, applied by an unauthorised person, carry the wrong meaning or time, or become detached from the signed record.</w:t>
      </w:r>
    </w:p>
    <w:p>
      <w:pPr>
        <w:spacing w:after="60" w:line="240" w:lineRule="auto"/>
      </w:pPr>
      <w:r>
        <w:rPr>
          <w:rFonts w:ascii="Calibri" w:hAnsi="Calibri"/>
          <w:b/>
          <w:sz w:val="19"/>
          <w:color w:val="1F4D78"/>
        </w:rPr>
        <w:t xml:space="preserve">Implementation considerations. </w:t>
      </w:r>
      <w:r>
        <w:rPr>
          <w:rFonts w:ascii="Calibri" w:hAnsi="Calibri"/>
          <w:sz w:val="19"/>
          <w:color w:val="000000"/>
        </w:rPr>
        <w:t>Configure authorised signing roles, point-of-signing authentication, signature meaning/content, permanent record/version linkage, and auditability; implementation detail and evidence remain Verify. Accountable roles: Fictional Process Owner with Quality Assurance and IT Solution Owner.</w:t>
      </w:r>
    </w:p>
    <w:p>
      <w:pPr>
        <w:spacing w:after="60" w:line="240" w:lineRule="auto"/>
      </w:pPr>
      <w:r>
        <w:rPr>
          <w:rFonts w:ascii="Calibri" w:hAnsi="Calibri"/>
          <w:b/>
          <w:sz w:val="18"/>
          <w:color w:val="1F4D78"/>
        </w:rPr>
        <w:t xml:space="preserve">Register linkage. </w:t>
      </w:r>
      <w:r>
        <w:rPr>
          <w:rFonts w:ascii="Calibri" w:hAnsi="Calibri"/>
          <w:sz w:val="18"/>
          <w:color w:val="000000"/>
        </w:rPr>
        <w:t>Requirements: URS-MES-017 to 019. Risks: RSK-MES-007, RSK-MES-010.</w:t>
      </w:r>
    </w:p>
    <w:p>
      <w:pPr>
        <w:pStyle w:val="Heading2"/>
      </w:pPr>
      <w:r>
        <w:rPr>
          <w:rFonts w:ascii="Calibri" w:hAnsi="Calibri"/>
          <w:b/>
          <w:sz w:val="26"/>
          <w:color w:val="2E74B5"/>
        </w:rPr>
        <w:t>4.5 Audit trail</w:t>
      </w:r>
    </w:p>
    <w:p>
      <w:pPr>
        <w:spacing w:after="60" w:line="240" w:lineRule="auto"/>
      </w:pPr>
      <w:r>
        <w:rPr>
          <w:rFonts w:ascii="Calibri" w:hAnsi="Calibri"/>
          <w:b/>
          <w:sz w:val="19"/>
          <w:color w:val="1F4D78"/>
        </w:rPr>
        <w:t xml:space="preserve">Need and intended use. </w:t>
      </w:r>
      <w:r>
        <w:rPr>
          <w:rFonts w:ascii="Calibri" w:hAnsi="Calibri"/>
          <w:sz w:val="19"/>
          <w:color w:val="000000"/>
        </w:rPr>
        <w:t>Make risk-relevant activity visible, protected, reviewable and dispositioned.</w:t>
      </w:r>
    </w:p>
    <w:p>
      <w:pPr>
        <w:spacing w:after="60" w:line="240" w:lineRule="auto"/>
      </w:pPr>
      <w:r>
        <w:rPr>
          <w:rFonts w:ascii="Calibri" w:hAnsi="Calibri"/>
          <w:b/>
          <w:sz w:val="18"/>
          <w:color w:val="1F4D78"/>
        </w:rPr>
        <w:t xml:space="preserve">Major capabilities. </w:t>
      </w:r>
      <w:r>
        <w:rPr>
          <w:rFonts w:ascii="Calibri" w:hAnsi="Calibri"/>
          <w:sz w:val="18"/>
          <w:color w:val="000000"/>
        </w:rPr>
        <w:t>URS-MES-020 to 023: Automatic audit-trail capture; Audit-trail protection and retention; Audit-trail search and review presentation; Risk-based audit-trail review evidence.</w:t>
      </w:r>
    </w:p>
    <w:p>
      <w:pPr>
        <w:spacing w:after="60" w:line="240" w:lineRule="auto"/>
      </w:pPr>
      <w:r>
        <w:rPr>
          <w:rFonts w:ascii="Calibri" w:hAnsi="Calibri"/>
          <w:b/>
          <w:sz w:val="19"/>
          <w:color w:val="1F4D78"/>
        </w:rPr>
        <w:t xml:space="preserve">Business-process risk. </w:t>
      </w:r>
      <w:r>
        <w:rPr>
          <w:rFonts w:ascii="Calibri" w:hAnsi="Calibri"/>
          <w:sz w:val="19"/>
          <w:color w:val="000000"/>
        </w:rPr>
        <w:t>Risk-relevant activity may not be captured, protected, retained, searchable, contextualised, reviewed, or dispositioned.</w:t>
      </w:r>
    </w:p>
    <w:p>
      <w:pPr>
        <w:spacing w:after="60" w:line="240" w:lineRule="auto"/>
      </w:pPr>
      <w:r>
        <w:rPr>
          <w:rFonts w:ascii="Calibri" w:hAnsi="Calibri"/>
          <w:b/>
          <w:sz w:val="19"/>
          <w:color w:val="1F4D78"/>
        </w:rPr>
        <w:t xml:space="preserve">Implementation considerations. </w:t>
      </w:r>
      <w:r>
        <w:rPr>
          <w:rFonts w:ascii="Calibri" w:hAnsi="Calibri"/>
          <w:sz w:val="19"/>
          <w:color w:val="000000"/>
        </w:rPr>
        <w:t>Automatically capture defined events and prior/new context; protect and retain audit records; provide searchable review populations and controlled review evidence; implementation detail and evidence remain Verify. Accountable roles: Fictional Data Integrity SME with Quality Assurance and IT Solution Owner.</w:t>
      </w:r>
    </w:p>
    <w:p>
      <w:pPr>
        <w:spacing w:after="60" w:line="240" w:lineRule="auto"/>
      </w:pPr>
      <w:r>
        <w:rPr>
          <w:rFonts w:ascii="Calibri" w:hAnsi="Calibri"/>
          <w:b/>
          <w:sz w:val="18"/>
          <w:color w:val="1F4D78"/>
        </w:rPr>
        <w:t xml:space="preserve">Register linkage. </w:t>
      </w:r>
      <w:r>
        <w:rPr>
          <w:rFonts w:ascii="Calibri" w:hAnsi="Calibri"/>
          <w:sz w:val="18"/>
          <w:color w:val="000000"/>
        </w:rPr>
        <w:t>Requirements: URS-MES-020 to 023. Risks: RSK-MES-008, RSK-MES-010, RSK-MES-024.</w:t>
      </w:r>
    </w:p>
    <w:p>
      <w:pPr>
        <w:pStyle w:val="Heading2"/>
      </w:pPr>
      <w:r>
        <w:rPr>
          <w:rFonts w:ascii="Calibri" w:hAnsi="Calibri"/>
          <w:b/>
          <w:sz w:val="26"/>
          <w:color w:val="2E74B5"/>
        </w:rPr>
        <w:t>4.6 Data integrity and lifecycle</w:t>
      </w:r>
    </w:p>
    <w:p>
      <w:pPr>
        <w:spacing w:after="60" w:line="240" w:lineRule="auto"/>
      </w:pPr>
      <w:r>
        <w:rPr>
          <w:rFonts w:ascii="Calibri" w:hAnsi="Calibri"/>
          <w:b/>
          <w:sz w:val="19"/>
          <w:color w:val="1F4D78"/>
        </w:rPr>
        <w:t xml:space="preserve">Need and intended use. </w:t>
      </w:r>
      <w:r>
        <w:rPr>
          <w:rFonts w:ascii="Calibri" w:hAnsi="Calibri"/>
          <w:sz w:val="19"/>
          <w:color w:val="000000"/>
        </w:rPr>
        <w:t>Preserve ALCOA+ data and metadata through time, correction, transfer and recovery.</w:t>
      </w:r>
    </w:p>
    <w:p>
      <w:pPr>
        <w:spacing w:after="60" w:line="240" w:lineRule="auto"/>
      </w:pPr>
      <w:r>
        <w:rPr>
          <w:rFonts w:ascii="Calibri" w:hAnsi="Calibri"/>
          <w:b/>
          <w:sz w:val="18"/>
          <w:color w:val="1F4D78"/>
        </w:rPr>
        <w:t xml:space="preserve">Major capabilities. </w:t>
      </w:r>
      <w:r>
        <w:rPr>
          <w:rFonts w:ascii="Calibri" w:hAnsi="Calibri"/>
          <w:sz w:val="18"/>
          <w:color w:val="000000"/>
        </w:rPr>
        <w:t>URS-MES-024 to 027: ALCOA+ data lifecycle; Authoritative and consistent time; Controlled correction of GxP data; Preservation through transfer, retention, and migration.</w:t>
      </w:r>
    </w:p>
    <w:p>
      <w:pPr>
        <w:spacing w:after="60" w:line="240" w:lineRule="auto"/>
      </w:pPr>
      <w:r>
        <w:rPr>
          <w:rFonts w:ascii="Calibri" w:hAnsi="Calibri"/>
          <w:b/>
          <w:sz w:val="19"/>
          <w:color w:val="1F4D78"/>
        </w:rPr>
        <w:t xml:space="preserve">Business-process risk. </w:t>
      </w:r>
      <w:r>
        <w:rPr>
          <w:rFonts w:ascii="Calibri" w:hAnsi="Calibri"/>
          <w:sz w:val="19"/>
          <w:color w:val="000000"/>
        </w:rPr>
        <w:t>Gxp data may lose attribution, chronology, accuracy, completeness, consistency, durability, availability, original meaning, or controlled correction history.</w:t>
      </w:r>
    </w:p>
    <w:p>
      <w:pPr>
        <w:spacing w:after="60" w:line="240" w:lineRule="auto"/>
      </w:pPr>
      <w:r>
        <w:rPr>
          <w:rFonts w:ascii="Calibri" w:hAnsi="Calibri"/>
          <w:b/>
          <w:sz w:val="19"/>
          <w:color w:val="1F4D78"/>
        </w:rPr>
        <w:t xml:space="preserve">Implementation considerations. </w:t>
      </w:r>
      <w:r>
        <w:rPr>
          <w:rFonts w:ascii="Calibri" w:hAnsi="Calibri"/>
          <w:sz w:val="19"/>
          <w:color w:val="000000"/>
        </w:rPr>
        <w:t>Implement alcoa+ lifecycle controls, authoritative time, controlled correction, transfer/archive/restore/migration reconciliation, and preservation of metadata and dynamic relationships; implementation detail and evidence remain Verify. Accountable roles: Fictional Data Integrity SME with Process Owner and Validation Lead.</w:t>
      </w:r>
    </w:p>
    <w:p>
      <w:pPr>
        <w:spacing w:after="60" w:line="240" w:lineRule="auto"/>
      </w:pPr>
      <w:r>
        <w:rPr>
          <w:rFonts w:ascii="Calibri" w:hAnsi="Calibri"/>
          <w:b/>
          <w:sz w:val="18"/>
          <w:color w:val="1F4D78"/>
        </w:rPr>
        <w:t xml:space="preserve">Register linkage. </w:t>
      </w:r>
      <w:r>
        <w:rPr>
          <w:rFonts w:ascii="Calibri" w:hAnsi="Calibri"/>
          <w:sz w:val="18"/>
          <w:color w:val="000000"/>
        </w:rPr>
        <w:t>Requirements: URS-MES-024 to 027. Risks: RSK-MES-002, RSK-MES-004, RSK-MES-009, RSK-MES-010, RSK-MES-026.</w:t>
      </w:r>
    </w:p>
    <w:p>
      <w:pPr>
        <w:pStyle w:val="Heading2"/>
      </w:pPr>
      <w:r>
        <w:rPr>
          <w:rFonts w:ascii="Calibri" w:hAnsi="Calibri"/>
          <w:b/>
          <w:sz w:val="26"/>
          <w:color w:val="2E74B5"/>
        </w:rPr>
        <w:t>4.7 Interfaces and integration</w:t>
      </w:r>
    </w:p>
    <w:p>
      <w:pPr>
        <w:spacing w:after="60" w:line="240" w:lineRule="auto"/>
      </w:pPr>
      <w:r>
        <w:rPr>
          <w:rFonts w:ascii="Calibri" w:hAnsi="Calibri"/>
          <w:b/>
          <w:sz w:val="19"/>
          <w:color w:val="1F4D78"/>
        </w:rPr>
        <w:t xml:space="preserve">Need and intended use. </w:t>
      </w:r>
      <w:r>
        <w:rPr>
          <w:rFonts w:ascii="Calibri" w:hAnsi="Calibri"/>
          <w:sz w:val="19"/>
          <w:color w:val="000000"/>
        </w:rPr>
        <w:t>Exchange commands and GxP information deterministically across ERP, LIMS, automation, historian/reporting, identity and monitoring layers.</w:t>
      </w:r>
    </w:p>
    <w:p>
      <w:pPr>
        <w:spacing w:after="60" w:line="240" w:lineRule="auto"/>
      </w:pPr>
      <w:r>
        <w:rPr>
          <w:rFonts w:ascii="Calibri" w:hAnsi="Calibri"/>
          <w:b/>
          <w:sz w:val="18"/>
          <w:color w:val="1F4D78"/>
        </w:rPr>
        <w:t xml:space="preserve">Major capabilities. </w:t>
      </w:r>
      <w:r>
        <w:rPr>
          <w:rFonts w:ascii="Calibri" w:hAnsi="Calibri"/>
          <w:sz w:val="18"/>
          <w:color w:val="000000"/>
        </w:rPr>
        <w:t>URS-MES-028 to 036: ERP inbound orders and master data; ERP outbound manufacturing confirmation; LIMS sample request and status transfer; LIMS result and disposition receipt; Controlled commands to automation; Automation data receipt; Historian and reporting publication; Enterprise identity integration; Common interface integrity and failure control.</w:t>
      </w:r>
    </w:p>
    <w:p>
      <w:pPr>
        <w:spacing w:after="60" w:line="240" w:lineRule="auto"/>
      </w:pPr>
      <w:r>
        <w:rPr>
          <w:rFonts w:ascii="Calibri" w:hAnsi="Calibri"/>
          <w:b/>
          <w:sz w:val="19"/>
          <w:color w:val="1F4D78"/>
        </w:rPr>
        <w:t xml:space="preserve">Business-process risk. </w:t>
      </w:r>
      <w:r>
        <w:rPr>
          <w:rFonts w:ascii="Calibri" w:hAnsi="Calibri"/>
          <w:sz w:val="19"/>
          <w:color w:val="000000"/>
        </w:rPr>
        <w:t>Cross-system data or commands may be wrong, incomplete, duplicated, late, unmatched, mis-sequenced, unauthorised, unreconciled, or applied to the wrong batch/state.</w:t>
      </w:r>
    </w:p>
    <w:p>
      <w:pPr>
        <w:spacing w:after="60" w:line="240" w:lineRule="auto"/>
      </w:pPr>
      <w:r>
        <w:rPr>
          <w:rFonts w:ascii="Calibri" w:hAnsi="Calibri"/>
          <w:b/>
          <w:sz w:val="19"/>
          <w:color w:val="1F4D78"/>
        </w:rPr>
        <w:t xml:space="preserve">Implementation considerations. </w:t>
      </w:r>
      <w:r>
        <w:rPr>
          <w:rFonts w:ascii="Calibri" w:hAnsi="Calibri"/>
          <w:sz w:val="19"/>
          <w:color w:val="000000"/>
        </w:rPr>
        <w:t>Control source authority, mapping/version, identity, sequence, validation, acknowledgement, timeout, retry/replay, quarantine, error visibility, monitoring, safe failure, and reconciliation; implementation detail and evidence remain Verify. Accountable roles: Fictional Integration Lead with Data Owner, Process Owner and IT Solution Owner.</w:t>
      </w:r>
    </w:p>
    <w:p>
      <w:pPr>
        <w:spacing w:after="60" w:line="240" w:lineRule="auto"/>
      </w:pPr>
      <w:r>
        <w:rPr>
          <w:rFonts w:ascii="Calibri" w:hAnsi="Calibri"/>
          <w:b/>
          <w:sz w:val="18"/>
          <w:color w:val="1F4D78"/>
        </w:rPr>
        <w:t xml:space="preserve">Register linkage. </w:t>
      </w:r>
      <w:r>
        <w:rPr>
          <w:rFonts w:ascii="Calibri" w:hAnsi="Calibri"/>
          <w:sz w:val="18"/>
          <w:color w:val="000000"/>
        </w:rPr>
        <w:t>Requirements: URS-MES-028 to 036. Risks: RSK-MES-005, RSK-MES-006, RSK-MES-011, RSK-MES-012, RSK-MES-013, RSK-MES-014, RSK-MES-015, RSK-MES-019.</w:t>
      </w:r>
    </w:p>
    <w:p>
      <w:pPr>
        <w:pStyle w:val="Heading2"/>
      </w:pPr>
      <w:r>
        <w:rPr>
          <w:rFonts w:ascii="Calibri" w:hAnsi="Calibri"/>
          <w:b/>
          <w:sz w:val="26"/>
          <w:color w:val="2E74B5"/>
        </w:rPr>
        <w:t>4.8 Availability, backup and recovery</w:t>
      </w:r>
    </w:p>
    <w:p>
      <w:pPr>
        <w:spacing w:after="60" w:line="240" w:lineRule="auto"/>
      </w:pPr>
      <w:r>
        <w:rPr>
          <w:rFonts w:ascii="Calibri" w:hAnsi="Calibri"/>
          <w:b/>
          <w:sz w:val="19"/>
          <w:color w:val="1F4D78"/>
        </w:rPr>
        <w:t xml:space="preserve">Need and intended use. </w:t>
      </w:r>
      <w:r>
        <w:rPr>
          <w:rFonts w:ascii="Calibri" w:hAnsi="Calibri"/>
          <w:sz w:val="19"/>
          <w:color w:val="000000"/>
        </w:rPr>
        <w:t>Maintain service and recover software, configuration and records within approved business needs.</w:t>
      </w:r>
    </w:p>
    <w:p>
      <w:pPr>
        <w:spacing w:after="60" w:line="240" w:lineRule="auto"/>
      </w:pPr>
      <w:r>
        <w:rPr>
          <w:rFonts w:ascii="Calibri" w:hAnsi="Calibri"/>
          <w:b/>
          <w:sz w:val="18"/>
          <w:color w:val="1F4D78"/>
        </w:rPr>
        <w:t xml:space="preserve">Major capabilities. </w:t>
      </w:r>
      <w:r>
        <w:rPr>
          <w:rFonts w:ascii="Calibri" w:hAnsi="Calibri"/>
          <w:sz w:val="18"/>
          <w:color w:val="000000"/>
        </w:rPr>
        <w:t>URS-MES-037 to 040: Risk-based backup coverage; Complete and accurate restoration; Coordinated service recovery; Backup and recovery verification and monitoring.</w:t>
      </w:r>
    </w:p>
    <w:p>
      <w:pPr>
        <w:spacing w:after="60" w:line="240" w:lineRule="auto"/>
      </w:pPr>
      <w:r>
        <w:rPr>
          <w:rFonts w:ascii="Calibri" w:hAnsi="Calibri"/>
          <w:b/>
          <w:sz w:val="19"/>
          <w:color w:val="1F4D78"/>
        </w:rPr>
        <w:t xml:space="preserve">Business-process risk. </w:t>
      </w:r>
      <w:r>
        <w:rPr>
          <w:rFonts w:ascii="Calibri" w:hAnsi="Calibri"/>
          <w:sz w:val="19"/>
          <w:color w:val="000000"/>
        </w:rPr>
        <w:t>The service or its records may be unavailable, unrecoverable, outside business objectives, internally inconsistent, or resumed before regulated state is reconciled.</w:t>
      </w:r>
    </w:p>
    <w:p>
      <w:pPr>
        <w:spacing w:after="60" w:line="240" w:lineRule="auto"/>
      </w:pPr>
      <w:r>
        <w:rPr>
          <w:rFonts w:ascii="Calibri" w:hAnsi="Calibri"/>
          <w:b/>
          <w:sz w:val="19"/>
          <w:color w:val="1F4D78"/>
        </w:rPr>
        <w:t xml:space="preserve">Implementation considerations. </w:t>
      </w:r>
      <w:r>
        <w:rPr>
          <w:rFonts w:ascii="Calibri" w:hAnsi="Calibri"/>
          <w:sz w:val="19"/>
          <w:color w:val="000000"/>
        </w:rPr>
        <w:t>Define risk-based backup coverage and objectives; verify protected backup, complete restoration, coordinated recovery, monitoring, issue handling, and post-recovery reconciliation; implementation detail and evidence remain Verify. Accountable roles: Fictional IT Solution Owner with Service/Recovery Lead and Data Integrity SME.</w:t>
      </w:r>
    </w:p>
    <w:p>
      <w:pPr>
        <w:spacing w:after="60" w:line="240" w:lineRule="auto"/>
      </w:pPr>
      <w:r>
        <w:rPr>
          <w:rFonts w:ascii="Calibri" w:hAnsi="Calibri"/>
          <w:b/>
          <w:sz w:val="18"/>
          <w:color w:val="1F4D78"/>
        </w:rPr>
        <w:t xml:space="preserve">Register linkage. </w:t>
      </w:r>
      <w:r>
        <w:rPr>
          <w:rFonts w:ascii="Calibri" w:hAnsi="Calibri"/>
          <w:sz w:val="18"/>
          <w:color w:val="000000"/>
        </w:rPr>
        <w:t>Requirements: URS-MES-037 to 040. Risks: RSK-MES-016, RSK-MES-017, RSK-MES-018, RSK-MES-020, RSK-MES-024.</w:t>
      </w:r>
    </w:p>
    <w:p>
      <w:pPr>
        <w:pStyle w:val="Heading2"/>
      </w:pPr>
      <w:r>
        <w:rPr>
          <w:rFonts w:ascii="Calibri" w:hAnsi="Calibri"/>
          <w:b/>
          <w:sz w:val="26"/>
          <w:color w:val="2E74B5"/>
        </w:rPr>
        <w:t>4.9 Reporting and review views</w:t>
      </w:r>
    </w:p>
    <w:p>
      <w:pPr>
        <w:spacing w:after="60" w:line="240" w:lineRule="auto"/>
      </w:pPr>
      <w:r>
        <w:rPr>
          <w:rFonts w:ascii="Calibri" w:hAnsi="Calibri"/>
          <w:b/>
          <w:sz w:val="19"/>
          <w:color w:val="1F4D78"/>
        </w:rPr>
        <w:t xml:space="preserve">Need and intended use. </w:t>
      </w:r>
      <w:r>
        <w:rPr>
          <w:rFonts w:ascii="Calibri" w:hAnsi="Calibri"/>
          <w:sz w:val="19"/>
          <w:color w:val="000000"/>
        </w:rPr>
        <w:t>Provide controlled operational and quality views that support correct, traceable decisions.</w:t>
      </w:r>
    </w:p>
    <w:p>
      <w:pPr>
        <w:spacing w:after="60" w:line="240" w:lineRule="auto"/>
      </w:pPr>
      <w:r>
        <w:rPr>
          <w:rFonts w:ascii="Calibri" w:hAnsi="Calibri"/>
          <w:b/>
          <w:sz w:val="18"/>
          <w:color w:val="1F4D78"/>
        </w:rPr>
        <w:t xml:space="preserve">Major capabilities. </w:t>
      </w:r>
      <w:r>
        <w:rPr>
          <w:rFonts w:ascii="Calibri" w:hAnsi="Calibri"/>
          <w:sz w:val="18"/>
          <w:color w:val="000000"/>
        </w:rPr>
        <w:t>URS-MES-041 to 044: Operational execution reporting; Quality and review-by-exception reporting; Interface and exception reconciliation reporting; Controlled report and extract provenance.</w:t>
      </w:r>
    </w:p>
    <w:p>
      <w:pPr>
        <w:spacing w:after="60" w:line="240" w:lineRule="auto"/>
      </w:pPr>
      <w:r>
        <w:rPr>
          <w:rFonts w:ascii="Calibri" w:hAnsi="Calibri"/>
          <w:b/>
          <w:sz w:val="19"/>
          <w:color w:val="1F4D78"/>
        </w:rPr>
        <w:t xml:space="preserve">Business-process risk. </w:t>
      </w:r>
      <w:r>
        <w:rPr>
          <w:rFonts w:ascii="Calibri" w:hAnsi="Calibri"/>
          <w:sz w:val="19"/>
          <w:color w:val="000000"/>
        </w:rPr>
        <w:t>Operational or quality decisions may rely on incomplete, stale, unauthorised, misinterpreted, altered, or poorly sourced reports and extracts.</w:t>
      </w:r>
    </w:p>
    <w:p>
      <w:pPr>
        <w:spacing w:after="60" w:line="240" w:lineRule="auto"/>
      </w:pPr>
      <w:r>
        <w:rPr>
          <w:rFonts w:ascii="Calibri" w:hAnsi="Calibri"/>
          <w:b/>
          <w:sz w:val="19"/>
          <w:color w:val="1F4D78"/>
        </w:rPr>
        <w:t xml:space="preserve">Implementation considerations. </w:t>
      </w:r>
      <w:r>
        <w:rPr>
          <w:rFonts w:ascii="Calibri" w:hAnsi="Calibri"/>
          <w:sz w:val="19"/>
          <w:color w:val="000000"/>
        </w:rPr>
        <w:t>Use controlled report definitions, source authority, filters, provenance, access, immutable issued output, drill-back to underlying evidence, and source-to-report reconciliation; implementation detail and evidence remain Verify. Accountable roles: Fictional Process Owner with Quality Assurance and Data Owner.</w:t>
      </w:r>
    </w:p>
    <w:p>
      <w:pPr>
        <w:spacing w:after="60" w:line="240" w:lineRule="auto"/>
      </w:pPr>
      <w:r>
        <w:rPr>
          <w:rFonts w:ascii="Calibri" w:hAnsi="Calibri"/>
          <w:b/>
          <w:sz w:val="18"/>
          <w:color w:val="1F4D78"/>
        </w:rPr>
        <w:t xml:space="preserve">Register linkage. </w:t>
      </w:r>
      <w:r>
        <w:rPr>
          <w:rFonts w:ascii="Calibri" w:hAnsi="Calibri"/>
          <w:sz w:val="18"/>
          <w:color w:val="000000"/>
        </w:rPr>
        <w:t>Requirements: URS-MES-041 to 044. Risks: RSK-MES-003, RSK-MES-004, RSK-MES-008, RSK-MES-010, RSK-MES-014, RSK-MES-015, RSK-MES-022, RSK-MES-023.</w:t>
      </w:r>
    </w:p>
    <w:p>
      <w:pPr>
        <w:pStyle w:val="Heading2"/>
      </w:pPr>
      <w:r>
        <w:rPr>
          <w:rFonts w:ascii="Calibri" w:hAnsi="Calibri"/>
          <w:b/>
          <w:sz w:val="26"/>
          <w:color w:val="2E74B5"/>
        </w:rPr>
        <w:t>4.10 Operations, supplier and maintained state</w:t>
      </w:r>
    </w:p>
    <w:p>
      <w:pPr>
        <w:spacing w:after="60" w:line="240" w:lineRule="auto"/>
      </w:pPr>
      <w:r>
        <w:rPr>
          <w:rFonts w:ascii="Calibri" w:hAnsi="Calibri"/>
          <w:b/>
          <w:sz w:val="19"/>
          <w:color w:val="1F4D78"/>
        </w:rPr>
        <w:t xml:space="preserve">Need and intended use. </w:t>
      </w:r>
      <w:r>
        <w:rPr>
          <w:rFonts w:ascii="Calibri" w:hAnsi="Calibri"/>
          <w:sz w:val="19"/>
          <w:color w:val="000000"/>
        </w:rPr>
        <w:t>Keep the solution controlled through monitoring, incidents, change, suppliers, periodic evaluation and trained use.</w:t>
      </w:r>
    </w:p>
    <w:p>
      <w:pPr>
        <w:spacing w:after="60" w:line="240" w:lineRule="auto"/>
      </w:pPr>
      <w:r>
        <w:rPr>
          <w:rFonts w:ascii="Calibri" w:hAnsi="Calibri"/>
          <w:b/>
          <w:sz w:val="18"/>
          <w:color w:val="1F4D78"/>
        </w:rPr>
        <w:t xml:space="preserve">Major capabilities. </w:t>
      </w:r>
      <w:r>
        <w:rPr>
          <w:rFonts w:ascii="Calibri" w:hAnsi="Calibri"/>
          <w:sz w:val="18"/>
          <w:color w:val="000000"/>
        </w:rPr>
        <w:t>URS-MES-045 to 050: Operational monitoring and alerting; Incident and problem control; Controlled change and configuration baseline; Supplier and service-provider assurance; Periodic evaluation of continued fitness; Role-based training and controlled guidance.</w:t>
      </w:r>
    </w:p>
    <w:p>
      <w:pPr>
        <w:spacing w:after="60" w:line="240" w:lineRule="auto"/>
      </w:pPr>
      <w:r>
        <w:rPr>
          <w:rFonts w:ascii="Calibri" w:hAnsi="Calibri"/>
          <w:b/>
          <w:sz w:val="19"/>
          <w:color w:val="1F4D78"/>
        </w:rPr>
        <w:t xml:space="preserve">Business-process risk. </w:t>
      </w:r>
      <w:r>
        <w:rPr>
          <w:rFonts w:ascii="Calibri" w:hAnsi="Calibri"/>
          <w:sz w:val="19"/>
          <w:color w:val="000000"/>
        </w:rPr>
        <w:t>Monitoring, incident, change, supplier, periodic-review, or training controls may fail to preserve the validated and secure state.</w:t>
      </w:r>
    </w:p>
    <w:p>
      <w:pPr>
        <w:spacing w:after="60" w:line="240" w:lineRule="auto"/>
      </w:pPr>
      <w:r>
        <w:rPr>
          <w:rFonts w:ascii="Calibri" w:hAnsi="Calibri"/>
          <w:b/>
          <w:sz w:val="19"/>
          <w:color w:val="1F4D78"/>
        </w:rPr>
        <w:t xml:space="preserve">Implementation considerations. </w:t>
      </w:r>
      <w:r>
        <w:rPr>
          <w:rFonts w:ascii="Calibri" w:hAnsi="Calibri"/>
          <w:sz w:val="19"/>
          <w:color w:val="000000"/>
        </w:rPr>
        <w:t>Establish accountable monitoring and alerts, gxp-aware incident/problem handling, controlled configuration/change, supplier obligations/evidence, periodic evaluation, and role-based training; implementation detail and evidence remain Verify. Accountable roles: Fictional IT Solution Owner with Service Manager, Validation Lead and Quality Assurance.</w:t>
      </w:r>
    </w:p>
    <w:p>
      <w:pPr>
        <w:spacing w:after="60" w:line="240" w:lineRule="auto"/>
      </w:pPr>
      <w:r>
        <w:rPr>
          <w:rFonts w:ascii="Calibri" w:hAnsi="Calibri"/>
          <w:b/>
          <w:sz w:val="18"/>
          <w:color w:val="1F4D78"/>
        </w:rPr>
        <w:t xml:space="preserve">Register linkage. </w:t>
      </w:r>
      <w:r>
        <w:rPr>
          <w:rFonts w:ascii="Calibri" w:hAnsi="Calibri"/>
          <w:sz w:val="18"/>
          <w:color w:val="000000"/>
        </w:rPr>
        <w:t>Requirements: URS-MES-045 to 050. Risks: RSK-MES-001, RSK-MES-005, RSK-MES-006, RSK-MES-010, RSK-MES-015, RSK-MES-016, RSK-MES-017, RSK-MES-018, RSK-MES-019, RSK-MES-020, RSK-MES-021, RSK-MES-022, RSK-MES-024, RSK-MES-025, RSK-MES-026.</w:t>
      </w:r>
    </w:p>
    <w:p>
      <w:pPr>
        <w:pStyle w:val="Heading2"/>
      </w:pPr>
      <w:r>
        <w:rPr>
          <w:rFonts w:ascii="Calibri" w:hAnsi="Calibri"/>
          <w:b/>
          <w:sz w:val="26"/>
          <w:color w:val="2E74B5"/>
        </w:rPr>
        <w:t>4.11 Part 1 portfolio reconciliation</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1900"/>
        <w:gridCol w:w="1350"/>
        <w:gridCol w:w="1100"/>
        <w:gridCol w:w="2250"/>
        <w:gridCol w:w="1200"/>
        <w:gridCol w:w="1560"/>
      </w:tblGrid>
      <w:tr>
        <w:trPr>
          <w:cantSplit/>
          <w:tblHeader w:val="true"/>
        </w:trPr>
        <w:tc>
          <w:tcPr>
            <w:tcW w:type="dxa" w:w="190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Domain</w:t>
            </w:r>
          </w:p>
        </w:tc>
        <w:tc>
          <w:tcPr>
            <w:tcW w:type="dxa" w:w="135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URS coverage</w:t>
            </w:r>
          </w:p>
        </w:tc>
        <w:tc>
          <w:tcPr>
            <w:tcW w:type="dxa" w:w="110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Class mix</w:t>
            </w:r>
          </w:p>
        </w:tc>
        <w:tc>
          <w:tcPr>
            <w:tcW w:type="dxa" w:w="225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Linked risks</w:t>
            </w:r>
          </w:p>
        </w:tc>
        <w:tc>
          <w:tcPr>
            <w:tcW w:type="dxa" w:w="1200"/>
            <w:tcMar>
              <w:top w:w="70" w:type="dxa"/>
              <w:start w:w="120" w:type="dxa"/>
              <w:bottom w:w="70" w:type="dxa"/>
              <w:end w:w="120" w:type="dxa"/>
            </w:tcMar>
            <w:shd w:fill="0B2545"/>
            <w:vAlign w:val="center"/>
          </w:tcPr>
          <w:p>
            <w:pPr>
              <w:spacing w:before="0" w:after="0" w:line="240" w:lineRule="auto"/>
              <w:jc w:val="center"/>
            </w:pPr>
            <w:r/>
            <w:r>
              <w:rPr>
                <w:rFonts w:ascii="Calibri" w:hAnsi="Calibri"/>
                <w:b/>
                <w:sz w:val="13"/>
                <w:color w:val="FFFFFF"/>
              </w:rPr>
              <w:t>Working max</w:t>
            </w:r>
          </w:p>
        </w:tc>
        <w:tc>
          <w:tcPr>
            <w:tcW w:type="dxa" w:w="156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State</w:t>
            </w:r>
          </w:p>
        </w:tc>
      </w:tr>
      <w:tr>
        <w:trPr>
          <w:cantSplit/>
        </w:trPr>
        <w:tc>
          <w:tcPr>
            <w:tcW w:type="dxa" w:w="19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Manufacturing workflow and EBR</w:t>
            </w:r>
          </w:p>
        </w:tc>
        <w:tc>
          <w:tcPr>
            <w:tcW w:type="dxa" w:w="13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URS-MES-001 to 009</w:t>
            </w:r>
          </w:p>
        </w:tc>
        <w:tc>
          <w:tcPr>
            <w:tcW w:type="dxa" w:w="11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Functional 9</w:t>
            </w:r>
          </w:p>
        </w:tc>
        <w:tc>
          <w:tcPr>
            <w:tcW w:type="dxa" w:w="22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RSK-MES-001, RSK-MES-002, RSK-MES-003, RSK-MES-007, RSK-MES-008, RSK-MES-013, RSK-MES-015, RSK-MES-021</w:t>
            </w:r>
          </w:p>
        </w:tc>
        <w:tc>
          <w:tcPr>
            <w:tcW w:type="dxa" w:w="12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5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Open - controls/evidence planned</w:t>
            </w:r>
          </w:p>
        </w:tc>
      </w:tr>
      <w:tr>
        <w:trPr>
          <w:cantSplit/>
        </w:trPr>
        <w:tc>
          <w:tcPr>
            <w:tcW w:type="dxa" w:w="1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Electronic records and copies</w:t>
            </w:r>
          </w:p>
        </w:tc>
        <w:tc>
          <w:tcPr>
            <w:tcW w:type="dxa" w:w="13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URS-MES-010, URS-MES-011</w:t>
            </w:r>
          </w:p>
        </w:tc>
        <w:tc>
          <w:tcPr>
            <w:tcW w:type="dxa" w:w="11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Non-functional 2</w:t>
            </w:r>
          </w:p>
        </w:tc>
        <w:tc>
          <w:tcPr>
            <w:tcW w:type="dxa" w:w="22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RSK-MES-004, RSK-MES-010, RSK-MES-017, RSK-MES-023</w:t>
            </w:r>
          </w:p>
        </w:tc>
        <w:tc>
          <w:tcPr>
            <w:tcW w:type="dxa" w:w="12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Open - controls/evidence planned</w:t>
            </w:r>
          </w:p>
        </w:tc>
      </w:tr>
      <w:tr>
        <w:trPr>
          <w:cantSplit/>
        </w:trPr>
        <w:tc>
          <w:tcPr>
            <w:tcW w:type="dxa" w:w="19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Identity and access control</w:t>
            </w:r>
          </w:p>
        </w:tc>
        <w:tc>
          <w:tcPr>
            <w:tcW w:type="dxa" w:w="13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URS-MES-012 to 016</w:t>
            </w:r>
          </w:p>
        </w:tc>
        <w:tc>
          <w:tcPr>
            <w:tcW w:type="dxa" w:w="11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Non-functional 5</w:t>
            </w:r>
          </w:p>
        </w:tc>
        <w:tc>
          <w:tcPr>
            <w:tcW w:type="dxa" w:w="22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RSK-MES-005, RSK-MES-006, RSK-MES-019, RSK-MES-024</w:t>
            </w:r>
          </w:p>
        </w:tc>
        <w:tc>
          <w:tcPr>
            <w:tcW w:type="dxa" w:w="12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5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Open - controls/evidence planned</w:t>
            </w:r>
          </w:p>
        </w:tc>
      </w:tr>
      <w:tr>
        <w:trPr>
          <w:cantSplit/>
        </w:trPr>
        <w:tc>
          <w:tcPr>
            <w:tcW w:type="dxa" w:w="1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Electronic signatures</w:t>
            </w:r>
          </w:p>
        </w:tc>
        <w:tc>
          <w:tcPr>
            <w:tcW w:type="dxa" w:w="13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URS-MES-017 to 019</w:t>
            </w:r>
          </w:p>
        </w:tc>
        <w:tc>
          <w:tcPr>
            <w:tcW w:type="dxa" w:w="11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Functional 3</w:t>
            </w:r>
          </w:p>
        </w:tc>
        <w:tc>
          <w:tcPr>
            <w:tcW w:type="dxa" w:w="22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RSK-MES-007, RSK-MES-010</w:t>
            </w:r>
          </w:p>
        </w:tc>
        <w:tc>
          <w:tcPr>
            <w:tcW w:type="dxa" w:w="12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Open - controls/evidence planned</w:t>
            </w:r>
          </w:p>
        </w:tc>
      </w:tr>
      <w:tr>
        <w:trPr>
          <w:cantSplit/>
        </w:trPr>
        <w:tc>
          <w:tcPr>
            <w:tcW w:type="dxa" w:w="19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Audit trail</w:t>
            </w:r>
          </w:p>
        </w:tc>
        <w:tc>
          <w:tcPr>
            <w:tcW w:type="dxa" w:w="13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URS-MES-020 to 023</w:t>
            </w:r>
          </w:p>
        </w:tc>
        <w:tc>
          <w:tcPr>
            <w:tcW w:type="dxa" w:w="11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Non-functional 4</w:t>
            </w:r>
          </w:p>
        </w:tc>
        <w:tc>
          <w:tcPr>
            <w:tcW w:type="dxa" w:w="22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RSK-MES-008, RSK-MES-010, RSK-MES-024</w:t>
            </w:r>
          </w:p>
        </w:tc>
        <w:tc>
          <w:tcPr>
            <w:tcW w:type="dxa" w:w="12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5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Open - controls/evidence planned</w:t>
            </w:r>
          </w:p>
        </w:tc>
      </w:tr>
      <w:tr>
        <w:trPr>
          <w:cantSplit/>
        </w:trPr>
        <w:tc>
          <w:tcPr>
            <w:tcW w:type="dxa" w:w="1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Data integrity and lifecycle</w:t>
            </w:r>
          </w:p>
        </w:tc>
        <w:tc>
          <w:tcPr>
            <w:tcW w:type="dxa" w:w="13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URS-MES-024 to 027</w:t>
            </w:r>
          </w:p>
        </w:tc>
        <w:tc>
          <w:tcPr>
            <w:tcW w:type="dxa" w:w="11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Non-functional 4</w:t>
            </w:r>
          </w:p>
        </w:tc>
        <w:tc>
          <w:tcPr>
            <w:tcW w:type="dxa" w:w="22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RSK-MES-002, RSK-MES-004, RSK-MES-009, RSK-MES-010, RSK-MES-026</w:t>
            </w:r>
          </w:p>
        </w:tc>
        <w:tc>
          <w:tcPr>
            <w:tcW w:type="dxa" w:w="12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Open - controls/evidence planned</w:t>
            </w:r>
          </w:p>
        </w:tc>
      </w:tr>
      <w:tr>
        <w:trPr>
          <w:cantSplit/>
        </w:trPr>
        <w:tc>
          <w:tcPr>
            <w:tcW w:type="dxa" w:w="19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Interfaces and integration</w:t>
            </w:r>
          </w:p>
        </w:tc>
        <w:tc>
          <w:tcPr>
            <w:tcW w:type="dxa" w:w="13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URS-MES-028 to 036</w:t>
            </w:r>
          </w:p>
        </w:tc>
        <w:tc>
          <w:tcPr>
            <w:tcW w:type="dxa" w:w="11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Functional 9</w:t>
            </w:r>
          </w:p>
        </w:tc>
        <w:tc>
          <w:tcPr>
            <w:tcW w:type="dxa" w:w="22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RSK-MES-005, RSK-MES-006, RSK-MES-011, RSK-MES-012, RSK-MES-013, RSK-MES-014, RSK-MES-015, RSK-MES-019</w:t>
            </w:r>
          </w:p>
        </w:tc>
        <w:tc>
          <w:tcPr>
            <w:tcW w:type="dxa" w:w="12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5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Open - controls/evidence planned</w:t>
            </w:r>
          </w:p>
        </w:tc>
      </w:tr>
      <w:tr>
        <w:trPr>
          <w:cantSplit/>
        </w:trPr>
        <w:tc>
          <w:tcPr>
            <w:tcW w:type="dxa" w:w="1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Availability, backup and recovery</w:t>
            </w:r>
          </w:p>
        </w:tc>
        <w:tc>
          <w:tcPr>
            <w:tcW w:type="dxa" w:w="13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URS-MES-037 to 040</w:t>
            </w:r>
          </w:p>
        </w:tc>
        <w:tc>
          <w:tcPr>
            <w:tcW w:type="dxa" w:w="11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Non-functional 4</w:t>
            </w:r>
          </w:p>
        </w:tc>
        <w:tc>
          <w:tcPr>
            <w:tcW w:type="dxa" w:w="22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RSK-MES-016, RSK-MES-017, RSK-MES-018, RSK-MES-020, RSK-MES-024</w:t>
            </w:r>
          </w:p>
        </w:tc>
        <w:tc>
          <w:tcPr>
            <w:tcW w:type="dxa" w:w="12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Open - controls/evidence planned</w:t>
            </w:r>
          </w:p>
        </w:tc>
      </w:tr>
      <w:tr>
        <w:trPr>
          <w:cantSplit/>
        </w:trPr>
        <w:tc>
          <w:tcPr>
            <w:tcW w:type="dxa" w:w="19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Reporting and review views</w:t>
            </w:r>
          </w:p>
        </w:tc>
        <w:tc>
          <w:tcPr>
            <w:tcW w:type="dxa" w:w="13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URS-MES-041 to 044</w:t>
            </w:r>
          </w:p>
        </w:tc>
        <w:tc>
          <w:tcPr>
            <w:tcW w:type="dxa" w:w="11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Functional 4</w:t>
            </w:r>
          </w:p>
        </w:tc>
        <w:tc>
          <w:tcPr>
            <w:tcW w:type="dxa" w:w="22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RSK-MES-003, RSK-MES-004, RSK-MES-008, RSK-MES-010, RSK-MES-014, RSK-MES-015, RSK-MES-022, RSK-MES-023</w:t>
            </w:r>
          </w:p>
        </w:tc>
        <w:tc>
          <w:tcPr>
            <w:tcW w:type="dxa" w:w="12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5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Open - controls/evidence planned</w:t>
            </w:r>
          </w:p>
        </w:tc>
      </w:tr>
      <w:tr>
        <w:trPr>
          <w:cantSplit/>
        </w:trPr>
        <w:tc>
          <w:tcPr>
            <w:tcW w:type="dxa" w:w="1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Operations, supplier and maintained state</w:t>
            </w:r>
          </w:p>
        </w:tc>
        <w:tc>
          <w:tcPr>
            <w:tcW w:type="dxa" w:w="13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URS-MES-045 to 050</w:t>
            </w:r>
          </w:p>
        </w:tc>
        <w:tc>
          <w:tcPr>
            <w:tcW w:type="dxa" w:w="11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Non-functional 6</w:t>
            </w:r>
          </w:p>
        </w:tc>
        <w:tc>
          <w:tcPr>
            <w:tcW w:type="dxa" w:w="22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RSK-MES-001, RSK-MES-005, RSK-MES-006, RSK-MES-010, RSK-MES-015, RSK-MES-016, RSK-MES-017, RSK-MES-018, RSK-MES-019, RSK-MES-020, RSK-MES-021, RSK-MES-022, RSK-MES-024, RSK-MES-025, RSK-MES-026</w:t>
            </w:r>
          </w:p>
        </w:tc>
        <w:tc>
          <w:tcPr>
            <w:tcW w:type="dxa" w:w="12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Open - controls/evidence planned</w:t>
            </w:r>
          </w:p>
        </w:tc>
      </w:tr>
    </w:tbl>
    <w:p>
      <w:pPr>
        <w:spacing w:after="40"/>
      </w:pPr>
    </w:p>
    <w:p>
      <w:pPr>
        <w:spacing w:before="80" w:after="160"/>
        <w:ind w:left="120" w:right="120"/>
        <w:shd w:fill="E2F0D9"/>
        <w:pBdr>
          <w:left w:val="single" w:sz="18" w:space="4" w:color="375623"/>
        </w:pBdr>
      </w:pPr>
      <w:r>
        <w:rPr>
          <w:rFonts w:ascii="Calibri" w:hAnsi="Calibri"/>
          <w:b/>
          <w:sz w:val="19"/>
          <w:color w:val="375623"/>
        </w:rPr>
        <w:t xml:space="preserve">Part 1 conclusion. </w:t>
      </w:r>
      <w:r>
        <w:rPr>
          <w:rFonts w:ascii="Calibri" w:hAnsi="Calibri"/>
          <w:b w:val="0"/>
          <w:sz w:val="19"/>
          <w:color w:val="000000"/>
        </w:rPr>
        <w:t>Overall IT quality risks are represented in the existing 26-risk register and all ten requirement domains have an accountable control and evidence route. Part 2 provides the per-requirement decision needed for downstream lifecycle scaling.</w:t>
      </w:r>
    </w:p>
    <w:p>
      <w:pPr>
        <w:pStyle w:val="Heading1"/>
      </w:pPr>
      <w:r>
        <w:rPr>
          <w:rFonts w:ascii="Calibri" w:hAnsi="Calibri"/>
          <w:b/>
          <w:sz w:val="32"/>
          <w:color w:val="2E74B5"/>
        </w:rPr>
        <w:t>5 Part 2 - Detailed IT requirement risk assessment</w:t>
      </w:r>
    </w:p>
    <w:p>
      <w:pPr>
        <w:keepLines w:val="0"/>
        <w:spacing w:after="100" w:line="252" w:lineRule="auto"/>
      </w:pPr>
      <w:r>
        <w:rPr>
          <w:rFonts w:ascii="Calibri" w:hAnsi="Calibri"/>
          <w:sz w:val="21"/>
          <w:color w:val="000000"/>
        </w:rPr>
        <w:t>Each record below preserves the controlled URS statement, classifies the requirement, links the existing risk scenarios, records the available Q0360643 factor basis, defines a control objective and assigns provisional verification rigor. No downstream specification or test identifier is created here.</w:t>
      </w:r>
    </w:p>
    <w:p>
      <w:pPr>
        <w:pStyle w:val="Heading2"/>
      </w:pPr>
      <w:r>
        <w:rPr>
          <w:rFonts w:ascii="Calibri" w:hAnsi="Calibri"/>
          <w:b/>
          <w:sz w:val="26"/>
          <w:color w:val="2E74B5"/>
        </w:rPr>
        <w:t>5.1 Manufacturing workflow and EBR</w:t>
      </w:r>
    </w:p>
    <w:p>
      <w:pPr>
        <w:spacing w:before="80" w:after="160"/>
        <w:ind w:left="120" w:right="120"/>
        <w:shd w:fill="E8EEF5"/>
        <w:pBdr>
          <w:left w:val="single" w:sz="18" w:space="4" w:color="1F4D78"/>
        </w:pBdr>
      </w:pPr>
      <w:r>
        <w:rPr>
          <w:rFonts w:ascii="Calibri" w:hAnsi="Calibri"/>
          <w:b/>
          <w:sz w:val="19"/>
          <w:color w:val="1F4D78"/>
        </w:rPr>
        <w:t xml:space="preserve">Category baseline. </w:t>
      </w:r>
      <w:r>
        <w:rPr>
          <w:rFonts w:ascii="Calibri" w:hAnsi="Calibri"/>
          <w:b w:val="0"/>
          <w:sz w:val="19"/>
          <w:color w:val="000000"/>
        </w:rPr>
        <w:t>9 requirements | 9 Functional | 0 Non-functional | working maximum: High.</w:t>
      </w:r>
    </w:p>
    <w:p>
      <w:pPr>
        <w:pStyle w:val="Heading3"/>
      </w:pPr>
      <w:r>
        <w:rPr>
          <w:rFonts w:ascii="Calibri" w:hAnsi="Calibri"/>
          <w:b/>
          <w:sz w:val="24"/>
          <w:color w:val="1F4D78"/>
        </w:rPr>
        <w:t>URS-MES-001 | Approved order and instruction selection</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make a production order available for execution only when the order is authorised, required master data are valid, and the currently approved effective master batch record or recipe is associated with the order.</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RSK-MES-001, RSK-MES-021.</w:t>
      </w:r>
    </w:p>
    <w:p>
      <w:pPr>
        <w:spacing w:after="60" w:line="240" w:lineRule="auto"/>
      </w:pPr>
      <w:r>
        <w:rPr>
          <w:rFonts w:ascii="Calibri" w:hAnsi="Calibri"/>
          <w:b/>
          <w:sz w:val="18"/>
          <w:color w:val="1F4D78"/>
        </w:rPr>
        <w:t xml:space="preserve">Failure scenario. </w:t>
      </w:r>
      <w:r>
        <w:rPr>
          <w:rFonts w:ascii="Calibri" w:hAnsi="Calibri"/>
          <w:sz w:val="18"/>
          <w:color w:val="000000"/>
        </w:rPr>
        <w:t>If approved order and instruction selection is absent, bypassed, incorrect or unavailable, batch execution may use an unauthorised state or incomplete evidence, compromising product-quality decisions, data integrity, compliance, or timely release. Linked scenarios: Unapproved order, recipe, or execution state; Uncontrolled change, configuration, or promotion.</w:t>
      </w:r>
    </w:p>
    <w:p>
      <w:pPr>
        <w:spacing w:after="60" w:line="240" w:lineRule="auto"/>
      </w:pPr>
      <w:r>
        <w:rPr>
          <w:rFonts w:ascii="Calibri" w:hAnsi="Calibri"/>
          <w:b/>
          <w:sz w:val="18"/>
          <w:color w:val="1F4D78"/>
        </w:rPr>
        <w:t xml:space="preserve">Factor basis. </w:t>
      </w:r>
      <w:r>
        <w:rPr>
          <w:rFonts w:ascii="Calibri" w:hAnsi="Calibri"/>
          <w:sz w:val="18"/>
          <w:color w:val="000000"/>
        </w:rPr>
        <w:t>Type of process: Change of data; business impact: CA / Compliance; frequency: Very often; affected users: Large number / very important; business logic: Complex; implementation: Verify - PAS-X standard/configured/customised split not confirmed; size: Working Large; confirm in FS/DS/CS; interfaces: Interfaced.</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Enforce approved workflow states, prerequisites, data validation, review gates, exception disposition, attributable audit evidence, and batch-context reconciliation. Accountable roles: Fictional Process Owner with IT Solution Owner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approved-state gating, positive/negative transitions, calculation and entry boundaries, review-by-exception, end-to-end batch flow, and source-to-EBR reconciliation. FS/DS/CS/test IDs: not yet assigned. Residual risk: not rated. Status: requirement risk assessed; downstream design, control and test evidence open.</w:t>
      </w:r>
    </w:p>
    <w:p>
      <w:pPr>
        <w:pStyle w:val="Heading3"/>
      </w:pPr>
      <w:r>
        <w:rPr>
          <w:rFonts w:ascii="Calibri" w:hAnsi="Calibri"/>
          <w:b/>
          <w:sz w:val="24"/>
          <w:color w:val="1F4D78"/>
        </w:rPr>
        <w:t>URS-MES-002 | Controlled execution sequence</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guide authorised users through the approved execution sequence and prevent completion of a mandatory step until its defined prerequisites and required entries are satisfied.</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RSK-MES-001.</w:t>
      </w:r>
    </w:p>
    <w:p>
      <w:pPr>
        <w:spacing w:after="60" w:line="240" w:lineRule="auto"/>
      </w:pPr>
      <w:r>
        <w:rPr>
          <w:rFonts w:ascii="Calibri" w:hAnsi="Calibri"/>
          <w:b/>
          <w:sz w:val="18"/>
          <w:color w:val="1F4D78"/>
        </w:rPr>
        <w:t xml:space="preserve">Failure scenario. </w:t>
      </w:r>
      <w:r>
        <w:rPr>
          <w:rFonts w:ascii="Calibri" w:hAnsi="Calibri"/>
          <w:sz w:val="18"/>
          <w:color w:val="000000"/>
        </w:rPr>
        <w:t>If controlled execution sequence is absent, bypassed, incorrect or unavailable, batch execution may use an unauthorised state or incomplete evidence, compromising product-quality decisions, data integrity, compliance, or timely release. Linked scenarios: Unapproved order, recipe, or execution state.</w:t>
      </w:r>
    </w:p>
    <w:p>
      <w:pPr>
        <w:spacing w:after="60" w:line="240" w:lineRule="auto"/>
      </w:pPr>
      <w:r>
        <w:rPr>
          <w:rFonts w:ascii="Calibri" w:hAnsi="Calibri"/>
          <w:b/>
          <w:sz w:val="18"/>
          <w:color w:val="1F4D78"/>
        </w:rPr>
        <w:t xml:space="preserve">Factor basis. </w:t>
      </w:r>
      <w:r>
        <w:rPr>
          <w:rFonts w:ascii="Calibri" w:hAnsi="Calibri"/>
          <w:sz w:val="18"/>
          <w:color w:val="000000"/>
        </w:rPr>
        <w:t>Type of process: Change of data; business impact: CA / Compliance; frequency: Very often; affected users: Large number / very important; business logic: Complex; implementation: Verify - PAS-X standard/configured/customised split not confirmed; size: Working Average; confirm in FS/DS/CS; interfaces: None identified for this requirement.</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Enforce approved workflow states, prerequisites, data validation, review gates, exception disposition, attributable audit evidence, and batch-context reconciliation. Accountable roles: Fictional Process Owner with IT Solution Owner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approved-state gating, positive/negative transitions, calculation and entry boundaries, review-by-exception, end-to-end batch flow, and source-to-EBR reconciliation. FS/DS/CS/test IDs: not yet assigned. Residual risk: not rated. Status: requirement risk assessed; downstream design, control and test evidence open.</w:t>
      </w:r>
    </w:p>
    <w:p>
      <w:pPr>
        <w:pStyle w:val="Heading3"/>
      </w:pPr>
      <w:r>
        <w:rPr>
          <w:rFonts w:ascii="Calibri" w:hAnsi="Calibri"/>
          <w:b/>
          <w:sz w:val="24"/>
          <w:color w:val="1F4D78"/>
        </w:rPr>
        <w:t>URS-MES-003 | Execution data and calculation capture</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capture required manual and automated execution values with their units, source, business context, date and time, and shall apply only approved calculation and validation rules.</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RSK-MES-002, RSK-MES-013.</w:t>
      </w:r>
    </w:p>
    <w:p>
      <w:pPr>
        <w:spacing w:after="60" w:line="240" w:lineRule="auto"/>
      </w:pPr>
      <w:r>
        <w:rPr>
          <w:rFonts w:ascii="Calibri" w:hAnsi="Calibri"/>
          <w:b/>
          <w:sz w:val="18"/>
          <w:color w:val="1F4D78"/>
        </w:rPr>
        <w:t xml:space="preserve">Failure scenario. </w:t>
      </w:r>
      <w:r>
        <w:rPr>
          <w:rFonts w:ascii="Calibri" w:hAnsi="Calibri"/>
          <w:sz w:val="18"/>
          <w:color w:val="000000"/>
        </w:rPr>
        <w:t>If execution data and calculation capture is absent, bypassed, incorrect or unavailable, batch execution may use an unauthorised state or incomplete evidence, compromising product-quality decisions, data integrity, compliance, or timely release. Linked scenarios: Incorrect or incomplete execution data and calculations; Automation command, state, or measurement mismatch.</w:t>
      </w:r>
    </w:p>
    <w:p>
      <w:pPr>
        <w:spacing w:after="60" w:line="240" w:lineRule="auto"/>
      </w:pPr>
      <w:r>
        <w:rPr>
          <w:rFonts w:ascii="Calibri" w:hAnsi="Calibri"/>
          <w:b/>
          <w:sz w:val="18"/>
          <w:color w:val="1F4D78"/>
        </w:rPr>
        <w:t xml:space="preserve">Factor basis. </w:t>
      </w:r>
      <w:r>
        <w:rPr>
          <w:rFonts w:ascii="Calibri" w:hAnsi="Calibri"/>
          <w:sz w:val="18"/>
          <w:color w:val="000000"/>
        </w:rPr>
        <w:t>Type of process: Calculation / Validation; business impact: CA / Compliance; frequency: Very often; affected users: Large number / very important; business logic: Complex; implementation: Verify - PAS-X standard/configured/customised split not confirmed; size: Working Average; confirm in FS/DS/CS; interfaces: Interfaced.</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Enforce approved workflow states, prerequisites, data validation, review gates, exception disposition, attributable audit evidence, and batch-context reconciliation. Accountable roles: Fictional Process Owner with IT Solution Owner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approved-state gating, positive/negative transitions, calculation and entry boundaries, review-by-exception, end-to-end batch flow, and source-to-EBR reconciliation. FS/DS/CS/test IDs: not yet assigned. Residual risk: not rated. Status: requirement risk assessed; downstream design, control and test evidence open.</w:t>
      </w:r>
    </w:p>
    <w:p>
      <w:pPr>
        <w:pStyle w:val="Heading3"/>
      </w:pPr>
      <w:r>
        <w:rPr>
          <w:rFonts w:ascii="Calibri" w:hAnsi="Calibri"/>
          <w:b/>
          <w:sz w:val="24"/>
          <w:color w:val="1F4D78"/>
        </w:rPr>
        <w:t>URS-MES-004 | Material and equipment status verification</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verify and record the identity and applicable released, available, calibration, or readiness status of materials and equipment before their controlled use in a batch step.</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RSK-MES-001, RSK-MES-013.</w:t>
      </w:r>
    </w:p>
    <w:p>
      <w:pPr>
        <w:spacing w:after="60" w:line="240" w:lineRule="auto"/>
      </w:pPr>
      <w:r>
        <w:rPr>
          <w:rFonts w:ascii="Calibri" w:hAnsi="Calibri"/>
          <w:b/>
          <w:sz w:val="18"/>
          <w:color w:val="1F4D78"/>
        </w:rPr>
        <w:t xml:space="preserve">Failure scenario. </w:t>
      </w:r>
      <w:r>
        <w:rPr>
          <w:rFonts w:ascii="Calibri" w:hAnsi="Calibri"/>
          <w:sz w:val="18"/>
          <w:color w:val="000000"/>
        </w:rPr>
        <w:t>If material and equipment status verification is absent, bypassed, incorrect or unavailable, batch execution may use an unauthorised state or incomplete evidence, compromising product-quality decisions, data integrity, compliance, or timely release. Linked scenarios: Unapproved order, recipe, or execution state; Automation command, state, or measurement mismatch.</w:t>
      </w:r>
    </w:p>
    <w:p>
      <w:pPr>
        <w:spacing w:after="60" w:line="240" w:lineRule="auto"/>
      </w:pPr>
      <w:r>
        <w:rPr>
          <w:rFonts w:ascii="Calibri" w:hAnsi="Calibri"/>
          <w:b/>
          <w:sz w:val="18"/>
          <w:color w:val="1F4D78"/>
        </w:rPr>
        <w:t xml:space="preserve">Factor basis. </w:t>
      </w:r>
      <w:r>
        <w:rPr>
          <w:rFonts w:ascii="Calibri" w:hAnsi="Calibri"/>
          <w:sz w:val="18"/>
          <w:color w:val="000000"/>
        </w:rPr>
        <w:t>Type of process: Calculation / Validation; business impact: CA / Compliance; frequency: Very often; affected users: Large number / very important; business logic: Complex; implementation: Verify - PAS-X standard/configured/customised split not confirmed; size: Working Average; confirm in FS/DS/CS; interfaces: Interfaced.</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Enforce approved workflow states, prerequisites, data validation, review gates, exception disposition, attributable audit evidence, and batch-context reconciliation. Accountable roles: Fictional Process Owner with IT Solution Owner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approved-state gating, positive/negative transitions, calculation and entry boundaries, review-by-exception, end-to-end batch flow, and source-to-EBR reconciliation. FS/DS/CS/test IDs: not yet assigned. Residual risk: not rated. Status: requirement risk assessed; downstream design, control and test evidence open.</w:t>
      </w:r>
    </w:p>
    <w:p>
      <w:pPr>
        <w:pStyle w:val="Heading3"/>
      </w:pPr>
      <w:r>
        <w:rPr>
          <w:rFonts w:ascii="Calibri" w:hAnsi="Calibri"/>
          <w:b/>
          <w:sz w:val="24"/>
          <w:color w:val="1F4D78"/>
        </w:rPr>
        <w:t>URS-MES-005 | Controlled hold, resume, and termination</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control hold, stop, resume, cancel, and abort transitions for active execution and shall preserve the reason, authorised actor, date and time, prior state, and resulting state for each transition.</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RSK-MES-001, RSK-MES-013.</w:t>
      </w:r>
    </w:p>
    <w:p>
      <w:pPr>
        <w:spacing w:after="60" w:line="240" w:lineRule="auto"/>
      </w:pPr>
      <w:r>
        <w:rPr>
          <w:rFonts w:ascii="Calibri" w:hAnsi="Calibri"/>
          <w:b/>
          <w:sz w:val="18"/>
          <w:color w:val="1F4D78"/>
        </w:rPr>
        <w:t xml:space="preserve">Failure scenario. </w:t>
      </w:r>
      <w:r>
        <w:rPr>
          <w:rFonts w:ascii="Calibri" w:hAnsi="Calibri"/>
          <w:sz w:val="18"/>
          <w:color w:val="000000"/>
        </w:rPr>
        <w:t>If controlled hold, resume, and termination is absent, bypassed, incorrect or unavailable, batch execution may use an unauthorised state or incomplete evidence, compromising product-quality decisions, data integrity, compliance, or timely release. Linked scenarios: Unapproved order, recipe, or execution state; Automation command, state, or measurement mismatch.</w:t>
      </w:r>
    </w:p>
    <w:p>
      <w:pPr>
        <w:spacing w:after="60" w:line="240" w:lineRule="auto"/>
      </w:pPr>
      <w:r>
        <w:rPr>
          <w:rFonts w:ascii="Calibri" w:hAnsi="Calibri"/>
          <w:b/>
          <w:sz w:val="18"/>
          <w:color w:val="1F4D78"/>
        </w:rPr>
        <w:t xml:space="preserve">Factor basis. </w:t>
      </w:r>
      <w:r>
        <w:rPr>
          <w:rFonts w:ascii="Calibri" w:hAnsi="Calibri"/>
          <w:sz w:val="18"/>
          <w:color w:val="000000"/>
        </w:rPr>
        <w:t>Type of process: Change of data; business impact: CA / Compliance; frequency: Very often; affected users: Large number / very important; business logic: Complex; implementation: Verify - PAS-X standard/configured/customised split not confirmed; size: Working Average; confirm in FS/DS/CS; interfaces: None identified for this requirement.</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Enforce approved workflow states, prerequisites, data validation, review gates, exception disposition, attributable audit evidence, and batch-context reconciliation. Accountable roles: Fictional Process Owner with IT Solution Owner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approved-state gating, positive/negative transitions, calculation and entry boundaries, review-by-exception, end-to-end batch flow, and source-to-EBR reconciliation. FS/DS/CS/test IDs: not yet assigned. Residual risk: not rated. Status: requirement risk assessed; downstream design, control and test evidence open.</w:t>
      </w:r>
    </w:p>
    <w:p>
      <w:pPr>
        <w:pStyle w:val="Heading3"/>
      </w:pPr>
      <w:r>
        <w:rPr>
          <w:rFonts w:ascii="Calibri" w:hAnsi="Calibri"/>
          <w:b/>
          <w:sz w:val="24"/>
          <w:color w:val="1F4D78"/>
        </w:rPr>
        <w:t>URS-MES-006 | Exception and review-by-exception handling</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identify execution exceptions against approved rules, place affected work into the defined controlled state, and present the exception with its batch context, evidence, status, and disposition linkage for authorised review-by-exception.</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RSK-MES-003, RSK-MES-015.</w:t>
      </w:r>
    </w:p>
    <w:p>
      <w:pPr>
        <w:spacing w:after="60" w:line="240" w:lineRule="auto"/>
      </w:pPr>
      <w:r>
        <w:rPr>
          <w:rFonts w:ascii="Calibri" w:hAnsi="Calibri"/>
          <w:b/>
          <w:sz w:val="18"/>
          <w:color w:val="1F4D78"/>
        </w:rPr>
        <w:t xml:space="preserve">Failure scenario. </w:t>
      </w:r>
      <w:r>
        <w:rPr>
          <w:rFonts w:ascii="Calibri" w:hAnsi="Calibri"/>
          <w:sz w:val="18"/>
          <w:color w:val="000000"/>
        </w:rPr>
        <w:t>If exception and review-by-exception handling is absent, bypassed, incorrect or unavailable, batch execution may use an unauthorised state or incomplete evidence, compromising product-quality decisions, data integrity, compliance, or timely release. Linked scenarios: Incomplete batch completion, exception disposition, or review; Cross-interface integrity, monitoring, or reconciliation failure.</w:t>
      </w:r>
    </w:p>
    <w:p>
      <w:pPr>
        <w:spacing w:after="60" w:line="240" w:lineRule="auto"/>
      </w:pPr>
      <w:r>
        <w:rPr>
          <w:rFonts w:ascii="Calibri" w:hAnsi="Calibri"/>
          <w:b/>
          <w:sz w:val="18"/>
          <w:color w:val="1F4D78"/>
        </w:rPr>
        <w:t xml:space="preserve">Factor basis. </w:t>
      </w:r>
      <w:r>
        <w:rPr>
          <w:rFonts w:ascii="Calibri" w:hAnsi="Calibri"/>
          <w:sz w:val="18"/>
          <w:color w:val="000000"/>
        </w:rPr>
        <w:t>Type of process: Calculation / Validation; business impact: CA / Compliance; frequency: Very often; affected users: Large number / very important; business logic: Complex; implementation: Verify - PAS-X standard/configured/customised split not confirmed; size: Working Average; confirm in FS/DS/CS; interfaces: Interfaced.</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Enforce approved workflow states, prerequisites, data validation, review gates, exception disposition, attributable audit evidence, and batch-context reconciliation. Accountable roles: Fictional Process Owner with IT Solution Owner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approved-state gating, positive/negative transitions, calculation and entry boundaries, review-by-exception, end-to-end batch flow, and source-to-EBR reconciliation. FS/DS/CS/test IDs: not yet assigned. Residual risk: not rated. Status: requirement risk assessed; downstream design, control and test evidence open.</w:t>
      </w:r>
    </w:p>
    <w:p>
      <w:pPr>
        <w:pStyle w:val="Heading3"/>
      </w:pPr>
      <w:r>
        <w:rPr>
          <w:rFonts w:ascii="Calibri" w:hAnsi="Calibri"/>
          <w:b/>
          <w:sz w:val="24"/>
          <w:color w:val="1F4D78"/>
        </w:rPr>
        <w:t>URS-MES-007 | Complete electronic batch record</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create a complete and chronological electronic batch record containing required instructions, entries, calculated values, material and equipment use, events, exceptions, reviews, electronic signatures, and associated metadata for the executed batch.</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RSK-MES-002, RSK-MES-003, RSK-MES-007, RSK-MES-008.</w:t>
      </w:r>
    </w:p>
    <w:p>
      <w:pPr>
        <w:spacing w:after="60" w:line="240" w:lineRule="auto"/>
      </w:pPr>
      <w:r>
        <w:rPr>
          <w:rFonts w:ascii="Calibri" w:hAnsi="Calibri"/>
          <w:b/>
          <w:sz w:val="18"/>
          <w:color w:val="1F4D78"/>
        </w:rPr>
        <w:t xml:space="preserve">Failure scenario. </w:t>
      </w:r>
      <w:r>
        <w:rPr>
          <w:rFonts w:ascii="Calibri" w:hAnsi="Calibri"/>
          <w:sz w:val="18"/>
          <w:color w:val="000000"/>
        </w:rPr>
        <w:t>If complete electronic batch record is absent, bypassed, incorrect or unavailable, batch execution may use an unauthorised state or incomplete evidence, compromising product-quality decisions, data integrity, compliance, or timely release. Linked scenarios: Incorrect or incomplete execution data and calculations; Incomplete batch completion, exception disposition, or review; Invalid or non-attributable electronic signature; Incomplete, alterable, or ineffective audit trail.</w:t>
      </w:r>
    </w:p>
    <w:p>
      <w:pPr>
        <w:spacing w:after="60" w:line="240" w:lineRule="auto"/>
      </w:pPr>
      <w:r>
        <w:rPr>
          <w:rFonts w:ascii="Calibri" w:hAnsi="Calibri"/>
          <w:b/>
          <w:sz w:val="18"/>
          <w:color w:val="1F4D78"/>
        </w:rPr>
        <w:t xml:space="preserve">Factor basis. </w:t>
      </w:r>
      <w:r>
        <w:rPr>
          <w:rFonts w:ascii="Calibri" w:hAnsi="Calibri"/>
          <w:sz w:val="18"/>
          <w:color w:val="000000"/>
        </w:rPr>
        <w:t>Type of process: Change of data; business impact: CA / Compliance; frequency: Very often; affected users: Large number / very important; business logic: Complex; implementation: Verify - PAS-X standard/configured/customised split not confirmed; size: Working Large; confirm in FS/DS/CS; interfaces: Many interfaces.</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Enforce approved workflow states, prerequisites, data validation, review gates, exception disposition, attributable audit evidence, and batch-context reconciliation. Accountable roles: Fictional Process Owner with IT Solution Owner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approved-state gating, positive/negative transitions, calculation and entry boundaries, review-by-exception, end-to-end batch flow, and source-to-EBR reconciliation. FS/DS/CS/test IDs: not yet assigned. Residual risk: not rated. Status: requirement risk assessed; downstream design, control and test evidence open.</w:t>
      </w:r>
    </w:p>
    <w:p>
      <w:pPr>
        <w:pStyle w:val="Heading3"/>
      </w:pPr>
      <w:r>
        <w:rPr>
          <w:rFonts w:ascii="Calibri" w:hAnsi="Calibri"/>
          <w:b/>
          <w:sz w:val="24"/>
          <w:color w:val="1F4D78"/>
        </w:rPr>
        <w:t>URS-MES-008 | Batch-record completion control</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prevent final completion of an electronic batch record until all mandatory entries, steps, reviews, signatures, and blocking exception dispositions required by the approved workflow are complete.</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RSK-MES-003, RSK-MES-007.</w:t>
      </w:r>
    </w:p>
    <w:p>
      <w:pPr>
        <w:spacing w:after="60" w:line="240" w:lineRule="auto"/>
      </w:pPr>
      <w:r>
        <w:rPr>
          <w:rFonts w:ascii="Calibri" w:hAnsi="Calibri"/>
          <w:b/>
          <w:sz w:val="18"/>
          <w:color w:val="1F4D78"/>
        </w:rPr>
        <w:t xml:space="preserve">Failure scenario. </w:t>
      </w:r>
      <w:r>
        <w:rPr>
          <w:rFonts w:ascii="Calibri" w:hAnsi="Calibri"/>
          <w:sz w:val="18"/>
          <w:color w:val="000000"/>
        </w:rPr>
        <w:t>If batch-record completion control is absent, bypassed, incorrect or unavailable, batch execution may use an unauthorised state or incomplete evidence, compromising product-quality decisions, data integrity, compliance, or timely release. Linked scenarios: Incomplete batch completion, exception disposition, or review; Invalid or non-attributable electronic signature.</w:t>
      </w:r>
    </w:p>
    <w:p>
      <w:pPr>
        <w:spacing w:after="60" w:line="240" w:lineRule="auto"/>
      </w:pPr>
      <w:r>
        <w:rPr>
          <w:rFonts w:ascii="Calibri" w:hAnsi="Calibri"/>
          <w:b/>
          <w:sz w:val="18"/>
          <w:color w:val="1F4D78"/>
        </w:rPr>
        <w:t xml:space="preserve">Factor basis. </w:t>
      </w:r>
      <w:r>
        <w:rPr>
          <w:rFonts w:ascii="Calibri" w:hAnsi="Calibri"/>
          <w:sz w:val="18"/>
          <w:color w:val="000000"/>
        </w:rPr>
        <w:t>Type of process: Calculation / Validation; business impact: CA / Compliance; frequency: Very often; affected users: Large number / very important; business logic: Complex; implementation: Verify - PAS-X standard/configured/customised split not confirmed; size: Working Average; confirm in FS/DS/CS; interfaces: None identified for this requirement.</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Enforce approved workflow states, prerequisites, data validation, review gates, exception disposition, attributable audit evidence, and batch-context reconciliation. Accountable roles: Fictional Process Owner with IT Solution Owner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approved-state gating, positive/negative transitions, calculation and entry boundaries, review-by-exception, end-to-end batch flow, and source-to-EBR reconciliation. FS/DS/CS/test IDs: not yet assigned. Residual risk: not rated. Status: requirement risk assessed; downstream design, control and test evidence open.</w:t>
      </w:r>
    </w:p>
    <w:p>
      <w:pPr>
        <w:pStyle w:val="Heading3"/>
      </w:pPr>
      <w:r>
        <w:rPr>
          <w:rFonts w:ascii="Calibri" w:hAnsi="Calibri"/>
          <w:b/>
          <w:sz w:val="24"/>
          <w:color w:val="1F4D78"/>
        </w:rPr>
        <w:t>URS-MES-009 | Authorised batch-record review</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provide authorised reviewers with a controlled review view of the electronic batch record, including required exceptions, changes, signatures, and relevant audit-trail context, and shall record the review outcome and acknowledgement.</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RSK-MES-003, RSK-MES-007, RSK-MES-008.</w:t>
      </w:r>
    </w:p>
    <w:p>
      <w:pPr>
        <w:spacing w:after="60" w:line="240" w:lineRule="auto"/>
      </w:pPr>
      <w:r>
        <w:rPr>
          <w:rFonts w:ascii="Calibri" w:hAnsi="Calibri"/>
          <w:b/>
          <w:sz w:val="18"/>
          <w:color w:val="1F4D78"/>
        </w:rPr>
        <w:t xml:space="preserve">Failure scenario. </w:t>
      </w:r>
      <w:r>
        <w:rPr>
          <w:rFonts w:ascii="Calibri" w:hAnsi="Calibri"/>
          <w:sz w:val="18"/>
          <w:color w:val="000000"/>
        </w:rPr>
        <w:t>If authorised batch-record review is absent, bypassed, incorrect or unavailable, batch execution may use an unauthorised state or incomplete evidence, compromising product-quality decisions, data integrity, compliance, or timely release. Linked scenarios: Incomplete batch completion, exception disposition, or review; Invalid or non-attributable electronic signature; Incomplete, alterable, or ineffective audit trail.</w:t>
      </w:r>
    </w:p>
    <w:p>
      <w:pPr>
        <w:spacing w:after="60" w:line="240" w:lineRule="auto"/>
      </w:pPr>
      <w:r>
        <w:rPr>
          <w:rFonts w:ascii="Calibri" w:hAnsi="Calibri"/>
          <w:b/>
          <w:sz w:val="18"/>
          <w:color w:val="1F4D78"/>
        </w:rPr>
        <w:t xml:space="preserve">Factor basis. </w:t>
      </w:r>
      <w:r>
        <w:rPr>
          <w:rFonts w:ascii="Calibri" w:hAnsi="Calibri"/>
          <w:sz w:val="18"/>
          <w:color w:val="000000"/>
        </w:rPr>
        <w:t>Type of process: Display; business impact: CA / Compliance; frequency: Often; affected users: Group / very important; business logic: Medium; implementation: Verify - PAS-X standard/configured/customised split not confirmed; size: Working Average; confirm in FS/DS/CS; interfaces: None identified for this requirement.</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Enforce approved workflow states, prerequisites, data validation, review gates, exception disposition, attributable audit evidence, and batch-context reconciliation. Accountable roles: Fictional Process Owner with IT Solution Owner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approved-state gating, positive/negative transitions, calculation and entry boundaries, review-by-exception, end-to-end batch flow, and source-to-EBR reconciliation. FS/DS/CS/test IDs: not yet assigned. Residual risk: not rated. Status: requirement risk assessed; downstream design, control and test evidence open.</w:t>
      </w:r>
    </w:p>
    <w:p>
      <w:pPr>
        <w:pStyle w:val="Heading2"/>
      </w:pPr>
      <w:r>
        <w:rPr>
          <w:rFonts w:ascii="Calibri" w:hAnsi="Calibri"/>
          <w:b/>
          <w:sz w:val="26"/>
          <w:color w:val="2E74B5"/>
        </w:rPr>
        <w:t>5.2 Electronic records and copies</w:t>
      </w:r>
    </w:p>
    <w:p>
      <w:pPr>
        <w:spacing w:before="80" w:after="160"/>
        <w:ind w:left="120" w:right="120"/>
        <w:shd w:fill="E8EEF5"/>
        <w:pBdr>
          <w:left w:val="single" w:sz="18" w:space="4" w:color="1F4D78"/>
        </w:pBdr>
      </w:pPr>
      <w:r>
        <w:rPr>
          <w:rFonts w:ascii="Calibri" w:hAnsi="Calibri"/>
          <w:b/>
          <w:sz w:val="19"/>
          <w:color w:val="1F4D78"/>
        </w:rPr>
        <w:t xml:space="preserve">Category baseline. </w:t>
      </w:r>
      <w:r>
        <w:rPr>
          <w:rFonts w:ascii="Calibri" w:hAnsi="Calibri"/>
          <w:b w:val="0"/>
          <w:sz w:val="19"/>
          <w:color w:val="000000"/>
        </w:rPr>
        <w:t>2 requirements | 0 Functional | 2 Non-functional | working maximum: High.</w:t>
      </w:r>
    </w:p>
    <w:p>
      <w:pPr>
        <w:pStyle w:val="Heading3"/>
      </w:pPr>
      <w:r>
        <w:rPr>
          <w:rFonts w:ascii="Calibri" w:hAnsi="Calibri"/>
          <w:b/>
          <w:sz w:val="24"/>
          <w:color w:val="1F4D78"/>
        </w:rPr>
        <w:t>URS-MES-010 | Record retention and retrieval</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solution shall retain electronic batch records, associated metadata, audit trails, and electronic signatures in a readable and retrievable form for the approved retention period and shall prevent unauthorised deletion or loss of required linkages.</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RSK-MES-004, RSK-MES-010, RSK-MES-017.</w:t>
      </w:r>
    </w:p>
    <w:p>
      <w:pPr>
        <w:spacing w:after="60" w:line="240" w:lineRule="auto"/>
      </w:pPr>
      <w:r>
        <w:rPr>
          <w:rFonts w:ascii="Calibri" w:hAnsi="Calibri"/>
          <w:b/>
          <w:sz w:val="18"/>
          <w:color w:val="1F4D78"/>
        </w:rPr>
        <w:t xml:space="preserve">Failure scenario. </w:t>
      </w:r>
      <w:r>
        <w:rPr>
          <w:rFonts w:ascii="Calibri" w:hAnsi="Calibri"/>
          <w:sz w:val="18"/>
          <w:color w:val="000000"/>
        </w:rPr>
        <w:t>If record retention and retrieval is absent, bypassed, incorrect or unavailable, regulated records may be lost, unreadable, incomplete, altered, detached from metadata/signatures, or misleading throughout retention and retrieval. Linked scenarios: Loss, unreadability, or incomplete copy of regulated records; Uncontrolled correction, deletion, or record lifecycle; Backup is incomplete, corrupt, unavailable, or outside need.</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record retention and retrieval is absent, bypassed, incorrect or unavailable, regulated records may be lost, unreadable, incomplete, altered, detached from metadata/signatures, or misleading throughout retention and retrieval. Linked scenarios: Loss, unreadability, or incomplete copy of regulated records; Uncontrolled correction, deletion, or record lifecycle; Backup is incomplete, corrupt, unavailable, or outside need.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Define retention and copy controls that preserve content, meaning, metadata, signatures, audit trails, readability, retrieval, and protection from unauthorised deletion. Accountable roles: Fictional Data Integrity SME with Records Owner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retention, retrieval, readability, copy completeness, metadata/signature linkage, access restriction, and long-record review. FS/DS/CS/test IDs: not yet assigned. Residual risk: not rated. Status: requirement risk assessed; downstream design, control and test evidence open.</w:t>
      </w:r>
    </w:p>
    <w:p>
      <w:pPr>
        <w:pStyle w:val="Heading3"/>
      </w:pPr>
      <w:r>
        <w:rPr>
          <w:rFonts w:ascii="Calibri" w:hAnsi="Calibri"/>
          <w:b/>
          <w:sz w:val="24"/>
          <w:color w:val="1F4D78"/>
        </w:rPr>
        <w:t>URS-MES-011 | Complete and accurate record copies</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generate complete and accurate human-readable and approved electronic copies of electronic batch records, including relevant metadata, audit trails, and electronic signatures, while preserving content and meaning.</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RSK-MES-004, RSK-MES-023.</w:t>
      </w:r>
    </w:p>
    <w:p>
      <w:pPr>
        <w:spacing w:after="60" w:line="240" w:lineRule="auto"/>
      </w:pPr>
      <w:r>
        <w:rPr>
          <w:rFonts w:ascii="Calibri" w:hAnsi="Calibri"/>
          <w:b/>
          <w:sz w:val="18"/>
          <w:color w:val="1F4D78"/>
        </w:rPr>
        <w:t xml:space="preserve">Failure scenario. </w:t>
      </w:r>
      <w:r>
        <w:rPr>
          <w:rFonts w:ascii="Calibri" w:hAnsi="Calibri"/>
          <w:sz w:val="18"/>
          <w:color w:val="000000"/>
        </w:rPr>
        <w:t>If complete and accurate record copies is absent, bypassed, incorrect or unavailable, regulated records may be lost, unreadable, incomplete, altered, detached from metadata/signatures, or misleading throughout retention and retrieval. Linked scenarios: Loss, unreadability, or incomplete copy of regulated records; Controlled report or extract is misinterpreted or altered.</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complete and accurate record copies is absent, bypassed, incorrect or unavailable, regulated records may be lost, unreadable, incomplete, altered, detached from metadata/signatures, or misleading throughout retention and retrieval. Linked scenarios: Loss, unreadability, or incomplete copy of regulated records; Controlled report or extract is misinterpreted or altered.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Define retention and copy controls that preserve content, meaning, metadata, signatures, audit trails, readability, retrieval, and protection from unauthorised deletion. Accountable roles: Fictional Data Integrity SME with Records Owner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retention, retrieval, readability, copy completeness, metadata/signature linkage, access restriction, and long-record review. FS/DS/CS/test IDs: not yet assigned. Residual risk: not rated. Status: requirement risk assessed; downstream design, control and test evidence open.</w:t>
      </w:r>
    </w:p>
    <w:p>
      <w:pPr>
        <w:pStyle w:val="Heading2"/>
      </w:pPr>
      <w:r>
        <w:rPr>
          <w:rFonts w:ascii="Calibri" w:hAnsi="Calibri"/>
          <w:b/>
          <w:sz w:val="26"/>
          <w:color w:val="2E74B5"/>
        </w:rPr>
        <w:t>5.3 Identity and access control</w:t>
      </w:r>
    </w:p>
    <w:p>
      <w:pPr>
        <w:spacing w:before="80" w:after="160"/>
        <w:ind w:left="120" w:right="120"/>
        <w:shd w:fill="E8EEF5"/>
        <w:pBdr>
          <w:left w:val="single" w:sz="18" w:space="4" w:color="1F4D78"/>
        </w:pBdr>
      </w:pPr>
      <w:r>
        <w:rPr>
          <w:rFonts w:ascii="Calibri" w:hAnsi="Calibri"/>
          <w:b/>
          <w:sz w:val="19"/>
          <w:color w:val="1F4D78"/>
        </w:rPr>
        <w:t xml:space="preserve">Category baseline. </w:t>
      </w:r>
      <w:r>
        <w:rPr>
          <w:rFonts w:ascii="Calibri" w:hAnsi="Calibri"/>
          <w:b w:val="0"/>
          <w:sz w:val="19"/>
          <w:color w:val="000000"/>
        </w:rPr>
        <w:t>5 requirements | 0 Functional | 5 Non-functional | working maximum: High.</w:t>
      </w:r>
    </w:p>
    <w:p>
      <w:pPr>
        <w:pStyle w:val="Heading3"/>
      </w:pPr>
      <w:r>
        <w:rPr>
          <w:rFonts w:ascii="Calibri" w:hAnsi="Calibri"/>
          <w:b/>
          <w:sz w:val="24"/>
          <w:color w:val="1F4D78"/>
        </w:rPr>
        <w:t>URS-MES-012 | Unique identity and authentication</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require each interactive user to authenticate with a unique attributable identity through the approved identity service and shall apply approved session, lockout, and re-authentication controls.</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RSK-MES-005, RSK-MES-006, RSK-MES-019, RSK-MES-024.</w:t>
      </w:r>
    </w:p>
    <w:p>
      <w:pPr>
        <w:spacing w:after="60" w:line="240" w:lineRule="auto"/>
      </w:pPr>
      <w:r>
        <w:rPr>
          <w:rFonts w:ascii="Calibri" w:hAnsi="Calibri"/>
          <w:b/>
          <w:sz w:val="18"/>
          <w:color w:val="1F4D78"/>
        </w:rPr>
        <w:t xml:space="preserve">Failure scenario. </w:t>
      </w:r>
      <w:r>
        <w:rPr>
          <w:rFonts w:ascii="Calibri" w:hAnsi="Calibri"/>
          <w:sz w:val="18"/>
          <w:color w:val="000000"/>
        </w:rPr>
        <w:t>If unique identity and authentication is absent, bypassed, incorrect or unavailable, an unauthorised, excessive, unowned, stale, or conflicting identity may perform or conceal regulated actions. Linked scenarios: Unauthorised or excessive access; Credential, session, or service-account compromise; Cyber vulnerability, malware, or insecure component; Maintained-state controls, review, or training become ineffective.</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unique identity and authentication is absent, bypassed, incorrect or unavailable, an unauthorised, excessive, unowned, stale, or conflicting identity may perform or conceal regulated actions. Linked scenarios: Unauthorised or excessive access; Credential, session, or service-account compromise; Cyber vulnerability, malware, or insecure component; Maintained-state controls, review, or training become ineffective.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Use unique authentication, least privilege, controlled access lifecycle, privileged/service-account ownership, segregation checks, monitoring, and periodic review. Accountable roles: Fictional IT Solution Owner with Information Security SME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authentication/session challenges, role-positive and role-negative tests, provisioning/revocation, privilege restriction, segregation, and access-review evidence. FS/DS/CS/test IDs: not yet assigned. Residual risk: not rated. Status: requirement risk assessed; downstream design, control and test evidence open.</w:t>
      </w:r>
    </w:p>
    <w:p>
      <w:pPr>
        <w:pStyle w:val="Heading3"/>
      </w:pPr>
      <w:r>
        <w:rPr>
          <w:rFonts w:ascii="Calibri" w:hAnsi="Calibri"/>
          <w:b/>
          <w:sz w:val="24"/>
          <w:color w:val="1F4D78"/>
        </w:rPr>
        <w:t>URS-MES-013 | Role-based least-privilege access</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restrict functions and data to approved role-based permissions so that users can perform only the activities necessary for their assigned responsibilities.</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RSK-MES-005, RSK-MES-019.</w:t>
      </w:r>
    </w:p>
    <w:p>
      <w:pPr>
        <w:spacing w:after="60" w:line="240" w:lineRule="auto"/>
      </w:pPr>
      <w:r>
        <w:rPr>
          <w:rFonts w:ascii="Calibri" w:hAnsi="Calibri"/>
          <w:b/>
          <w:sz w:val="18"/>
          <w:color w:val="1F4D78"/>
        </w:rPr>
        <w:t xml:space="preserve">Failure scenario. </w:t>
      </w:r>
      <w:r>
        <w:rPr>
          <w:rFonts w:ascii="Calibri" w:hAnsi="Calibri"/>
          <w:sz w:val="18"/>
          <w:color w:val="000000"/>
        </w:rPr>
        <w:t>If role-based least-privilege access is absent, bypassed, incorrect or unavailable, an unauthorised, excessive, unowned, stale, or conflicting identity may perform or conceal regulated actions. Linked scenarios: Unauthorised or excessive access; Cyber vulnerability, malware, or insecure component.</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role-based least-privilege access is absent, bypassed, incorrect or unavailable, an unauthorised, excessive, unowned, stale, or conflicting identity may perform or conceal regulated actions. Linked scenarios: Unauthorised or excessive access; Cyber vulnerability, malware, or insecure component.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Use unique authentication, least privilege, controlled access lifecycle, privileged/service-account ownership, segregation checks, monitoring, and periodic review. Accountable roles: Fictional IT Solution Owner with Information Security SME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authentication/session challenges, role-positive and role-negative tests, provisioning/revocation, privilege restriction, segregation, and access-review evidence. FS/DS/CS/test IDs: not yet assigned. Residual risk: not rated. Status: requirement risk assessed; downstream design, control and test evidence open.</w:t>
      </w:r>
    </w:p>
    <w:p>
      <w:pPr>
        <w:pStyle w:val="Heading3"/>
      </w:pPr>
      <w:r>
        <w:rPr>
          <w:rFonts w:ascii="Calibri" w:hAnsi="Calibri"/>
          <w:b/>
          <w:sz w:val="24"/>
          <w:color w:val="1F4D78"/>
        </w:rPr>
        <w:t>URS-MES-014 | Controlled access lifecycle</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access process shall support approved provisioning, modification, suspension, and revocation of user access with traceable requester, approver, executor, effective date, and resulting role assignment.</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RSK-MES-005, RSK-MES-024.</w:t>
      </w:r>
    </w:p>
    <w:p>
      <w:pPr>
        <w:spacing w:after="60" w:line="240" w:lineRule="auto"/>
      </w:pPr>
      <w:r>
        <w:rPr>
          <w:rFonts w:ascii="Calibri" w:hAnsi="Calibri"/>
          <w:b/>
          <w:sz w:val="18"/>
          <w:color w:val="1F4D78"/>
        </w:rPr>
        <w:t xml:space="preserve">Failure scenario. </w:t>
      </w:r>
      <w:r>
        <w:rPr>
          <w:rFonts w:ascii="Calibri" w:hAnsi="Calibri"/>
          <w:sz w:val="18"/>
          <w:color w:val="000000"/>
        </w:rPr>
        <w:t>If controlled access lifecycle is absent, bypassed, incorrect or unavailable, an unauthorised, excessive, unowned, stale, or conflicting identity may perform or conceal regulated actions. Linked scenarios: Unauthorised or excessive access; Maintained-state controls, review, or training become ineffective.</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controlled access lifecycle is absent, bypassed, incorrect or unavailable, an unauthorised, excessive, unowned, stale, or conflicting identity may perform or conceal regulated actions. Linked scenarios: Unauthorised or excessive access; Maintained-state controls, review, or training become ineffective.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Use unique authentication, least privilege, controlled access lifecycle, privileged/service-account ownership, segregation checks, monitoring, and periodic review. Accountable roles: Fictional IT Solution Owner with Information Security SME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authentication/session challenges, role-positive and role-negative tests, provisioning/revocation, privilege restriction, segregation, and access-review evidence. FS/DS/CS/test IDs: not yet assigned. Residual risk: not rated. Status: requirement risk assessed; downstream design, control and test evidence open.</w:t>
      </w:r>
    </w:p>
    <w:p>
      <w:pPr>
        <w:pStyle w:val="Heading3"/>
      </w:pPr>
      <w:r>
        <w:rPr>
          <w:rFonts w:ascii="Calibri" w:hAnsi="Calibri"/>
          <w:b/>
          <w:sz w:val="24"/>
          <w:color w:val="1F4D78"/>
        </w:rPr>
        <w:t>URS-MES-015 | Privileged and service-account control</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solution shall identify, restrict, own, protect, and monitor privileged and service accounts, and shall prevent their use as unowned or shared interactive business-user identities.</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RSK-MES-005, RSK-MES-006, RSK-MES-019.</w:t>
      </w:r>
    </w:p>
    <w:p>
      <w:pPr>
        <w:spacing w:after="60" w:line="240" w:lineRule="auto"/>
      </w:pPr>
      <w:r>
        <w:rPr>
          <w:rFonts w:ascii="Calibri" w:hAnsi="Calibri"/>
          <w:b/>
          <w:sz w:val="18"/>
          <w:color w:val="1F4D78"/>
        </w:rPr>
        <w:t xml:space="preserve">Failure scenario. </w:t>
      </w:r>
      <w:r>
        <w:rPr>
          <w:rFonts w:ascii="Calibri" w:hAnsi="Calibri"/>
          <w:sz w:val="18"/>
          <w:color w:val="000000"/>
        </w:rPr>
        <w:t>If privileged and service-account control is absent, bypassed, incorrect or unavailable, an unauthorised, excessive, unowned, stale, or conflicting identity may perform or conceal regulated actions. Linked scenarios: Unauthorised or excessive access; Credential, session, or service-account compromise; Cyber vulnerability, malware, or insecure component.</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privileged and service-account control is absent, bypassed, incorrect or unavailable, an unauthorised, excessive, unowned, stale, or conflicting identity may perform or conceal regulated actions. Linked scenarios: Unauthorised or excessive access; Credential, session, or service-account compromise; Cyber vulnerability, malware, or insecure component.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Use unique authentication, least privilege, controlled access lifecycle, privileged/service-account ownership, segregation checks, monitoring, and periodic review. Accountable roles: Fictional IT Solution Owner with Information Security SME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authentication/session challenges, role-positive and role-negative tests, provisioning/revocation, privilege restriction, segregation, and access-review evidence. FS/DS/CS/test IDs: not yet assigned. Residual risk: not rated. Status: requirement risk assessed; downstream design, control and test evidence open.</w:t>
      </w:r>
    </w:p>
    <w:p>
      <w:pPr>
        <w:pStyle w:val="Heading3"/>
      </w:pPr>
      <w:r>
        <w:rPr>
          <w:rFonts w:ascii="Calibri" w:hAnsi="Calibri"/>
          <w:b/>
          <w:sz w:val="24"/>
          <w:color w:val="1F4D78"/>
        </w:rPr>
        <w:t>URS-MES-016 | Segregation and periodic access review</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access-control arrangement shall prevent or detect approved segregation-of-duties conflicts and shall enable periodic review and documented disposition of user, role, privileged, and service-account access.</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RSK-MES-005, RSK-MES-024.</w:t>
      </w:r>
    </w:p>
    <w:p>
      <w:pPr>
        <w:spacing w:after="60" w:line="240" w:lineRule="auto"/>
      </w:pPr>
      <w:r>
        <w:rPr>
          <w:rFonts w:ascii="Calibri" w:hAnsi="Calibri"/>
          <w:b/>
          <w:sz w:val="18"/>
          <w:color w:val="1F4D78"/>
        </w:rPr>
        <w:t xml:space="preserve">Failure scenario. </w:t>
      </w:r>
      <w:r>
        <w:rPr>
          <w:rFonts w:ascii="Calibri" w:hAnsi="Calibri"/>
          <w:sz w:val="18"/>
          <w:color w:val="000000"/>
        </w:rPr>
        <w:t>If segregation and periodic access review is absent, bypassed, incorrect or unavailable, an unauthorised, excessive, unowned, stale, or conflicting identity may perform or conceal regulated actions. Linked scenarios: Unauthorised or excessive access; Maintained-state controls, review, or training become ineffective.</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segregation and periodic access review is absent, bypassed, incorrect or unavailable, an unauthorised, excessive, unowned, stale, or conflicting identity may perform or conceal regulated actions. Linked scenarios: Unauthorised or excessive access; Maintained-state controls, review, or training become ineffective.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Use unique authentication, least privilege, controlled access lifecycle, privileged/service-account ownership, segregation checks, monitoring, and periodic review. Accountable roles: Fictional IT Solution Owner with Information Security SME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authentication/session challenges, role-positive and role-negative tests, provisioning/revocation, privilege restriction, segregation, and access-review evidence. FS/DS/CS/test IDs: not yet assigned. Residual risk: not rated. Status: requirement risk assessed; downstream design, control and test evidence open.</w:t>
      </w:r>
    </w:p>
    <w:p>
      <w:pPr>
        <w:pStyle w:val="Heading2"/>
      </w:pPr>
      <w:r>
        <w:rPr>
          <w:rFonts w:ascii="Calibri" w:hAnsi="Calibri"/>
          <w:b/>
          <w:sz w:val="26"/>
          <w:color w:val="2E74B5"/>
        </w:rPr>
        <w:t>5.4 Electronic signatures</w:t>
      </w:r>
    </w:p>
    <w:p>
      <w:pPr>
        <w:spacing w:before="80" w:after="160"/>
        <w:ind w:left="120" w:right="120"/>
        <w:shd w:fill="E8EEF5"/>
        <w:pBdr>
          <w:left w:val="single" w:sz="18" w:space="4" w:color="1F4D78"/>
        </w:pBdr>
      </w:pPr>
      <w:r>
        <w:rPr>
          <w:rFonts w:ascii="Calibri" w:hAnsi="Calibri"/>
          <w:b/>
          <w:sz w:val="19"/>
          <w:color w:val="1F4D78"/>
        </w:rPr>
        <w:t xml:space="preserve">Category baseline. </w:t>
      </w:r>
      <w:r>
        <w:rPr>
          <w:rFonts w:ascii="Calibri" w:hAnsi="Calibri"/>
          <w:b w:val="0"/>
          <w:sz w:val="19"/>
          <w:color w:val="000000"/>
        </w:rPr>
        <w:t>3 requirements | 3 Functional | 0 Non-functional | working maximum: High.</w:t>
      </w:r>
    </w:p>
    <w:p>
      <w:pPr>
        <w:pStyle w:val="Heading3"/>
      </w:pPr>
      <w:r>
        <w:rPr>
          <w:rFonts w:ascii="Calibri" w:hAnsi="Calibri"/>
          <w:b/>
          <w:sz w:val="24"/>
          <w:color w:val="1F4D78"/>
        </w:rPr>
        <w:t>URS-MES-017 | Authorised electronic-signature application</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permit an electronic signature only for an authorised unique user acting in an approved signing role and shall require the configured authentication or re-authentication at the point of signing.</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RSK-MES-007.</w:t>
      </w:r>
    </w:p>
    <w:p>
      <w:pPr>
        <w:spacing w:after="60" w:line="240" w:lineRule="auto"/>
      </w:pPr>
      <w:r>
        <w:rPr>
          <w:rFonts w:ascii="Calibri" w:hAnsi="Calibri"/>
          <w:b/>
          <w:sz w:val="18"/>
          <w:color w:val="1F4D78"/>
        </w:rPr>
        <w:t xml:space="preserve">Failure scenario. </w:t>
      </w:r>
      <w:r>
        <w:rPr>
          <w:rFonts w:ascii="Calibri" w:hAnsi="Calibri"/>
          <w:sz w:val="18"/>
          <w:color w:val="000000"/>
        </w:rPr>
        <w:t>If authorised electronic-signature application is absent, bypassed, incorrect or unavailable, a signature may be non-attributable, applied by an unauthorised person, carry the wrong meaning or time, or become detached from the signed record. Linked scenarios: Invalid or non-attributable electronic signature.</w:t>
      </w:r>
    </w:p>
    <w:p>
      <w:pPr>
        <w:spacing w:after="60" w:line="240" w:lineRule="auto"/>
      </w:pPr>
      <w:r>
        <w:rPr>
          <w:rFonts w:ascii="Calibri" w:hAnsi="Calibri"/>
          <w:b/>
          <w:sz w:val="18"/>
          <w:color w:val="1F4D78"/>
        </w:rPr>
        <w:t xml:space="preserve">Factor basis. </w:t>
      </w:r>
      <w:r>
        <w:rPr>
          <w:rFonts w:ascii="Calibri" w:hAnsi="Calibri"/>
          <w:sz w:val="18"/>
          <w:color w:val="000000"/>
        </w:rPr>
        <w:t>Type of process: Calculation / Validation; business impact: CA / Compliance; frequency: Often; affected users: Group / very important; business logic: Medium; implementation: Verify - PAS-X standard/configured/customised split not confirmed; size: Working Average; confirm in FS/DS/CS; interfaces: Interfaced.</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Configure authorised signing roles, point-of-signing authentication, signature meaning/content, permanent record/version linkage, and auditability. Accountable roles: Fictional Process Owner with Quality Assurance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authorised/unauthorised signing, re-authentication, meaning display, record/version linkage, copying/excision resistance, and audit evidence. FS/DS/CS/test IDs: not yet assigned. Residual risk: not rated. Status: requirement risk assessed; downstream design, control and test evidence open.</w:t>
      </w:r>
    </w:p>
    <w:p>
      <w:pPr>
        <w:pStyle w:val="Heading3"/>
      </w:pPr>
      <w:r>
        <w:rPr>
          <w:rFonts w:ascii="Calibri" w:hAnsi="Calibri"/>
          <w:b/>
          <w:sz w:val="24"/>
          <w:color w:val="1F4D78"/>
        </w:rPr>
        <w:t>URS-MES-018 | Signature meaning and content</w:t>
      </w:r>
    </w:p>
    <w:p>
      <w:pPr>
        <w:spacing w:after="60" w:line="240" w:lineRule="auto"/>
      </w:pPr>
      <w:r>
        <w:rPr>
          <w:rFonts w:ascii="Calibri" w:hAnsi="Calibri"/>
          <w:b/>
          <w:sz w:val="18"/>
          <w:color w:val="1F4D78"/>
        </w:rPr>
        <w:t xml:space="preserve">Controlled requirement. </w:t>
      </w:r>
      <w:r>
        <w:rPr>
          <w:rFonts w:ascii="Calibri" w:hAnsi="Calibri"/>
          <w:sz w:val="18"/>
          <w:color w:val="000000"/>
        </w:rPr>
        <w:t>Each MES electronic signature shall record and display the signer's attributable identity, the approved signature meaning, and the date and time of signing in the context of the signed record.</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RSK-MES-007.</w:t>
      </w:r>
    </w:p>
    <w:p>
      <w:pPr>
        <w:spacing w:after="60" w:line="240" w:lineRule="auto"/>
      </w:pPr>
      <w:r>
        <w:rPr>
          <w:rFonts w:ascii="Calibri" w:hAnsi="Calibri"/>
          <w:b/>
          <w:sz w:val="18"/>
          <w:color w:val="1F4D78"/>
        </w:rPr>
        <w:t xml:space="preserve">Failure scenario. </w:t>
      </w:r>
      <w:r>
        <w:rPr>
          <w:rFonts w:ascii="Calibri" w:hAnsi="Calibri"/>
          <w:sz w:val="18"/>
          <w:color w:val="000000"/>
        </w:rPr>
        <w:t>If signature meaning and content is absent, bypassed, incorrect or unavailable, a signature may be non-attributable, applied by an unauthorised person, carry the wrong meaning or time, or become detached from the signed record. Linked scenarios: Invalid or non-attributable electronic signature.</w:t>
      </w:r>
    </w:p>
    <w:p>
      <w:pPr>
        <w:spacing w:after="60" w:line="240" w:lineRule="auto"/>
      </w:pPr>
      <w:r>
        <w:rPr>
          <w:rFonts w:ascii="Calibri" w:hAnsi="Calibri"/>
          <w:b/>
          <w:sz w:val="18"/>
          <w:color w:val="1F4D78"/>
        </w:rPr>
        <w:t xml:space="preserve">Factor basis. </w:t>
      </w:r>
      <w:r>
        <w:rPr>
          <w:rFonts w:ascii="Calibri" w:hAnsi="Calibri"/>
          <w:sz w:val="18"/>
          <w:color w:val="000000"/>
        </w:rPr>
        <w:t>Type of process: Change of data; business impact: CA / Compliance; frequency: Often; affected users: Group / very important; business logic: Medium; implementation: Verify - PAS-X standard/configured/customised split not confirmed; size: Working Average; confirm in FS/DS/CS; interfaces: None identified for this requirement.</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Configure authorised signing roles, point-of-signing authentication, signature meaning/content, permanent record/version linkage, and auditability. Accountable roles: Fictional Process Owner with Quality Assurance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authorised/unauthorised signing, re-authentication, meaning display, record/version linkage, copying/excision resistance, and audit evidence. FS/DS/CS/test IDs: not yet assigned. Residual risk: not rated. Status: requirement risk assessed; downstream design, control and test evidence open.</w:t>
      </w:r>
    </w:p>
    <w:p>
      <w:pPr>
        <w:pStyle w:val="Heading3"/>
      </w:pPr>
      <w:r>
        <w:rPr>
          <w:rFonts w:ascii="Calibri" w:hAnsi="Calibri"/>
          <w:b/>
          <w:sz w:val="24"/>
          <w:color w:val="1F4D78"/>
        </w:rPr>
        <w:t>URS-MES-019 | Permanent signature-to-record linkage</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permanently link each electronic signature to the specific signed record and version so that the signature cannot be excised, copied, transferred, or reused to approve other data without detection.</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RSK-MES-007, RSK-MES-010.</w:t>
      </w:r>
    </w:p>
    <w:p>
      <w:pPr>
        <w:spacing w:after="60" w:line="240" w:lineRule="auto"/>
      </w:pPr>
      <w:r>
        <w:rPr>
          <w:rFonts w:ascii="Calibri" w:hAnsi="Calibri"/>
          <w:b/>
          <w:sz w:val="18"/>
          <w:color w:val="1F4D78"/>
        </w:rPr>
        <w:t xml:space="preserve">Failure scenario. </w:t>
      </w:r>
      <w:r>
        <w:rPr>
          <w:rFonts w:ascii="Calibri" w:hAnsi="Calibri"/>
          <w:sz w:val="18"/>
          <w:color w:val="000000"/>
        </w:rPr>
        <w:t>If permanent signature-to-record linkage is absent, bypassed, incorrect or unavailable, a signature may be non-attributable, applied by an unauthorised person, carry the wrong meaning or time, or become detached from the signed record. Linked scenarios: Invalid or non-attributable electronic signature; Uncontrolled correction, deletion, or record lifecycle.</w:t>
      </w:r>
    </w:p>
    <w:p>
      <w:pPr>
        <w:spacing w:after="60" w:line="240" w:lineRule="auto"/>
      </w:pPr>
      <w:r>
        <w:rPr>
          <w:rFonts w:ascii="Calibri" w:hAnsi="Calibri"/>
          <w:b/>
          <w:sz w:val="18"/>
          <w:color w:val="1F4D78"/>
        </w:rPr>
        <w:t xml:space="preserve">Factor basis. </w:t>
      </w:r>
      <w:r>
        <w:rPr>
          <w:rFonts w:ascii="Calibri" w:hAnsi="Calibri"/>
          <w:sz w:val="18"/>
          <w:color w:val="000000"/>
        </w:rPr>
        <w:t>Type of process: Calculation / Validation; business impact: CA / Compliance; frequency: Often; affected users: Group / very important; business logic: Medium; implementation: Verify - PAS-X standard/configured/customised split not confirmed; size: Working Average; confirm in FS/DS/CS; interfaces: None identified for this requirement.</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Configure authorised signing roles, point-of-signing authentication, signature meaning/content, permanent record/version linkage, and auditability. Accountable roles: Fictional Process Owner with Quality Assurance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authorised/unauthorised signing, re-authentication, meaning display, record/version linkage, copying/excision resistance, and audit evidence. FS/DS/CS/test IDs: not yet assigned. Residual risk: not rated. Status: requirement risk assessed; downstream design, control and test evidence open.</w:t>
      </w:r>
    </w:p>
    <w:p>
      <w:pPr>
        <w:pStyle w:val="Heading2"/>
      </w:pPr>
      <w:r>
        <w:rPr>
          <w:rFonts w:ascii="Calibri" w:hAnsi="Calibri"/>
          <w:b/>
          <w:sz w:val="26"/>
          <w:color w:val="2E74B5"/>
        </w:rPr>
        <w:t>5.5 Audit trail</w:t>
      </w:r>
    </w:p>
    <w:p>
      <w:pPr>
        <w:spacing w:before="80" w:after="160"/>
        <w:ind w:left="120" w:right="120"/>
        <w:shd w:fill="E8EEF5"/>
        <w:pBdr>
          <w:left w:val="single" w:sz="18" w:space="4" w:color="1F4D78"/>
        </w:pBdr>
      </w:pPr>
      <w:r>
        <w:rPr>
          <w:rFonts w:ascii="Calibri" w:hAnsi="Calibri"/>
          <w:b/>
          <w:sz w:val="19"/>
          <w:color w:val="1F4D78"/>
        </w:rPr>
        <w:t xml:space="preserve">Category baseline. </w:t>
      </w:r>
      <w:r>
        <w:rPr>
          <w:rFonts w:ascii="Calibri" w:hAnsi="Calibri"/>
          <w:b w:val="0"/>
          <w:sz w:val="19"/>
          <w:color w:val="000000"/>
        </w:rPr>
        <w:t>4 requirements | 0 Functional | 4 Non-functional | working maximum: High.</w:t>
      </w:r>
    </w:p>
    <w:p>
      <w:pPr>
        <w:pStyle w:val="Heading3"/>
      </w:pPr>
      <w:r>
        <w:rPr>
          <w:rFonts w:ascii="Calibri" w:hAnsi="Calibri"/>
          <w:b/>
          <w:sz w:val="24"/>
          <w:color w:val="1F4D78"/>
        </w:rPr>
        <w:t>URS-MES-020 | Automatic audit-trail capture</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automatically create secure, time-stamped audit-trail records for risk-relevant creation, modification, deletion, status, signature, access, and configuration events, including who acted, what changed, when, and the required reason or prior/new values.</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RSK-MES-008.</w:t>
      </w:r>
    </w:p>
    <w:p>
      <w:pPr>
        <w:spacing w:after="60" w:line="240" w:lineRule="auto"/>
      </w:pPr>
      <w:r>
        <w:rPr>
          <w:rFonts w:ascii="Calibri" w:hAnsi="Calibri"/>
          <w:b/>
          <w:sz w:val="18"/>
          <w:color w:val="1F4D78"/>
        </w:rPr>
        <w:t xml:space="preserve">Failure scenario. </w:t>
      </w:r>
      <w:r>
        <w:rPr>
          <w:rFonts w:ascii="Calibri" w:hAnsi="Calibri"/>
          <w:sz w:val="18"/>
          <w:color w:val="000000"/>
        </w:rPr>
        <w:t>If automatic audit-trail capture is absent, bypassed, incorrect or unavailable, risk-relevant activity may not be captured, protected, retained, searchable, contextualised, reviewed, or dispositioned. Linked scenarios: Incomplete, alterable, or ineffective audit trail.</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automatic audit-trail capture is absent, bypassed, incorrect or unavailable, risk-relevant activity may not be captured, protected, retained, searchable, contextualised, reviewed, or dispositioned. Linked scenarios: Incomplete, alterable, or ineffective audit trail.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Automatically capture defined events and prior/new context; protect and retain audit records; provide searchable review populations and controlled review evidence. Accountable roles: Fictional Data Integrity SME with Quality Assurance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event coverage, before/after values, reason enforcement, privileged-user resistance, time alignment, search/filter/export, review population, and disposition linkage. FS/DS/CS/test IDs: not yet assigned. Residual risk: not rated. Status: requirement risk assessed; downstream design, control and test evidence open.</w:t>
      </w:r>
    </w:p>
    <w:p>
      <w:pPr>
        <w:pStyle w:val="Heading3"/>
      </w:pPr>
      <w:r>
        <w:rPr>
          <w:rFonts w:ascii="Calibri" w:hAnsi="Calibri"/>
          <w:b/>
          <w:sz w:val="24"/>
          <w:color w:val="1F4D78"/>
        </w:rPr>
        <w:t>URS-MES-021 | Audit-trail protection and retention</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solution shall protect audit trails from unauthorised alteration or deletion, including by privileged users, and shall retain them in a readable, retrievable, and time-aligned form for at least the retention period of the associated record.</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RSK-MES-008, RSK-MES-010.</w:t>
      </w:r>
    </w:p>
    <w:p>
      <w:pPr>
        <w:spacing w:after="60" w:line="240" w:lineRule="auto"/>
      </w:pPr>
      <w:r>
        <w:rPr>
          <w:rFonts w:ascii="Calibri" w:hAnsi="Calibri"/>
          <w:b/>
          <w:sz w:val="18"/>
          <w:color w:val="1F4D78"/>
        </w:rPr>
        <w:t xml:space="preserve">Failure scenario. </w:t>
      </w:r>
      <w:r>
        <w:rPr>
          <w:rFonts w:ascii="Calibri" w:hAnsi="Calibri"/>
          <w:sz w:val="18"/>
          <w:color w:val="000000"/>
        </w:rPr>
        <w:t>If audit-trail protection and retention is absent, bypassed, incorrect or unavailable, risk-relevant activity may not be captured, protected, retained, searchable, contextualised, reviewed, or dispositioned. Linked scenarios: Incomplete, alterable, or ineffective audit trail; Uncontrolled correction, deletion, or record lifecycle.</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audit-trail protection and retention is absent, bypassed, incorrect or unavailable, risk-relevant activity may not be captured, protected, retained, searchable, contextualised, reviewed, or dispositioned. Linked scenarios: Incomplete, alterable, or ineffective audit trail; Uncontrolled correction, deletion, or record lifecycle.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Automatically capture defined events and prior/new context; protect and retain audit records; provide searchable review populations and controlled review evidence. Accountable roles: Fictional Data Integrity SME with Quality Assurance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event coverage, before/after values, reason enforcement, privileged-user resistance, time alignment, search/filter/export, review population, and disposition linkage. FS/DS/CS/test IDs: not yet assigned. Residual risk: not rated. Status: requirement risk assessed; downstream design, control and test evidence open.</w:t>
      </w:r>
    </w:p>
    <w:p>
      <w:pPr>
        <w:pStyle w:val="Heading3"/>
      </w:pPr>
      <w:r>
        <w:rPr>
          <w:rFonts w:ascii="Calibri" w:hAnsi="Calibri"/>
          <w:b/>
          <w:sz w:val="24"/>
          <w:color w:val="1F4D78"/>
        </w:rPr>
        <w:t>URS-MES-022 | Audit-trail search and review presentation</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allow authorised reviewers to retrieve, search, sort, filter, and export relevant audit-trail information together with the record context needed to evaluate changes, omissions, repeated actions, and unusual activity.</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RSK-MES-008.</w:t>
      </w:r>
    </w:p>
    <w:p>
      <w:pPr>
        <w:spacing w:after="60" w:line="240" w:lineRule="auto"/>
      </w:pPr>
      <w:r>
        <w:rPr>
          <w:rFonts w:ascii="Calibri" w:hAnsi="Calibri"/>
          <w:b/>
          <w:sz w:val="18"/>
          <w:color w:val="1F4D78"/>
        </w:rPr>
        <w:t xml:space="preserve">Failure scenario. </w:t>
      </w:r>
      <w:r>
        <w:rPr>
          <w:rFonts w:ascii="Calibri" w:hAnsi="Calibri"/>
          <w:sz w:val="18"/>
          <w:color w:val="000000"/>
        </w:rPr>
        <w:t>If audit-trail search and review presentation is absent, bypassed, incorrect or unavailable, risk-relevant activity may not be captured, protected, retained, searchable, contextualised, reviewed, or dispositioned. Linked scenarios: Incomplete, alterable, or ineffective audit trail.</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audit-trail search and review presentation is absent, bypassed, incorrect or unavailable, risk-relevant activity may not be captured, protected, retained, searchable, contextualised, reviewed, or dispositioned. Linked scenarios: Incomplete, alterable, or ineffective audit trail.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Automatically capture defined events and prior/new context; protect and retain audit records; provide searchable review populations and controlled review evidence. Accountable roles: Fictional Data Integrity SME with Quality Assurance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event coverage, before/after values, reason enforcement, privileged-user resistance, time alignment, search/filter/export, review population, and disposition linkage. FS/DS/CS/test IDs: not yet assigned. Residual risk: not rated. Status: requirement risk assessed; downstream design, control and test evidence open.</w:t>
      </w:r>
    </w:p>
    <w:p>
      <w:pPr>
        <w:pStyle w:val="Heading3"/>
      </w:pPr>
      <w:r>
        <w:rPr>
          <w:rFonts w:ascii="Calibri" w:hAnsi="Calibri"/>
          <w:b/>
          <w:sz w:val="24"/>
          <w:color w:val="1F4D78"/>
        </w:rPr>
        <w:t>URS-MES-023 | Risk-based audit-trail review evidence</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support the approved routine, periodic, and investigation-based audit-trail review processes by presenting the defined review population and recording the reviewer, review date, outcome, identified issue, and related disposition reference.</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RSK-MES-008, RSK-MES-024.</w:t>
      </w:r>
    </w:p>
    <w:p>
      <w:pPr>
        <w:spacing w:after="60" w:line="240" w:lineRule="auto"/>
      </w:pPr>
      <w:r>
        <w:rPr>
          <w:rFonts w:ascii="Calibri" w:hAnsi="Calibri"/>
          <w:b/>
          <w:sz w:val="18"/>
          <w:color w:val="1F4D78"/>
        </w:rPr>
        <w:t xml:space="preserve">Failure scenario. </w:t>
      </w:r>
      <w:r>
        <w:rPr>
          <w:rFonts w:ascii="Calibri" w:hAnsi="Calibri"/>
          <w:sz w:val="18"/>
          <w:color w:val="000000"/>
        </w:rPr>
        <w:t>If risk-based audit-trail review evidence is absent, bypassed, incorrect or unavailable, risk-relevant activity may not be captured, protected, retained, searchable, contextualised, reviewed, or dispositioned. Linked scenarios: Incomplete, alterable, or ineffective audit trail; Maintained-state controls, review, or training become ineffective.</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risk-based audit-trail review evidence is absent, bypassed, incorrect or unavailable, risk-relevant activity may not be captured, protected, retained, searchable, contextualised, reviewed, or dispositioned. Linked scenarios: Incomplete, alterable, or ineffective audit trail; Maintained-state controls, review, or training become ineffective.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Automatically capture defined events and prior/new context; protect and retain audit records; provide searchable review populations and controlled review evidence. Accountable roles: Fictional Data Integrity SME with Quality Assurance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event coverage, before/after values, reason enforcement, privileged-user resistance, time alignment, search/filter/export, review population, and disposition linkage. FS/DS/CS/test IDs: not yet assigned. Residual risk: not rated. Status: requirement risk assessed; downstream design, control and test evidence open.</w:t>
      </w:r>
    </w:p>
    <w:p>
      <w:pPr>
        <w:pStyle w:val="Heading2"/>
      </w:pPr>
      <w:r>
        <w:rPr>
          <w:rFonts w:ascii="Calibri" w:hAnsi="Calibri"/>
          <w:b/>
          <w:sz w:val="26"/>
          <w:color w:val="2E74B5"/>
        </w:rPr>
        <w:t>5.6 Data integrity and lifecycle</w:t>
      </w:r>
    </w:p>
    <w:p>
      <w:pPr>
        <w:spacing w:before="80" w:after="160"/>
        <w:ind w:left="120" w:right="120"/>
        <w:shd w:fill="E8EEF5"/>
        <w:pBdr>
          <w:left w:val="single" w:sz="18" w:space="4" w:color="1F4D78"/>
        </w:pBdr>
      </w:pPr>
      <w:r>
        <w:rPr>
          <w:rFonts w:ascii="Calibri" w:hAnsi="Calibri"/>
          <w:b/>
          <w:sz w:val="19"/>
          <w:color w:val="1F4D78"/>
        </w:rPr>
        <w:t xml:space="preserve">Category baseline. </w:t>
      </w:r>
      <w:r>
        <w:rPr>
          <w:rFonts w:ascii="Calibri" w:hAnsi="Calibri"/>
          <w:b w:val="0"/>
          <w:sz w:val="19"/>
          <w:color w:val="000000"/>
        </w:rPr>
        <w:t>4 requirements | 0 Functional | 4 Non-functional | working maximum: High.</w:t>
      </w:r>
    </w:p>
    <w:p>
      <w:pPr>
        <w:pStyle w:val="Heading3"/>
      </w:pPr>
      <w:r>
        <w:rPr>
          <w:rFonts w:ascii="Calibri" w:hAnsi="Calibri"/>
          <w:b/>
          <w:sz w:val="24"/>
          <w:color w:val="1F4D78"/>
        </w:rPr>
        <w:t>URS-MES-024 | ALCOA+ data lifecycle</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solution shall maintain GxP data and required metadata so they remain attributable, legible, contemporaneous, original or a verified true copy, accurate, complete, consistent, enduring, and available throughout their approved lifecycle.</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RSK-MES-002, RSK-MES-010, RSK-MES-026.</w:t>
      </w:r>
    </w:p>
    <w:p>
      <w:pPr>
        <w:spacing w:after="60" w:line="240" w:lineRule="auto"/>
      </w:pPr>
      <w:r>
        <w:rPr>
          <w:rFonts w:ascii="Calibri" w:hAnsi="Calibri"/>
          <w:b/>
          <w:sz w:val="18"/>
          <w:color w:val="1F4D78"/>
        </w:rPr>
        <w:t xml:space="preserve">Failure scenario. </w:t>
      </w:r>
      <w:r>
        <w:rPr>
          <w:rFonts w:ascii="Calibri" w:hAnsi="Calibri"/>
          <w:sz w:val="18"/>
          <w:color w:val="000000"/>
        </w:rPr>
        <w:t>If alcoa+ data lifecycle is absent, bypassed, incorrect or unavailable, GxP data may lose attribution, chronology, accuracy, completeness, consistency, durability, availability, original meaning, or controlled correction history. Linked scenarios: Incorrect or incomplete execution data and calculations; Uncontrolled correction, deletion, or record lifecycle; Initial load or migration loses content and meaning.</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alcoa+ data lifecycle is absent, bypassed, incorrect or unavailable, GxP data may lose attribution, chronology, accuracy, completeness, consistency, durability, availability, original meaning, or controlled correction history. Linked scenarios: Incorrect or incomplete execution data and calculations; Uncontrolled correction, deletion, or record lifecycle; Initial load or migration loses content and meaning.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Implement alcoa+ lifecycle controls, authoritative time, controlled correction, transfer/archive/restore/migration reconciliation, and preservation of metadata and dynamic relationships. Accountable roles: Fictional Data Integrity SME with Process Owner and Validation Lead.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ALCOA+ challenge, time consistency, correction auditability, source-to-target reconciliation, metadata/signature/audit preservation, and migration or restore review. FS/DS/CS/test IDs: not yet assigned. Residual risk: not rated. Status: requirement risk assessed; downstream design, control and test evidence open.</w:t>
      </w:r>
    </w:p>
    <w:p>
      <w:pPr>
        <w:pStyle w:val="Heading3"/>
      </w:pPr>
      <w:r>
        <w:rPr>
          <w:rFonts w:ascii="Calibri" w:hAnsi="Calibri"/>
          <w:b/>
          <w:sz w:val="24"/>
          <w:color w:val="1F4D78"/>
        </w:rPr>
        <w:t>URS-MES-025 | Authoritative and consistent time</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solution shall use the approved authoritative time source across application, database, interface, audit, and signature components and shall apply the defined time-zone and daylight-saving rules consistently.</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RSK-MES-009.</w:t>
      </w:r>
    </w:p>
    <w:p>
      <w:pPr>
        <w:spacing w:after="60" w:line="240" w:lineRule="auto"/>
      </w:pPr>
      <w:r>
        <w:rPr>
          <w:rFonts w:ascii="Calibri" w:hAnsi="Calibri"/>
          <w:b/>
          <w:sz w:val="18"/>
          <w:color w:val="1F4D78"/>
        </w:rPr>
        <w:t xml:space="preserve">Failure scenario. </w:t>
      </w:r>
      <w:r>
        <w:rPr>
          <w:rFonts w:ascii="Calibri" w:hAnsi="Calibri"/>
          <w:sz w:val="18"/>
          <w:color w:val="000000"/>
        </w:rPr>
        <w:t>If authoritative and consistent time is absent, bypassed, incorrect or unavailable, GxP data may lose attribution, chronology, accuracy, completeness, consistency, durability, availability, original meaning, or controlled correction history. Linked scenarios: Inconsistent time and chronology.</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authoritative and consistent time is absent, bypassed, incorrect or unavailable, GxP data may lose attribution, chronology, accuracy, completeness, consistency, durability, availability, original meaning, or controlled correction history. Linked scenarios: Inconsistent time and chronology. Impact level: Working Medium (B);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Medium (B) | Likelihood: Working Possible (II) | Requirement risk: Working Medium (qualitative placeholder). The ITRA links this requirement only to the authoritative-time scenario at Working Medium; the GxP function remains subject to controlled verification.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Implement alcoa+ lifecycle controls, authoritative time, controlled correction, transfer/archive/restore/migration reconciliation, and preservation of metadata and dynamic relationships. Accountable roles: Fictional Data Integrity SME with Process Owner and Validation Lead.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and positive testing plus relevant negative/boundary testing at least once; include end-to-end evidence where this requirement is exercised in a selected workflow. Focus: ALCOA+ challenge, time consistency, correction auditability, source-to-target reconciliation, metadata/signature/audit preservation, and migration or restore review. FS/DS/CS/test IDs: not yet assigned. Residual risk: not rated. Status: requirement risk assessed; downstream design, control and test evidence open.</w:t>
      </w:r>
    </w:p>
    <w:p>
      <w:pPr>
        <w:pStyle w:val="Heading3"/>
      </w:pPr>
      <w:r>
        <w:rPr>
          <w:rFonts w:ascii="Calibri" w:hAnsi="Calibri"/>
          <w:b/>
          <w:sz w:val="24"/>
          <w:color w:val="1F4D78"/>
        </w:rPr>
        <w:t>URS-MES-026 | Controlled correction of GxP data</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permit correction of GxP data only by an authorised role through the approved function while preserving the original value, corrected value, reason, actor, date and time, and required review or approval.</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RSK-MES-010.</w:t>
      </w:r>
    </w:p>
    <w:p>
      <w:pPr>
        <w:spacing w:after="60" w:line="240" w:lineRule="auto"/>
      </w:pPr>
      <w:r>
        <w:rPr>
          <w:rFonts w:ascii="Calibri" w:hAnsi="Calibri"/>
          <w:b/>
          <w:sz w:val="18"/>
          <w:color w:val="1F4D78"/>
        </w:rPr>
        <w:t xml:space="preserve">Failure scenario. </w:t>
      </w:r>
      <w:r>
        <w:rPr>
          <w:rFonts w:ascii="Calibri" w:hAnsi="Calibri"/>
          <w:sz w:val="18"/>
          <w:color w:val="000000"/>
        </w:rPr>
        <w:t>If controlled correction of gxp data is absent, bypassed, incorrect or unavailable, GxP data may lose attribution, chronology, accuracy, completeness, consistency, durability, availability, original meaning, or controlled correction history. Linked scenarios: Uncontrolled correction, deletion, or record lifecycle.</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controlled correction of gxp data is absent, bypassed, incorrect or unavailable, GxP data may lose attribution, chronology, accuracy, completeness, consistency, durability, availability, original meaning, or controlled correction history. Linked scenarios: Uncontrolled correction, deletion, or record lifecycle.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Implement alcoa+ lifecycle controls, authoritative time, controlled correction, transfer/archive/restore/migration reconciliation, and preservation of metadata and dynamic relationships. Accountable roles: Fictional Data Integrity SME with Process Owner and Validation Lead.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ALCOA+ challenge, time consistency, correction auditability, source-to-target reconciliation, metadata/signature/audit preservation, and migration or restore review. FS/DS/CS/test IDs: not yet assigned. Residual risk: not rated. Status: requirement risk assessed; downstream design, control and test evidence open.</w:t>
      </w:r>
    </w:p>
    <w:p>
      <w:pPr>
        <w:pStyle w:val="Heading3"/>
      </w:pPr>
      <w:r>
        <w:rPr>
          <w:rFonts w:ascii="Calibri" w:hAnsi="Calibri"/>
          <w:b/>
          <w:sz w:val="24"/>
          <w:color w:val="1F4D78"/>
        </w:rPr>
        <w:t>URS-MES-027 | Preservation through transfer, retention, and migration</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solution shall preserve the content, meaning, metadata, audit trails, electronic signatures, record relationships, and required dynamic characteristics of GxP data through approved transfer, retention, archive, restore, or migration activities.</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RSK-MES-004, RSK-MES-010, RSK-MES-026.</w:t>
      </w:r>
    </w:p>
    <w:p>
      <w:pPr>
        <w:spacing w:after="60" w:line="240" w:lineRule="auto"/>
      </w:pPr>
      <w:r>
        <w:rPr>
          <w:rFonts w:ascii="Calibri" w:hAnsi="Calibri"/>
          <w:b/>
          <w:sz w:val="18"/>
          <w:color w:val="1F4D78"/>
        </w:rPr>
        <w:t xml:space="preserve">Failure scenario. </w:t>
      </w:r>
      <w:r>
        <w:rPr>
          <w:rFonts w:ascii="Calibri" w:hAnsi="Calibri"/>
          <w:sz w:val="18"/>
          <w:color w:val="000000"/>
        </w:rPr>
        <w:t>If preservation through transfer, retention, and migration is absent, bypassed, incorrect or unavailable, GxP data may lose attribution, chronology, accuracy, completeness, consistency, durability, availability, original meaning, or controlled correction history. Linked scenarios: Loss, unreadability, or incomplete copy of regulated records; Uncontrolled correction, deletion, or record lifecycle; Initial load or migration loses content and meaning.</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preservation through transfer, retention, and migration is absent, bypassed, incorrect or unavailable, GxP data may lose attribution, chronology, accuracy, completeness, consistency, durability, availability, original meaning, or controlled correction history. Linked scenarios: Loss, unreadability, or incomplete copy of regulated records; Uncontrolled correction, deletion, or record lifecycle; Initial load or migration loses content and meaning.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Implement alcoa+ lifecycle controls, authoritative time, controlled correction, transfer/archive/restore/migration reconciliation, and preservation of metadata and dynamic relationships. Accountable roles: Fictional Data Integrity SME with Process Owner and Validation Lead.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ALCOA+ challenge, time consistency, correction auditability, source-to-target reconciliation, metadata/signature/audit preservation, and migration or restore review. FS/DS/CS/test IDs: not yet assigned. Residual risk: not rated. Status: requirement risk assessed; downstream design, control and test evidence open.</w:t>
      </w:r>
    </w:p>
    <w:p>
      <w:pPr>
        <w:pStyle w:val="Heading2"/>
      </w:pPr>
      <w:r>
        <w:rPr>
          <w:rFonts w:ascii="Calibri" w:hAnsi="Calibri"/>
          <w:b/>
          <w:sz w:val="26"/>
          <w:color w:val="2E74B5"/>
        </w:rPr>
        <w:t>5.7 Interfaces and integration</w:t>
      </w:r>
    </w:p>
    <w:p>
      <w:pPr>
        <w:spacing w:before="80" w:after="160"/>
        <w:ind w:left="120" w:right="120"/>
        <w:shd w:fill="E8EEF5"/>
        <w:pBdr>
          <w:left w:val="single" w:sz="18" w:space="4" w:color="1F4D78"/>
        </w:pBdr>
      </w:pPr>
      <w:r>
        <w:rPr>
          <w:rFonts w:ascii="Calibri" w:hAnsi="Calibri"/>
          <w:b/>
          <w:sz w:val="19"/>
          <w:color w:val="1F4D78"/>
        </w:rPr>
        <w:t xml:space="preserve">Category baseline. </w:t>
      </w:r>
      <w:r>
        <w:rPr>
          <w:rFonts w:ascii="Calibri" w:hAnsi="Calibri"/>
          <w:b w:val="0"/>
          <w:sz w:val="19"/>
          <w:color w:val="000000"/>
        </w:rPr>
        <w:t>9 requirements | 9 Functional | 0 Non-functional | working maximum: High.</w:t>
      </w:r>
    </w:p>
    <w:p>
      <w:pPr>
        <w:pStyle w:val="Heading3"/>
      </w:pPr>
      <w:r>
        <w:rPr>
          <w:rFonts w:ascii="Calibri" w:hAnsi="Calibri"/>
          <w:b/>
          <w:sz w:val="24"/>
          <w:color w:val="1F4D78"/>
        </w:rPr>
        <w:t>URS-MES-028 | ERP inbound orders and master data</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receive authorised production orders and applicable master data from the designated ERP source with sufficient identifiers, version/status information, and completeness checks to accept, reject, or quarantine each inbound object deterministically.</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RSK-MES-011, RSK-MES-015.</w:t>
      </w:r>
    </w:p>
    <w:p>
      <w:pPr>
        <w:spacing w:after="60" w:line="240" w:lineRule="auto"/>
      </w:pPr>
      <w:r>
        <w:rPr>
          <w:rFonts w:ascii="Calibri" w:hAnsi="Calibri"/>
          <w:b/>
          <w:sz w:val="18"/>
          <w:color w:val="1F4D78"/>
        </w:rPr>
        <w:t xml:space="preserve">Failure scenario. </w:t>
      </w:r>
      <w:r>
        <w:rPr>
          <w:rFonts w:ascii="Calibri" w:hAnsi="Calibri"/>
          <w:sz w:val="18"/>
          <w:color w:val="000000"/>
        </w:rPr>
        <w:t>If erp inbound orders and master data is absent, bypassed, incorrect or unavailable, cross-system data or commands may be wrong, incomplete, duplicated, late, unmatched, mis-sequenced, unauthorised, unreconciled, or applied to the wrong batch/state. Linked scenarios: ERP order/master-data or confirmation interface failure; Cross-interface integrity, monitoring, or reconciliation failure.</w:t>
      </w:r>
    </w:p>
    <w:p>
      <w:pPr>
        <w:spacing w:after="60" w:line="240" w:lineRule="auto"/>
      </w:pPr>
      <w:r>
        <w:rPr>
          <w:rFonts w:ascii="Calibri" w:hAnsi="Calibri"/>
          <w:b/>
          <w:sz w:val="18"/>
          <w:color w:val="1F4D78"/>
        </w:rPr>
        <w:t xml:space="preserve">Factor basis. </w:t>
      </w:r>
      <w:r>
        <w:rPr>
          <w:rFonts w:ascii="Calibri" w:hAnsi="Calibri"/>
          <w:sz w:val="18"/>
          <w:color w:val="000000"/>
        </w:rPr>
        <w:t>Type of process: Calculation / Validation; business impact: CA / Compliance; frequency: Very often; affected users: Large number / very important; business logic: Complex; implementation: Verify - PAS-X standard/configured/customised split not confirmed; size: Working Average; confirm in FS/DS/CS; interfaces: Interfaced.</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Control source authority, mapping/version, identity, sequence, validation, acknowledgement, timeout, retry/replay, quarantine, error visibility, monitoring, safe failure, and reconciliation. Accountable roles: Fictional Integration Lead with Data Owner, Process Owner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normal, invalid, duplicate, missing, late, out-of-sequence, retry/replay, communication-loss, safe-failure, mapping, acknowledgement, and end-to-end reconciliation scenarios. FS/DS/CS/test IDs: not yet assigned. Residual risk: not rated. Status: requirement risk assessed; downstream design, control and test evidence open.</w:t>
      </w:r>
    </w:p>
    <w:p>
      <w:pPr>
        <w:pStyle w:val="Heading3"/>
      </w:pPr>
      <w:r>
        <w:rPr>
          <w:rFonts w:ascii="Calibri" w:hAnsi="Calibri"/>
          <w:b/>
          <w:sz w:val="24"/>
          <w:color w:val="1F4D78"/>
        </w:rPr>
        <w:t>URS-MES-029 | ERP outbound manufacturing confirmation</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transmit authorised manufacturing confirmations, consumption, yield, and applicable status data to ERP with defined identifiers and acknowledgements sufficient to detect omission, duplication, rejection, and inconsistent state.</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RSK-MES-011, RSK-MES-015.</w:t>
      </w:r>
    </w:p>
    <w:p>
      <w:pPr>
        <w:spacing w:after="60" w:line="240" w:lineRule="auto"/>
      </w:pPr>
      <w:r>
        <w:rPr>
          <w:rFonts w:ascii="Calibri" w:hAnsi="Calibri"/>
          <w:b/>
          <w:sz w:val="18"/>
          <w:color w:val="1F4D78"/>
        </w:rPr>
        <w:t xml:space="preserve">Failure scenario. </w:t>
      </w:r>
      <w:r>
        <w:rPr>
          <w:rFonts w:ascii="Calibri" w:hAnsi="Calibri"/>
          <w:sz w:val="18"/>
          <w:color w:val="000000"/>
        </w:rPr>
        <w:t>If erp outbound manufacturing confirmation is absent, bypassed, incorrect or unavailable, cross-system data or commands may be wrong, incomplete, duplicated, late, unmatched, mis-sequenced, unauthorised, unreconciled, or applied to the wrong batch/state. Linked scenarios: ERP order/master-data or confirmation interface failure; Cross-interface integrity, monitoring, or reconciliation failure.</w:t>
      </w:r>
    </w:p>
    <w:p>
      <w:pPr>
        <w:spacing w:after="60" w:line="240" w:lineRule="auto"/>
      </w:pPr>
      <w:r>
        <w:rPr>
          <w:rFonts w:ascii="Calibri" w:hAnsi="Calibri"/>
          <w:b/>
          <w:sz w:val="18"/>
          <w:color w:val="1F4D78"/>
        </w:rPr>
        <w:t xml:space="preserve">Factor basis. </w:t>
      </w:r>
      <w:r>
        <w:rPr>
          <w:rFonts w:ascii="Calibri" w:hAnsi="Calibri"/>
          <w:sz w:val="18"/>
          <w:color w:val="000000"/>
        </w:rPr>
        <w:t>Type of process: Change of data; business impact: Wrong information; frequency: Very often; affected users: Large number / very important; business logic: Complex; implementation: Verify - PAS-X standard/configured/customised split not confirmed; size: Working Average; confirm in FS/DS/CS; interfaces: Interfaced.</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Control source authority, mapping/version, identity, sequence, validation, acknowledgement, timeout, retry/replay, quarantine, error visibility, monitoring, safe failure, and reconciliation. Accountable roles: Fictional Integration Lead with Data Owner, Process Owner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normal, invalid, duplicate, missing, late, out-of-sequence, retry/replay, communication-loss, safe-failure, mapping, acknowledgement, and end-to-end reconciliation scenarios. FS/DS/CS/test IDs: not yet assigned. Residual risk: not rated. Status: requirement risk assessed; downstream design, control and test evidence open.</w:t>
      </w:r>
    </w:p>
    <w:p>
      <w:pPr>
        <w:pStyle w:val="Heading3"/>
      </w:pPr>
      <w:r>
        <w:rPr>
          <w:rFonts w:ascii="Calibri" w:hAnsi="Calibri"/>
          <w:b/>
          <w:sz w:val="24"/>
          <w:color w:val="1F4D78"/>
        </w:rPr>
        <w:t>URS-MES-030 | LIMS sample request and status transfer</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create and transmit an authorised sample request and applicable batch/sample context to LIMS and shall track acknowledgement and sample status using stable cross-system identifiers.</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RSK-MES-012, RSK-MES-015.</w:t>
      </w:r>
    </w:p>
    <w:p>
      <w:pPr>
        <w:spacing w:after="60" w:line="240" w:lineRule="auto"/>
      </w:pPr>
      <w:r>
        <w:rPr>
          <w:rFonts w:ascii="Calibri" w:hAnsi="Calibri"/>
          <w:b/>
          <w:sz w:val="18"/>
          <w:color w:val="1F4D78"/>
        </w:rPr>
        <w:t xml:space="preserve">Failure scenario. </w:t>
      </w:r>
      <w:r>
        <w:rPr>
          <w:rFonts w:ascii="Calibri" w:hAnsi="Calibri"/>
          <w:sz w:val="18"/>
          <w:color w:val="000000"/>
        </w:rPr>
        <w:t>If lims sample request and status transfer is absent, bypassed, incorrect or unavailable, cross-system data or commands may be wrong, incomplete, duplicated, late, unmatched, mis-sequenced, unauthorised, unreconciled, or applied to the wrong batch/state. Linked scenarios: LIMS sample, result, or disposition interface failure; Cross-interface integrity, monitoring, or reconciliation failure.</w:t>
      </w:r>
    </w:p>
    <w:p>
      <w:pPr>
        <w:spacing w:after="60" w:line="240" w:lineRule="auto"/>
      </w:pPr>
      <w:r>
        <w:rPr>
          <w:rFonts w:ascii="Calibri" w:hAnsi="Calibri"/>
          <w:b/>
          <w:sz w:val="18"/>
          <w:color w:val="1F4D78"/>
        </w:rPr>
        <w:t xml:space="preserve">Factor basis. </w:t>
      </w:r>
      <w:r>
        <w:rPr>
          <w:rFonts w:ascii="Calibri" w:hAnsi="Calibri"/>
          <w:sz w:val="18"/>
          <w:color w:val="000000"/>
        </w:rPr>
        <w:t>Type of process: Change of data; business impact: Wrong information; frequency: Very often; affected users: Large number / very important; business logic: Complex; implementation: Verify - PAS-X standard/configured/customised split not confirmed; size: Working Average; confirm in FS/DS/CS; interfaces: Interfaced.</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Control source authority, mapping/version, identity, sequence, validation, acknowledgement, timeout, retry/replay, quarantine, error visibility, monitoring, safe failure, and reconciliation. Accountable roles: Fictional Integration Lead with Data Owner, Process Owner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normal, invalid, duplicate, missing, late, out-of-sequence, retry/replay, communication-loss, safe-failure, mapping, acknowledgement, and end-to-end reconciliation scenarios. FS/DS/CS/test IDs: not yet assigned. Residual risk: not rated. Status: requirement risk assessed; downstream design, control and test evidence open.</w:t>
      </w:r>
    </w:p>
    <w:p>
      <w:pPr>
        <w:pStyle w:val="Heading3"/>
      </w:pPr>
      <w:r>
        <w:rPr>
          <w:rFonts w:ascii="Calibri" w:hAnsi="Calibri"/>
          <w:b/>
          <w:sz w:val="24"/>
          <w:color w:val="1F4D78"/>
        </w:rPr>
        <w:t>URS-MES-031 | LIMS result and disposition receipt</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receive authorised LIMS results or disposition/status information, verify the cross-system identity and permitted status transition, and prevent use of late, invalid, superseded, or unmatched information without controlled disposition.</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RSK-MES-012, RSK-MES-015.</w:t>
      </w:r>
    </w:p>
    <w:p>
      <w:pPr>
        <w:spacing w:after="60" w:line="240" w:lineRule="auto"/>
      </w:pPr>
      <w:r>
        <w:rPr>
          <w:rFonts w:ascii="Calibri" w:hAnsi="Calibri"/>
          <w:b/>
          <w:sz w:val="18"/>
          <w:color w:val="1F4D78"/>
        </w:rPr>
        <w:t xml:space="preserve">Failure scenario. </w:t>
      </w:r>
      <w:r>
        <w:rPr>
          <w:rFonts w:ascii="Calibri" w:hAnsi="Calibri"/>
          <w:sz w:val="18"/>
          <w:color w:val="000000"/>
        </w:rPr>
        <w:t>If lims result and disposition receipt is absent, bypassed, incorrect or unavailable, cross-system data or commands may be wrong, incomplete, duplicated, late, unmatched, mis-sequenced, unauthorised, unreconciled, or applied to the wrong batch/state. Linked scenarios: LIMS sample, result, or disposition interface failure; Cross-interface integrity, monitoring, or reconciliation failure.</w:t>
      </w:r>
    </w:p>
    <w:p>
      <w:pPr>
        <w:spacing w:after="60" w:line="240" w:lineRule="auto"/>
      </w:pPr>
      <w:r>
        <w:rPr>
          <w:rFonts w:ascii="Calibri" w:hAnsi="Calibri"/>
          <w:b/>
          <w:sz w:val="18"/>
          <w:color w:val="1F4D78"/>
        </w:rPr>
        <w:t xml:space="preserve">Factor basis. </w:t>
      </w:r>
      <w:r>
        <w:rPr>
          <w:rFonts w:ascii="Calibri" w:hAnsi="Calibri"/>
          <w:sz w:val="18"/>
          <w:color w:val="000000"/>
        </w:rPr>
        <w:t>Type of process: Calculation / Validation; business impact: CA / Compliance; frequency: Very often; affected users: Large number / very important; business logic: Complex; implementation: Verify - PAS-X standard/configured/customised split not confirmed; size: Working Average; confirm in FS/DS/CS; interfaces: Interfaced.</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Control source authority, mapping/version, identity, sequence, validation, acknowledgement, timeout, retry/replay, quarantine, error visibility, monitoring, safe failure, and reconciliation. Accountable roles: Fictional Integration Lead with Data Owner, Process Owner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normal, invalid, duplicate, missing, late, out-of-sequence, retry/replay, communication-loss, safe-failure, mapping, acknowledgement, and end-to-end reconciliation scenarios. FS/DS/CS/test IDs: not yet assigned. Residual risk: not rated. Status: requirement risk assessed; downstream design, control and test evidence open.</w:t>
      </w:r>
    </w:p>
    <w:p>
      <w:pPr>
        <w:pStyle w:val="Heading3"/>
      </w:pPr>
      <w:r>
        <w:rPr>
          <w:rFonts w:ascii="Calibri" w:hAnsi="Calibri"/>
          <w:b/>
          <w:sz w:val="24"/>
          <w:color w:val="1F4D78"/>
        </w:rPr>
        <w:t>URS-MES-032 | Controlled commands to automation</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transmit approved commands, setpoints, or recipe context to the automation layer only for the correct active batch and permitted process state and shall require the defined acknowledgement or safe failure response.</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RSK-MES-013, RSK-MES-015.</w:t>
      </w:r>
    </w:p>
    <w:p>
      <w:pPr>
        <w:spacing w:after="60" w:line="240" w:lineRule="auto"/>
      </w:pPr>
      <w:r>
        <w:rPr>
          <w:rFonts w:ascii="Calibri" w:hAnsi="Calibri"/>
          <w:b/>
          <w:sz w:val="18"/>
          <w:color w:val="1F4D78"/>
        </w:rPr>
        <w:t xml:space="preserve">Failure scenario. </w:t>
      </w:r>
      <w:r>
        <w:rPr>
          <w:rFonts w:ascii="Calibri" w:hAnsi="Calibri"/>
          <w:sz w:val="18"/>
          <w:color w:val="000000"/>
        </w:rPr>
        <w:t>If controlled commands to automation is absent, bypassed, incorrect or unavailable, cross-system data or commands may be wrong, incomplete, duplicated, late, unmatched, mis-sequenced, unauthorised, unreconciled, or applied to the wrong batch/state. Linked scenarios: Automation command, state, or measurement mismatch; Cross-interface integrity, monitoring, or reconciliation failure.</w:t>
      </w:r>
    </w:p>
    <w:p>
      <w:pPr>
        <w:spacing w:after="60" w:line="240" w:lineRule="auto"/>
      </w:pPr>
      <w:r>
        <w:rPr>
          <w:rFonts w:ascii="Calibri" w:hAnsi="Calibri"/>
          <w:b/>
          <w:sz w:val="18"/>
          <w:color w:val="1F4D78"/>
        </w:rPr>
        <w:t xml:space="preserve">Factor basis. </w:t>
      </w:r>
      <w:r>
        <w:rPr>
          <w:rFonts w:ascii="Calibri" w:hAnsi="Calibri"/>
          <w:sz w:val="18"/>
          <w:color w:val="000000"/>
        </w:rPr>
        <w:t>Type of process: Calculation / Validation; business impact: CA / Compliance; frequency: Very often; affected users: Large number / very important; business logic: Complex; implementation: Verify - PAS-X standard/configured/customised split not confirmed; size: Working Average; confirm in FS/DS/CS; interfaces: Interfaced.</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Control source authority, mapping/version, identity, sequence, validation, acknowledgement, timeout, retry/replay, quarantine, error visibility, monitoring, safe failure, and reconciliation. Accountable roles: Fictional Integration Lead with Data Owner, Process Owner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normal, invalid, duplicate, missing, late, out-of-sequence, retry/replay, communication-loss, safe-failure, mapping, acknowledgement, and end-to-end reconciliation scenarios. FS/DS/CS/test IDs: not yet assigned. Residual risk: not rated. Status: requirement risk assessed; downstream design, control and test evidence open.</w:t>
      </w:r>
    </w:p>
    <w:p>
      <w:pPr>
        <w:pStyle w:val="Heading3"/>
      </w:pPr>
      <w:r>
        <w:rPr>
          <w:rFonts w:ascii="Calibri" w:hAnsi="Calibri"/>
          <w:b/>
          <w:sz w:val="24"/>
          <w:color w:val="1F4D78"/>
        </w:rPr>
        <w:t>URS-MES-033 | Automation data receipt</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receive required automation measurements, statuses, alarms, and events with source identity, unit, date and time, sequence, and batch/step context and shall visibly handle invalid, missing, late, or out-of-range data.</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RSK-MES-013, RSK-MES-015.</w:t>
      </w:r>
    </w:p>
    <w:p>
      <w:pPr>
        <w:spacing w:after="60" w:line="240" w:lineRule="auto"/>
      </w:pPr>
      <w:r>
        <w:rPr>
          <w:rFonts w:ascii="Calibri" w:hAnsi="Calibri"/>
          <w:b/>
          <w:sz w:val="18"/>
          <w:color w:val="1F4D78"/>
        </w:rPr>
        <w:t xml:space="preserve">Failure scenario. </w:t>
      </w:r>
      <w:r>
        <w:rPr>
          <w:rFonts w:ascii="Calibri" w:hAnsi="Calibri"/>
          <w:sz w:val="18"/>
          <w:color w:val="000000"/>
        </w:rPr>
        <w:t>If automation data receipt is absent, bypassed, incorrect or unavailable, cross-system data or commands may be wrong, incomplete, duplicated, late, unmatched, mis-sequenced, unauthorised, unreconciled, or applied to the wrong batch/state. Linked scenarios: Automation command, state, or measurement mismatch; Cross-interface integrity, monitoring, or reconciliation failure.</w:t>
      </w:r>
    </w:p>
    <w:p>
      <w:pPr>
        <w:spacing w:after="60" w:line="240" w:lineRule="auto"/>
      </w:pPr>
      <w:r>
        <w:rPr>
          <w:rFonts w:ascii="Calibri" w:hAnsi="Calibri"/>
          <w:b/>
          <w:sz w:val="18"/>
          <w:color w:val="1F4D78"/>
        </w:rPr>
        <w:t xml:space="preserve">Factor basis. </w:t>
      </w:r>
      <w:r>
        <w:rPr>
          <w:rFonts w:ascii="Calibri" w:hAnsi="Calibri"/>
          <w:sz w:val="18"/>
          <w:color w:val="000000"/>
        </w:rPr>
        <w:t>Type of process: Calculation / Validation; business impact: CA / Compliance; frequency: Very often; affected users: Large number / very important; business logic: Complex; implementation: Verify - PAS-X standard/configured/customised split not confirmed; size: Working Average; confirm in FS/DS/CS; interfaces: Interfaced.</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Control source authority, mapping/version, identity, sequence, validation, acknowledgement, timeout, retry/replay, quarantine, error visibility, monitoring, safe failure, and reconciliation. Accountable roles: Fictional Integration Lead with Data Owner, Process Owner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normal, invalid, duplicate, missing, late, out-of-sequence, retry/replay, communication-loss, safe-failure, mapping, acknowledgement, and end-to-end reconciliation scenarios. FS/DS/CS/test IDs: not yet assigned. Residual risk: not rated. Status: requirement risk assessed; downstream design, control and test evidence open.</w:t>
      </w:r>
    </w:p>
    <w:p>
      <w:pPr>
        <w:pStyle w:val="Heading3"/>
      </w:pPr>
      <w:r>
        <w:rPr>
          <w:rFonts w:ascii="Calibri" w:hAnsi="Calibri"/>
          <w:b/>
          <w:sz w:val="24"/>
          <w:color w:val="1F4D78"/>
        </w:rPr>
        <w:t>URS-MES-034 | Historian and reporting publication</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publish only the approved process, event, audit-context, or performance data to the historian/reporting layer with defined source authority, time context, completeness controls, and no unauthorised write-back to the MES record.</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RSK-MES-014, RSK-MES-015.</w:t>
      </w:r>
    </w:p>
    <w:p>
      <w:pPr>
        <w:spacing w:after="60" w:line="240" w:lineRule="auto"/>
      </w:pPr>
      <w:r>
        <w:rPr>
          <w:rFonts w:ascii="Calibri" w:hAnsi="Calibri"/>
          <w:b/>
          <w:sz w:val="18"/>
          <w:color w:val="1F4D78"/>
        </w:rPr>
        <w:t xml:space="preserve">Failure scenario. </w:t>
      </w:r>
      <w:r>
        <w:rPr>
          <w:rFonts w:ascii="Calibri" w:hAnsi="Calibri"/>
          <w:sz w:val="18"/>
          <w:color w:val="000000"/>
        </w:rPr>
        <w:t>If historian and reporting publication is absent, bypassed, incorrect or unavailable, cross-system data or commands may be wrong, incomplete, duplicated, late, unmatched, mis-sequenced, unauthorised, unreconciled, or applied to the wrong batch/state. Linked scenarios: Historian/reporting publication is incomplete or misleading; Cross-interface integrity, monitoring, or reconciliation failure.</w:t>
      </w:r>
    </w:p>
    <w:p>
      <w:pPr>
        <w:spacing w:after="60" w:line="240" w:lineRule="auto"/>
      </w:pPr>
      <w:r>
        <w:rPr>
          <w:rFonts w:ascii="Calibri" w:hAnsi="Calibri"/>
          <w:b/>
          <w:sz w:val="18"/>
          <w:color w:val="1F4D78"/>
        </w:rPr>
        <w:t xml:space="preserve">Factor basis. </w:t>
      </w:r>
      <w:r>
        <w:rPr>
          <w:rFonts w:ascii="Calibri" w:hAnsi="Calibri"/>
          <w:sz w:val="18"/>
          <w:color w:val="000000"/>
        </w:rPr>
        <w:t>Type of process: Change of data; business impact: Wrong information; frequency: Very often; affected users: Large number / very important; business logic: Complex; implementation: Verify - PAS-X standard/configured/customised split not confirmed; size: Working Average; confirm in FS/DS/CS; interfaces: Interfaced.</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Control source authority, mapping/version, identity, sequence, validation, acknowledgement, timeout, retry/replay, quarantine, error visibility, monitoring, safe failure, and reconciliation. Accountable roles: Fictional Integration Lead with Data Owner, Process Owner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normal, invalid, duplicate, missing, late, out-of-sequence, retry/replay, communication-loss, safe-failure, mapping, acknowledgement, and end-to-end reconciliation scenarios. FS/DS/CS/test IDs: not yet assigned. Residual risk: not rated. Status: requirement risk assessed; downstream design, control and test evidence open.</w:t>
      </w:r>
    </w:p>
    <w:p>
      <w:pPr>
        <w:pStyle w:val="Heading3"/>
      </w:pPr>
      <w:r>
        <w:rPr>
          <w:rFonts w:ascii="Calibri" w:hAnsi="Calibri"/>
          <w:b/>
          <w:sz w:val="24"/>
          <w:color w:val="1F4D78"/>
        </w:rPr>
        <w:t>URS-MES-035 | Enterprise identity integration</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consume authentication outcomes and approved identity attributes from the designated enterprise identity service while keeping MES role assignment and regulated authorisation under controlled ownership.</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RSK-MES-005, RSK-MES-006, RSK-MES-015.</w:t>
      </w:r>
    </w:p>
    <w:p>
      <w:pPr>
        <w:spacing w:after="60" w:line="240" w:lineRule="auto"/>
      </w:pPr>
      <w:r>
        <w:rPr>
          <w:rFonts w:ascii="Calibri" w:hAnsi="Calibri"/>
          <w:b/>
          <w:sz w:val="18"/>
          <w:color w:val="1F4D78"/>
        </w:rPr>
        <w:t xml:space="preserve">Failure scenario. </w:t>
      </w:r>
      <w:r>
        <w:rPr>
          <w:rFonts w:ascii="Calibri" w:hAnsi="Calibri"/>
          <w:sz w:val="18"/>
          <w:color w:val="000000"/>
        </w:rPr>
        <w:t>If enterprise identity integration is absent, bypassed, incorrect or unavailable, cross-system data or commands may be wrong, incomplete, duplicated, late, unmatched, mis-sequenced, unauthorised, unreconciled, or applied to the wrong batch/state. Linked scenarios: Unauthorised or excessive access; Credential, session, or service-account compromise; Cross-interface integrity, monitoring, or reconciliation failure.</w:t>
      </w:r>
    </w:p>
    <w:p>
      <w:pPr>
        <w:spacing w:after="60" w:line="240" w:lineRule="auto"/>
      </w:pPr>
      <w:r>
        <w:rPr>
          <w:rFonts w:ascii="Calibri" w:hAnsi="Calibri"/>
          <w:b/>
          <w:sz w:val="18"/>
          <w:color w:val="1F4D78"/>
        </w:rPr>
        <w:t xml:space="preserve">Factor basis. </w:t>
      </w:r>
      <w:r>
        <w:rPr>
          <w:rFonts w:ascii="Calibri" w:hAnsi="Calibri"/>
          <w:sz w:val="18"/>
          <w:color w:val="000000"/>
        </w:rPr>
        <w:t>Type of process: Change of data; business impact: Wrong information; frequency: Very often; affected users: Large number / very important; business logic: Complex; implementation: Verify - PAS-X standard/configured/customised split not confirmed; size: Working Average; confirm in FS/DS/CS; interfaces: Interfaced.</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Control source authority, mapping/version, identity, sequence, validation, acknowledgement, timeout, retry/replay, quarantine, error visibility, monitoring, safe failure, and reconciliation. Accountable roles: Fictional Integration Lead with Data Owner, Process Owner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normal, invalid, duplicate, missing, late, out-of-sequence, retry/replay, communication-loss, safe-failure, mapping, acknowledgement, and end-to-end reconciliation scenarios. FS/DS/CS/test IDs: not yet assigned. Residual risk: not rated. Status: requirement risk assessed; downstream design, control and test evidence open.</w:t>
      </w:r>
    </w:p>
    <w:p>
      <w:pPr>
        <w:pStyle w:val="Heading3"/>
      </w:pPr>
      <w:r>
        <w:rPr>
          <w:rFonts w:ascii="Calibri" w:hAnsi="Calibri"/>
          <w:b/>
          <w:sz w:val="24"/>
          <w:color w:val="1F4D78"/>
        </w:rPr>
        <w:t>URS-MES-036 | Common interface integrity and failure control</w:t>
      </w:r>
    </w:p>
    <w:p>
      <w:pPr>
        <w:spacing w:after="60" w:line="240" w:lineRule="auto"/>
      </w:pPr>
      <w:r>
        <w:rPr>
          <w:rFonts w:ascii="Calibri" w:hAnsi="Calibri"/>
          <w:b/>
          <w:sz w:val="18"/>
          <w:color w:val="1F4D78"/>
        </w:rPr>
        <w:t xml:space="preserve">Controlled requirement. </w:t>
      </w:r>
      <w:r>
        <w:rPr>
          <w:rFonts w:ascii="Calibri" w:hAnsi="Calibri"/>
          <w:sz w:val="18"/>
          <w:color w:val="000000"/>
        </w:rPr>
        <w:t>Every in-scope MES interface shall apply approved authentication, mapping/version control, sequencing, duplicate detection, acknowledgement, timeout, retry or replay, error visibility, monitoring, and reconciliation appropriate to the transferred data and risk.</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RSK-MES-011, RSK-MES-012, RSK-MES-013, RSK-MES-014, RSK-MES-015, RSK-MES-019.</w:t>
      </w:r>
    </w:p>
    <w:p>
      <w:pPr>
        <w:spacing w:after="60" w:line="240" w:lineRule="auto"/>
      </w:pPr>
      <w:r>
        <w:rPr>
          <w:rFonts w:ascii="Calibri" w:hAnsi="Calibri"/>
          <w:b/>
          <w:sz w:val="18"/>
          <w:color w:val="1F4D78"/>
        </w:rPr>
        <w:t xml:space="preserve">Failure scenario. </w:t>
      </w:r>
      <w:r>
        <w:rPr>
          <w:rFonts w:ascii="Calibri" w:hAnsi="Calibri"/>
          <w:sz w:val="18"/>
          <w:color w:val="000000"/>
        </w:rPr>
        <w:t>If common interface integrity and failure control is absent, bypassed, incorrect or unavailable, cross-system data or commands may be wrong, incomplete, duplicated, late, unmatched, mis-sequenced, unauthorised, unreconciled, or applied to the wrong batch/state. Linked scenarios: ERP order/master-data or confirmation interface failure; LIMS sample, result, or disposition interface failure; Automation command, state, or measurement mismatch; Historian/reporting publication is incomplete or misleading; Cross-interface integrity, monitoring, or reconciliation failure; Cyber vulnerability, malware, or insecure component.</w:t>
      </w:r>
    </w:p>
    <w:p>
      <w:pPr>
        <w:spacing w:after="60" w:line="240" w:lineRule="auto"/>
      </w:pPr>
      <w:r>
        <w:rPr>
          <w:rFonts w:ascii="Calibri" w:hAnsi="Calibri"/>
          <w:b/>
          <w:sz w:val="18"/>
          <w:color w:val="1F4D78"/>
        </w:rPr>
        <w:t xml:space="preserve">Factor basis. </w:t>
      </w:r>
      <w:r>
        <w:rPr>
          <w:rFonts w:ascii="Calibri" w:hAnsi="Calibri"/>
          <w:sz w:val="18"/>
          <w:color w:val="000000"/>
        </w:rPr>
        <w:t>Type of process: Calculation / Validation; business impact: CA / Compliance; frequency: Very often; affected users: Large number / very important; business logic: Complex; implementation: Verify - PAS-X standard/configured/customised split not confirmed; size: Working Large; confirm in FS/DS/CS; interfaces: Many interfaces.</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Control source authority, mapping/version, identity, sequence, validation, acknowledgement, timeout, retry/replay, quarantine, error visibility, monitoring, safe failure, and reconciliation. Accountable roles: Fictional Integration Lead with Data Owner, Process Owner and IT Solution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normal, invalid, duplicate, missing, late, out-of-sequence, retry/replay, communication-loss, safe-failure, mapping, acknowledgement, and end-to-end reconciliation scenarios. FS/DS/CS/test IDs: not yet assigned. Residual risk: not rated. Status: requirement risk assessed; downstream design, control and test evidence open.</w:t>
      </w:r>
    </w:p>
    <w:p>
      <w:pPr>
        <w:pStyle w:val="Heading2"/>
      </w:pPr>
      <w:r>
        <w:rPr>
          <w:rFonts w:ascii="Calibri" w:hAnsi="Calibri"/>
          <w:b/>
          <w:sz w:val="26"/>
          <w:color w:val="2E74B5"/>
        </w:rPr>
        <w:t>5.8 Availability, backup and recovery</w:t>
      </w:r>
    </w:p>
    <w:p>
      <w:pPr>
        <w:spacing w:before="80" w:after="160"/>
        <w:ind w:left="120" w:right="120"/>
        <w:shd w:fill="E8EEF5"/>
        <w:pBdr>
          <w:left w:val="single" w:sz="18" w:space="4" w:color="1F4D78"/>
        </w:pBdr>
      </w:pPr>
      <w:r>
        <w:rPr>
          <w:rFonts w:ascii="Calibri" w:hAnsi="Calibri"/>
          <w:b/>
          <w:sz w:val="19"/>
          <w:color w:val="1F4D78"/>
        </w:rPr>
        <w:t xml:space="preserve">Category baseline. </w:t>
      </w:r>
      <w:r>
        <w:rPr>
          <w:rFonts w:ascii="Calibri" w:hAnsi="Calibri"/>
          <w:b w:val="0"/>
          <w:sz w:val="19"/>
          <w:color w:val="000000"/>
        </w:rPr>
        <w:t>4 requirements | 0 Functional | 4 Non-functional | working maximum: High.</w:t>
      </w:r>
    </w:p>
    <w:p>
      <w:pPr>
        <w:pStyle w:val="Heading3"/>
      </w:pPr>
      <w:r>
        <w:rPr>
          <w:rFonts w:ascii="Calibri" w:hAnsi="Calibri"/>
          <w:b/>
          <w:sz w:val="24"/>
          <w:color w:val="1F4D78"/>
        </w:rPr>
        <w:t>URS-MES-037 | Risk-based backup coverage</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solution shall back up all approved software, configuration, GxP data, metadata, audit trails, electronic signatures, and interface state required for recovery at the approved frequency, retention, protection, and Recovery Point Objective.</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RSK-MES-017, RSK-MES-020.</w:t>
      </w:r>
    </w:p>
    <w:p>
      <w:pPr>
        <w:spacing w:after="60" w:line="240" w:lineRule="auto"/>
      </w:pPr>
      <w:r>
        <w:rPr>
          <w:rFonts w:ascii="Calibri" w:hAnsi="Calibri"/>
          <w:b/>
          <w:sz w:val="18"/>
          <w:color w:val="1F4D78"/>
        </w:rPr>
        <w:t xml:space="preserve">Failure scenario. </w:t>
      </w:r>
      <w:r>
        <w:rPr>
          <w:rFonts w:ascii="Calibri" w:hAnsi="Calibri"/>
          <w:sz w:val="18"/>
          <w:color w:val="000000"/>
        </w:rPr>
        <w:t>If risk-based backup coverage is absent, bypassed, incorrect or unavailable, the service or its records may be unavailable, unrecoverable, outside business objectives, internally inconsistent, or resumed before regulated state is reconciled. Linked scenarios: Backup is incomplete, corrupt, unavailable, or outside need; Supplier or shared-service controls are unclear or ineffective.</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risk-based backup coverage is absent, bypassed, incorrect or unavailable, the service or its records may be unavailable, unrecoverable, outside business objectives, internally inconsistent, or resumed before regulated state is reconciled. Linked scenarios: Backup is incomplete, corrupt, unavailable, or outside need; Supplier or shared-service controls are unclear or ineffective.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Define risk-based backup coverage and objectives; verify protected backup, complete restoration, coordinated recovery, monitoring, issue handling, and post-recovery reconciliation. Accountable roles: Fictional IT Solution Owner with Service/Recovery Lead and Data Integrity SME.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backup scope/failure monitoring, representative restore, corruption and access checks, dependency recovery, objective evidence, active-batch/interface reconciliation, and controlled restart. FS/DS/CS/test IDs: not yet assigned. Residual risk: not rated. Status: requirement risk assessed; downstream design, control and test evidence open.</w:t>
      </w:r>
    </w:p>
    <w:p>
      <w:pPr>
        <w:pStyle w:val="Heading3"/>
      </w:pPr>
      <w:r>
        <w:rPr>
          <w:rFonts w:ascii="Calibri" w:hAnsi="Calibri"/>
          <w:b/>
          <w:sz w:val="24"/>
          <w:color w:val="1F4D78"/>
        </w:rPr>
        <w:t>URS-MES-038 | Complete and accurate restoration</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solution shall allow authorised restoration of the approved software, configuration, records, metadata, audit trails, signatures, and interface state to a complete, accurate, and internally consistent recovery point.</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RSK-MES-017, RSK-MES-018.</w:t>
      </w:r>
    </w:p>
    <w:p>
      <w:pPr>
        <w:spacing w:after="60" w:line="240" w:lineRule="auto"/>
      </w:pPr>
      <w:r>
        <w:rPr>
          <w:rFonts w:ascii="Calibri" w:hAnsi="Calibri"/>
          <w:b/>
          <w:sz w:val="18"/>
          <w:color w:val="1F4D78"/>
        </w:rPr>
        <w:t xml:space="preserve">Failure scenario. </w:t>
      </w:r>
      <w:r>
        <w:rPr>
          <w:rFonts w:ascii="Calibri" w:hAnsi="Calibri"/>
          <w:sz w:val="18"/>
          <w:color w:val="000000"/>
        </w:rPr>
        <w:t>If complete and accurate restoration is absent, bypassed, incorrect or unavailable, the service or its records may be unavailable, unrecoverable, outside business objectives, internally inconsistent, or resumed before regulated state is reconciled. Linked scenarios: Backup is incomplete, corrupt, unavailable, or outside need; Recovery fails objectives or creates inconsistent state.</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complete and accurate restoration is absent, bypassed, incorrect or unavailable, the service or its records may be unavailable, unrecoverable, outside business objectives, internally inconsistent, or resumed before regulated state is reconciled. Linked scenarios: Backup is incomplete, corrupt, unavailable, or outside need; Recovery fails objectives or creates inconsistent state.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Define risk-based backup coverage and objectives; verify protected backup, complete restoration, coordinated recovery, monitoring, issue handling, and post-recovery reconciliation. Accountable roles: Fictional IT Solution Owner with Service/Recovery Lead and Data Integrity SME.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backup scope/failure monitoring, representative restore, corruption and access checks, dependency recovery, objective evidence, active-batch/interface reconciliation, and controlled restart. FS/DS/CS/test IDs: not yet assigned. Residual risk: not rated. Status: requirement risk assessed; downstream design, control and test evidence open.</w:t>
      </w:r>
    </w:p>
    <w:p>
      <w:pPr>
        <w:pStyle w:val="Heading3"/>
      </w:pPr>
      <w:r>
        <w:rPr>
          <w:rFonts w:ascii="Calibri" w:hAnsi="Calibri"/>
          <w:b/>
          <w:sz w:val="24"/>
          <w:color w:val="1F4D78"/>
        </w:rPr>
        <w:t>URS-MES-039 | Coordinated service recovery</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solution shall support recovery of its critical components and dependencies within the approved recovery objectives and shall require reconciliation of active batches, interfaces, exceptions, access, and data integrity before regulated execution resumes.</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RSK-MES-016, RSK-MES-018.</w:t>
      </w:r>
    </w:p>
    <w:p>
      <w:pPr>
        <w:spacing w:after="60" w:line="240" w:lineRule="auto"/>
      </w:pPr>
      <w:r>
        <w:rPr>
          <w:rFonts w:ascii="Calibri" w:hAnsi="Calibri"/>
          <w:b/>
          <w:sz w:val="18"/>
          <w:color w:val="1F4D78"/>
        </w:rPr>
        <w:t xml:space="preserve">Failure scenario. </w:t>
      </w:r>
      <w:r>
        <w:rPr>
          <w:rFonts w:ascii="Calibri" w:hAnsi="Calibri"/>
          <w:sz w:val="18"/>
          <w:color w:val="000000"/>
        </w:rPr>
        <w:t>If coordinated service recovery is absent, bypassed, incorrect or unavailable, the service or its records may be unavailable, unrecoverable, outside business objectives, internally inconsistent, or resumed before regulated state is reconciled. Linked scenarios: Application or infrastructure unavailability and capacity exhaustion; Recovery fails objectives or creates inconsistent state.</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coordinated service recovery is absent, bypassed, incorrect or unavailable, the service or its records may be unavailable, unrecoverable, outside business objectives, internally inconsistent, or resumed before regulated state is reconciled. Linked scenarios: Application or infrastructure unavailability and capacity exhaustion; Recovery fails objectives or creates inconsistent state.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Define risk-based backup coverage and objectives; verify protected backup, complete restoration, coordinated recovery, monitoring, issue handling, and post-recovery reconciliation. Accountable roles: Fictional IT Solution Owner with Service/Recovery Lead and Data Integrity SME.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backup scope/failure monitoring, representative restore, corruption and access checks, dependency recovery, objective evidence, active-batch/interface reconciliation, and controlled restart. FS/DS/CS/test IDs: not yet assigned. Residual risk: not rated. Status: requirement risk assessed; downstream design, control and test evidence open.</w:t>
      </w:r>
    </w:p>
    <w:p>
      <w:pPr>
        <w:pStyle w:val="Heading3"/>
      </w:pPr>
      <w:r>
        <w:rPr>
          <w:rFonts w:ascii="Calibri" w:hAnsi="Calibri"/>
          <w:b/>
          <w:sz w:val="24"/>
          <w:color w:val="1F4D78"/>
        </w:rPr>
        <w:t>URS-MES-040 | Backup and recovery verification and monitoring</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backup and recovery processes shall be verified during initial implementation and at the approved operational frequency, with monitored execution, documented results, controlled issue handling, and re-verification after significant change.</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RSK-MES-017, RSK-MES-018, RSK-MES-024.</w:t>
      </w:r>
    </w:p>
    <w:p>
      <w:pPr>
        <w:spacing w:after="60" w:line="240" w:lineRule="auto"/>
      </w:pPr>
      <w:r>
        <w:rPr>
          <w:rFonts w:ascii="Calibri" w:hAnsi="Calibri"/>
          <w:b/>
          <w:sz w:val="18"/>
          <w:color w:val="1F4D78"/>
        </w:rPr>
        <w:t xml:space="preserve">Failure scenario. </w:t>
      </w:r>
      <w:r>
        <w:rPr>
          <w:rFonts w:ascii="Calibri" w:hAnsi="Calibri"/>
          <w:sz w:val="18"/>
          <w:color w:val="000000"/>
        </w:rPr>
        <w:t>If backup and recovery verification and monitoring is absent, bypassed, incorrect or unavailable, the service or its records may be unavailable, unrecoverable, outside business objectives, internally inconsistent, or resumed before regulated state is reconciled. Linked scenarios: Backup is incomplete, corrupt, unavailable, or outside need; Recovery fails objectives or creates inconsistent state; Maintained-state controls, review, or training become ineffective.</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backup and recovery verification and monitoring is absent, bypassed, incorrect or unavailable, the service or its records may be unavailable, unrecoverable, outside business objectives, internally inconsistent, or resumed before regulated state is reconciled. Linked scenarios: Backup is incomplete, corrupt, unavailable, or outside need; Recovery fails objectives or creates inconsistent state; Maintained-state controls, review, or training become ineffective.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Define risk-based backup coverage and objectives; verify protected backup, complete restoration, coordinated recovery, monitoring, issue handling, and post-recovery reconciliation. Accountable roles: Fictional IT Solution Owner with Service/Recovery Lead and Data Integrity SME.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backup scope/failure monitoring, representative restore, corruption and access checks, dependency recovery, objective evidence, active-batch/interface reconciliation, and controlled restart. FS/DS/CS/test IDs: not yet assigned. Residual risk: not rated. Status: requirement risk assessed; downstream design, control and test evidence open.</w:t>
      </w:r>
    </w:p>
    <w:p>
      <w:pPr>
        <w:pStyle w:val="Heading2"/>
      </w:pPr>
      <w:r>
        <w:rPr>
          <w:rFonts w:ascii="Calibri" w:hAnsi="Calibri"/>
          <w:b/>
          <w:sz w:val="26"/>
          <w:color w:val="2E74B5"/>
        </w:rPr>
        <w:t>5.9 Reporting and review views</w:t>
      </w:r>
    </w:p>
    <w:p>
      <w:pPr>
        <w:spacing w:before="80" w:after="160"/>
        <w:ind w:left="120" w:right="120"/>
        <w:shd w:fill="E8EEF5"/>
        <w:pBdr>
          <w:left w:val="single" w:sz="18" w:space="4" w:color="1F4D78"/>
        </w:pBdr>
      </w:pPr>
      <w:r>
        <w:rPr>
          <w:rFonts w:ascii="Calibri" w:hAnsi="Calibri"/>
          <w:b/>
          <w:sz w:val="19"/>
          <w:color w:val="1F4D78"/>
        </w:rPr>
        <w:t xml:space="preserve">Category baseline. </w:t>
      </w:r>
      <w:r>
        <w:rPr>
          <w:rFonts w:ascii="Calibri" w:hAnsi="Calibri"/>
          <w:b w:val="0"/>
          <w:sz w:val="19"/>
          <w:color w:val="000000"/>
        </w:rPr>
        <w:t>4 requirements | 4 Functional | 0 Non-functional | working maximum: High.</w:t>
      </w:r>
    </w:p>
    <w:p>
      <w:pPr>
        <w:pStyle w:val="Heading3"/>
      </w:pPr>
      <w:r>
        <w:rPr>
          <w:rFonts w:ascii="Calibri" w:hAnsi="Calibri"/>
          <w:b/>
          <w:sz w:val="24"/>
          <w:color w:val="1F4D78"/>
        </w:rPr>
        <w:t>URS-MES-041 | Operational execution reporting</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provide authorised users with current operational views and reports of order, batch, step, hold, exception, and completion status using controlled definitions and traceable source data.</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RSK-MES-003, RSK-MES-014, RSK-MES-023.</w:t>
      </w:r>
    </w:p>
    <w:p>
      <w:pPr>
        <w:spacing w:after="60" w:line="240" w:lineRule="auto"/>
      </w:pPr>
      <w:r>
        <w:rPr>
          <w:rFonts w:ascii="Calibri" w:hAnsi="Calibri"/>
          <w:b/>
          <w:sz w:val="18"/>
          <w:color w:val="1F4D78"/>
        </w:rPr>
        <w:t xml:space="preserve">Failure scenario. </w:t>
      </w:r>
      <w:r>
        <w:rPr>
          <w:rFonts w:ascii="Calibri" w:hAnsi="Calibri"/>
          <w:sz w:val="18"/>
          <w:color w:val="000000"/>
        </w:rPr>
        <w:t>If operational execution reporting is absent, bypassed, incorrect or unavailable, operational or quality decisions may rely on incomplete, stale, unauthorised, misinterpreted, altered, or poorly sourced reports and extracts. Linked scenarios: Incomplete batch completion, exception disposition, or review; Historian/reporting publication is incomplete or misleading; Controlled report or extract is misinterpreted or altered.</w:t>
      </w:r>
    </w:p>
    <w:p>
      <w:pPr>
        <w:spacing w:after="60" w:line="240" w:lineRule="auto"/>
      </w:pPr>
      <w:r>
        <w:rPr>
          <w:rFonts w:ascii="Calibri" w:hAnsi="Calibri"/>
          <w:b/>
          <w:sz w:val="18"/>
          <w:color w:val="1F4D78"/>
        </w:rPr>
        <w:t xml:space="preserve">Factor basis. </w:t>
      </w:r>
      <w:r>
        <w:rPr>
          <w:rFonts w:ascii="Calibri" w:hAnsi="Calibri"/>
          <w:sz w:val="18"/>
          <w:color w:val="000000"/>
        </w:rPr>
        <w:t>Type of process: Display; business impact: Wrong information; frequency: Often; affected users: Group / very important; business logic: Medium; implementation: Verify - PAS-X standard/configured/customised split not confirmed; size: Working Average; confirm in FS/DS/CS; interfaces: Interfaced.</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Use controlled report definitions, source authority, filters, provenance, access, immutable issued output, drill-back to underlying evidence, and source-to-report reconciliation. Accountable roles: Fictional Process Owner with Quality Assurance and Data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source-to-report reconciliation, filter and selection boundaries, access, provenance, stale/late data, underlying-record drill-back, export protection, and reviewer interpretation. FS/DS/CS/test IDs: not yet assigned. Residual risk: not rated. Status: requirement risk assessed; downstream design, control and test evidence open.</w:t>
      </w:r>
    </w:p>
    <w:p>
      <w:pPr>
        <w:pStyle w:val="Heading3"/>
      </w:pPr>
      <w:r>
        <w:rPr>
          <w:rFonts w:ascii="Calibri" w:hAnsi="Calibri"/>
          <w:b/>
          <w:sz w:val="24"/>
          <w:color w:val="1F4D78"/>
        </w:rPr>
        <w:t>URS-MES-042 | Quality and review-by-exception reporting</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provide authorised quality/reviewer roles with a batch-focused report or view that identifies required exceptions, unresolved items, changes, signatures, review status, and links to the underlying electronic batch record and audit evidence.</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RSK-MES-003, RSK-MES-008, RSK-MES-023.</w:t>
      </w:r>
    </w:p>
    <w:p>
      <w:pPr>
        <w:spacing w:after="60" w:line="240" w:lineRule="auto"/>
      </w:pPr>
      <w:r>
        <w:rPr>
          <w:rFonts w:ascii="Calibri" w:hAnsi="Calibri"/>
          <w:b/>
          <w:sz w:val="18"/>
          <w:color w:val="1F4D78"/>
        </w:rPr>
        <w:t xml:space="preserve">Failure scenario. </w:t>
      </w:r>
      <w:r>
        <w:rPr>
          <w:rFonts w:ascii="Calibri" w:hAnsi="Calibri"/>
          <w:sz w:val="18"/>
          <w:color w:val="000000"/>
        </w:rPr>
        <w:t>If quality and review-by-exception reporting is absent, bypassed, incorrect or unavailable, operational or quality decisions may rely on incomplete, stale, unauthorised, misinterpreted, altered, or poorly sourced reports and extracts. Linked scenarios: Incomplete batch completion, exception disposition, or review; Incomplete, alterable, or ineffective audit trail; Controlled report or extract is misinterpreted or altered.</w:t>
      </w:r>
    </w:p>
    <w:p>
      <w:pPr>
        <w:spacing w:after="60" w:line="240" w:lineRule="auto"/>
      </w:pPr>
      <w:r>
        <w:rPr>
          <w:rFonts w:ascii="Calibri" w:hAnsi="Calibri"/>
          <w:b/>
          <w:sz w:val="18"/>
          <w:color w:val="1F4D78"/>
        </w:rPr>
        <w:t xml:space="preserve">Factor basis. </w:t>
      </w:r>
      <w:r>
        <w:rPr>
          <w:rFonts w:ascii="Calibri" w:hAnsi="Calibri"/>
          <w:sz w:val="18"/>
          <w:color w:val="000000"/>
        </w:rPr>
        <w:t>Type of process: Display; business impact: CA / Compliance; frequency: Often; affected users: Group / very important; business logic: Medium; implementation: Verify - PAS-X standard/configured/customised split not confirmed; size: Working Average; confirm in FS/DS/CS; interfaces: Interfaced.</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Use controlled report definitions, source authority, filters, provenance, access, immutable issued output, drill-back to underlying evidence, and source-to-report reconciliation. Accountable roles: Fictional Process Owner with Quality Assurance and Data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source-to-report reconciliation, filter and selection boundaries, access, provenance, stale/late data, underlying-record drill-back, export protection, and reviewer interpretation. FS/DS/CS/test IDs: not yet assigned. Residual risk: not rated. Status: requirement risk assessed; downstream design, control and test evidence open.</w:t>
      </w:r>
    </w:p>
    <w:p>
      <w:pPr>
        <w:pStyle w:val="Heading3"/>
      </w:pPr>
      <w:r>
        <w:rPr>
          <w:rFonts w:ascii="Calibri" w:hAnsi="Calibri"/>
          <w:b/>
          <w:sz w:val="24"/>
          <w:color w:val="1F4D78"/>
        </w:rPr>
        <w:t>URS-MES-043 | Interface and exception reconciliation reporting</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shall provide authorised support and business roles with reports or queues that identify failed, delayed, rejected, duplicated, unreconciled, or manually dispositioned interface transactions and execution exceptions.</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RSK-MES-015, RSK-MES-022, RSK-MES-023.</w:t>
      </w:r>
    </w:p>
    <w:p>
      <w:pPr>
        <w:spacing w:after="60" w:line="240" w:lineRule="auto"/>
      </w:pPr>
      <w:r>
        <w:rPr>
          <w:rFonts w:ascii="Calibri" w:hAnsi="Calibri"/>
          <w:b/>
          <w:sz w:val="18"/>
          <w:color w:val="1F4D78"/>
        </w:rPr>
        <w:t xml:space="preserve">Failure scenario. </w:t>
      </w:r>
      <w:r>
        <w:rPr>
          <w:rFonts w:ascii="Calibri" w:hAnsi="Calibri"/>
          <w:sz w:val="18"/>
          <w:color w:val="000000"/>
        </w:rPr>
        <w:t>If interface and exception reconciliation reporting is absent, bypassed, incorrect or unavailable, operational or quality decisions may rely on incomplete, stale, unauthorised, misinterpreted, altered, or poorly sourced reports and extracts. Linked scenarios: Cross-interface integrity, monitoring, or reconciliation failure; Incident or problem handling fails to protect GxP state; Controlled report or extract is misinterpreted or altered.</w:t>
      </w:r>
    </w:p>
    <w:p>
      <w:pPr>
        <w:spacing w:after="60" w:line="240" w:lineRule="auto"/>
      </w:pPr>
      <w:r>
        <w:rPr>
          <w:rFonts w:ascii="Calibri" w:hAnsi="Calibri"/>
          <w:b/>
          <w:sz w:val="18"/>
          <w:color w:val="1F4D78"/>
        </w:rPr>
        <w:t xml:space="preserve">Factor basis. </w:t>
      </w:r>
      <w:r>
        <w:rPr>
          <w:rFonts w:ascii="Calibri" w:hAnsi="Calibri"/>
          <w:sz w:val="18"/>
          <w:color w:val="000000"/>
        </w:rPr>
        <w:t>Type of process: Display; business impact: Wrong information; frequency: Often; affected users: Group / very important; business logic: Medium; implementation: Verify - PAS-X standard/configured/customised split not confirmed; size: Working Average; confirm in FS/DS/CS; interfaces: Interfaced.</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Use controlled report definitions, source authority, filters, provenance, access, immutable issued output, drill-back to underlying evidence, and source-to-report reconciliation. Accountable roles: Fictional Process Owner with Quality Assurance and Data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source-to-report reconciliation, filter and selection boundaries, access, provenance, stale/late data, underlying-record drill-back, export protection, and reviewer interpretation. FS/DS/CS/test IDs: not yet assigned. Residual risk: not rated. Status: requirement risk assessed; downstream design, control and test evidence open.</w:t>
      </w:r>
    </w:p>
    <w:p>
      <w:pPr>
        <w:pStyle w:val="Heading3"/>
      </w:pPr>
      <w:r>
        <w:rPr>
          <w:rFonts w:ascii="Calibri" w:hAnsi="Calibri"/>
          <w:b/>
          <w:sz w:val="24"/>
          <w:color w:val="1F4D78"/>
        </w:rPr>
        <w:t>URS-MES-044 | Controlled report and extract provenance</w:t>
      </w:r>
    </w:p>
    <w:p>
      <w:pPr>
        <w:spacing w:after="60" w:line="240" w:lineRule="auto"/>
      </w:pPr>
      <w:r>
        <w:rPr>
          <w:rFonts w:ascii="Calibri" w:hAnsi="Calibri"/>
          <w:b/>
          <w:sz w:val="18"/>
          <w:color w:val="1F4D78"/>
        </w:rPr>
        <w:t xml:space="preserve">Controlled requirement. </w:t>
      </w:r>
      <w:r>
        <w:rPr>
          <w:rFonts w:ascii="Calibri" w:hAnsi="Calibri"/>
          <w:sz w:val="18"/>
          <w:color w:val="000000"/>
        </w:rPr>
        <w:t>Each GxP-relevant MES report or extract shall identify its source, report definition/version, execution date and time, selection criteria, and executing user, and shall prevent unauthorised alteration of the issued result.</w:t>
      </w:r>
    </w:p>
    <w:p>
      <w:pPr>
        <w:spacing w:after="60" w:line="240" w:lineRule="auto"/>
      </w:pPr>
      <w:r>
        <w:rPr>
          <w:rFonts w:ascii="Calibri" w:hAnsi="Calibri"/>
          <w:b/>
          <w:sz w:val="18"/>
          <w:color w:val="1F4D78"/>
        </w:rPr>
        <w:t xml:space="preserve">Classification and linkage. </w:t>
      </w:r>
      <w:r>
        <w:rPr>
          <w:rFonts w:ascii="Calibri" w:hAnsi="Calibri"/>
          <w:sz w:val="18"/>
          <w:color w:val="000000"/>
        </w:rPr>
        <w:t>Functional | GxP: Yes | Linked risks: RSK-MES-004, RSK-MES-010, RSK-MES-014, RSK-MES-023.</w:t>
      </w:r>
    </w:p>
    <w:p>
      <w:pPr>
        <w:spacing w:after="60" w:line="240" w:lineRule="auto"/>
      </w:pPr>
      <w:r>
        <w:rPr>
          <w:rFonts w:ascii="Calibri" w:hAnsi="Calibri"/>
          <w:b/>
          <w:sz w:val="18"/>
          <w:color w:val="1F4D78"/>
        </w:rPr>
        <w:t xml:space="preserve">Failure scenario. </w:t>
      </w:r>
      <w:r>
        <w:rPr>
          <w:rFonts w:ascii="Calibri" w:hAnsi="Calibri"/>
          <w:sz w:val="18"/>
          <w:color w:val="000000"/>
        </w:rPr>
        <w:t>If controlled report and extract provenance is absent, bypassed, incorrect or unavailable, operational or quality decisions may rely on incomplete, stale, unauthorised, misinterpreted, altered, or poorly sourced reports and extracts. Linked scenarios: Loss, unreadability, or incomplete copy of regulated records; Uncontrolled correction, deletion, or record lifecycle; Historian/reporting publication is incomplete or misleading; Controlled report or extract is misinterpreted or altered.</w:t>
      </w:r>
    </w:p>
    <w:p>
      <w:pPr>
        <w:spacing w:after="60" w:line="240" w:lineRule="auto"/>
      </w:pPr>
      <w:r>
        <w:rPr>
          <w:rFonts w:ascii="Calibri" w:hAnsi="Calibri"/>
          <w:b/>
          <w:sz w:val="18"/>
          <w:color w:val="1F4D78"/>
        </w:rPr>
        <w:t xml:space="preserve">Factor basis. </w:t>
      </w:r>
      <w:r>
        <w:rPr>
          <w:rFonts w:ascii="Calibri" w:hAnsi="Calibri"/>
          <w:sz w:val="18"/>
          <w:color w:val="000000"/>
        </w:rPr>
        <w:t>Type of process: Display; business impact: CA / Compliance; frequency: Often; affected users: Group / very important; business logic: Medium; implementation: Verify - PAS-X standard/configured/customised split not confirmed; size: Working Average; confirm in FS/DS/CS; interfaces: None identified for this requirement.</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functional factors recorded as working selections; numeric totals and category thresholds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Use controlled report definitions, source authority, filters, provenance, access, immutable issued output, drill-back to underlying evidence, and source-to-report reconciliation. Accountable roles: Fictional Process Owner with Quality Assurance and Data Owner.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source-to-report reconciliation, filter and selection boundaries, access, provenance, stale/late data, underlying-record drill-back, export protection, and reviewer interpretation. FS/DS/CS/test IDs: not yet assigned. Residual risk: not rated. Status: requirement risk assessed; downstream design, control and test evidence open.</w:t>
      </w:r>
    </w:p>
    <w:p>
      <w:pPr>
        <w:pStyle w:val="Heading2"/>
      </w:pPr>
      <w:r>
        <w:rPr>
          <w:rFonts w:ascii="Calibri" w:hAnsi="Calibri"/>
          <w:b/>
          <w:sz w:val="26"/>
          <w:color w:val="2E74B5"/>
        </w:rPr>
        <w:t>5.10 Operations, supplier and maintained state</w:t>
      </w:r>
    </w:p>
    <w:p>
      <w:pPr>
        <w:spacing w:before="80" w:after="160"/>
        <w:ind w:left="120" w:right="120"/>
        <w:shd w:fill="E8EEF5"/>
        <w:pBdr>
          <w:left w:val="single" w:sz="18" w:space="4" w:color="1F4D78"/>
        </w:pBdr>
      </w:pPr>
      <w:r>
        <w:rPr>
          <w:rFonts w:ascii="Calibri" w:hAnsi="Calibri"/>
          <w:b/>
          <w:sz w:val="19"/>
          <w:color w:val="1F4D78"/>
        </w:rPr>
        <w:t xml:space="preserve">Category baseline. </w:t>
      </w:r>
      <w:r>
        <w:rPr>
          <w:rFonts w:ascii="Calibri" w:hAnsi="Calibri"/>
          <w:b w:val="0"/>
          <w:sz w:val="19"/>
          <w:color w:val="000000"/>
        </w:rPr>
        <w:t>6 requirements | 0 Functional | 6 Non-functional | working maximum: High.</w:t>
      </w:r>
    </w:p>
    <w:p>
      <w:pPr>
        <w:pStyle w:val="Heading3"/>
      </w:pPr>
      <w:r>
        <w:rPr>
          <w:rFonts w:ascii="Calibri" w:hAnsi="Calibri"/>
          <w:b/>
          <w:sz w:val="24"/>
          <w:color w:val="1F4D78"/>
        </w:rPr>
        <w:t>URS-MES-045 | Operational monitoring and alerting</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solution shall monitor availability, capacity, critical jobs, interfaces, storage, backup, security-relevant events, and service health and shall route actionable alerts with context and timestamp to an accountable support role.</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RSK-MES-006, RSK-MES-015, RSK-MES-016, RSK-MES-017, RSK-MES-019, RSK-MES-022.</w:t>
      </w:r>
    </w:p>
    <w:p>
      <w:pPr>
        <w:spacing w:after="60" w:line="240" w:lineRule="auto"/>
      </w:pPr>
      <w:r>
        <w:rPr>
          <w:rFonts w:ascii="Calibri" w:hAnsi="Calibri"/>
          <w:b/>
          <w:sz w:val="18"/>
          <w:color w:val="1F4D78"/>
        </w:rPr>
        <w:t xml:space="preserve">Failure scenario. </w:t>
      </w:r>
      <w:r>
        <w:rPr>
          <w:rFonts w:ascii="Calibri" w:hAnsi="Calibri"/>
          <w:sz w:val="18"/>
          <w:color w:val="000000"/>
        </w:rPr>
        <w:t>If operational monitoring and alerting is absent, bypassed, incorrect or unavailable, monitoring, incident, change, supplier, periodic-review, or training controls may fail to preserve the validated and secure state. Linked scenarios: Credential, session, or service-account compromise; Cross-interface integrity, monitoring, or reconciliation failure; Application or infrastructure unavailability and capacity exhaustion; Backup is incomplete, corrupt, unavailable, or outside need; Cyber vulnerability, malware, or insecure component; Incident or problem handling fails to protect GxP state.</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operational monitoring and alerting is absent, bypassed, incorrect or unavailable, monitoring, incident, change, supplier, periodic-review, or training controls may fail to preserve the validated and secure state. Linked scenarios: Credential, session, or service-account compromise; Cross-interface integrity, monitoring, or reconciliation failure; Application or infrastructure unavailability and capacity exhaustion; Backup is incomplete, corrupt, unavailable, or outside need; Cyber vulnerability, malware, or insecure component; Incident or problem handling fails to protect GxP state.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Establish accountable monitoring and alerts, gxp-aware incident/problem handling, controlled configuration/change, supplier obligations/evidence, periodic evaluation, and role-based training. Accountable roles: Fictional IT Solution Owner with Service Manager, Validation Lead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monitor/alert routing, incident and workaround evidence, change impact/baseline promotion, supplier notification/evidence, periodic-review inputs, training/qualification and approved-exception handling. FS/DS/CS/test IDs: not yet assigned. Residual risk: not rated. Status: requirement risk assessed; downstream design, control and test evidence open.</w:t>
      </w:r>
    </w:p>
    <w:p>
      <w:pPr>
        <w:pStyle w:val="Heading3"/>
      </w:pPr>
      <w:r>
        <w:rPr>
          <w:rFonts w:ascii="Calibri" w:hAnsi="Calibri"/>
          <w:b/>
          <w:sz w:val="24"/>
          <w:color w:val="1F4D78"/>
        </w:rPr>
        <w:t>URS-MES-046 | Incident and problem control</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support process shall record, prioritise, investigate, communicate, correct, and close incidents and problems with assessment of GxP/data impact, preserved evidence, controlled workaround, restoration, root cause, and linkage to corrective change where applicable.</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RSK-MES-016, RSK-MES-018, RSK-MES-022.</w:t>
      </w:r>
    </w:p>
    <w:p>
      <w:pPr>
        <w:spacing w:after="60" w:line="240" w:lineRule="auto"/>
      </w:pPr>
      <w:r>
        <w:rPr>
          <w:rFonts w:ascii="Calibri" w:hAnsi="Calibri"/>
          <w:b/>
          <w:sz w:val="18"/>
          <w:color w:val="1F4D78"/>
        </w:rPr>
        <w:t xml:space="preserve">Failure scenario. </w:t>
      </w:r>
      <w:r>
        <w:rPr>
          <w:rFonts w:ascii="Calibri" w:hAnsi="Calibri"/>
          <w:sz w:val="18"/>
          <w:color w:val="000000"/>
        </w:rPr>
        <w:t>If incident and problem control is absent, bypassed, incorrect or unavailable, monitoring, incident, change, supplier, periodic-review, or training controls may fail to preserve the validated and secure state. Linked scenarios: Application or infrastructure unavailability and capacity exhaustion; Recovery fails objectives or creates inconsistent state; Incident or problem handling fails to protect GxP state.</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incident and problem control is absent, bypassed, incorrect or unavailable, monitoring, incident, change, supplier, periodic-review, or training controls may fail to preserve the validated and secure state. Linked scenarios: Application or infrastructure unavailability and capacity exhaustion; Recovery fails objectives or creates inconsistent state; Incident or problem handling fails to protect GxP state.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Establish accountable monitoring and alerts, gxp-aware incident/problem handling, controlled configuration/change, supplier obligations/evidence, periodic evaluation, and role-based training. Accountable roles: Fictional IT Solution Owner with Service Manager, Validation Lead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monitor/alert routing, incident and workaround evidence, change impact/baseline promotion, supplier notification/evidence, periodic-review inputs, training/qualification and approved-exception handling. FS/DS/CS/test IDs: not yet assigned. Residual risk: not rated. Status: requirement risk assessed; downstream design, control and test evidence open.</w:t>
      </w:r>
    </w:p>
    <w:p>
      <w:pPr>
        <w:pStyle w:val="Heading3"/>
      </w:pPr>
      <w:r>
        <w:rPr>
          <w:rFonts w:ascii="Calibri" w:hAnsi="Calibri"/>
          <w:b/>
          <w:sz w:val="24"/>
          <w:color w:val="1F4D78"/>
        </w:rPr>
        <w:t>URS-MES-047 | Controlled change and configuration baseline</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lifecycle shall maintain approved configuration baselines and require documented impact and risk assessment, authorisation, controlled implementation, verification, release, and traceability update for changes affecting intended use, records, controls, interfaces, or operation.</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RSK-MES-001, RSK-MES-010, RSK-MES-019, RSK-MES-021, RSK-MES-022, RSK-MES-026.</w:t>
      </w:r>
    </w:p>
    <w:p>
      <w:pPr>
        <w:spacing w:after="60" w:line="240" w:lineRule="auto"/>
      </w:pPr>
      <w:r>
        <w:rPr>
          <w:rFonts w:ascii="Calibri" w:hAnsi="Calibri"/>
          <w:b/>
          <w:sz w:val="18"/>
          <w:color w:val="1F4D78"/>
        </w:rPr>
        <w:t xml:space="preserve">Failure scenario. </w:t>
      </w:r>
      <w:r>
        <w:rPr>
          <w:rFonts w:ascii="Calibri" w:hAnsi="Calibri"/>
          <w:sz w:val="18"/>
          <w:color w:val="000000"/>
        </w:rPr>
        <w:t>If controlled change and configuration baseline is absent, bypassed, incorrect or unavailable, monitoring, incident, change, supplier, periodic-review, or training controls may fail to preserve the validated and secure state. Linked scenarios: Unapproved order, recipe, or execution state; Uncontrolled correction, deletion, or record lifecycle; Cyber vulnerability, malware, or insecure component; Uncontrolled change, configuration, or promotion; Incident or problem handling fails to protect GxP state; Initial load or migration loses content and meaning.</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controlled change and configuration baseline is absent, bypassed, incorrect or unavailable, monitoring, incident, change, supplier, periodic-review, or training controls may fail to preserve the validated and secure state. Linked scenarios: Unapproved order, recipe, or execution state; Uncontrolled correction, deletion, or record lifecycle; Cyber vulnerability, malware, or insecure component; Uncontrolled change, configuration, or promotion; Incident or problem handling fails to protect GxP state; Initial load or migration loses content and meaning.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Establish accountable monitoring and alerts, gxp-aware incident/problem handling, controlled configuration/change, supplier obligations/evidence, periodic evaluation, and role-based training. Accountable roles: Fictional IT Solution Owner with Service Manager, Validation Lead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monitor/alert routing, incident and workaround evidence, change impact/baseline promotion, supplier notification/evidence, periodic-review inputs, training/qualification and approved-exception handling. FS/DS/CS/test IDs: not yet assigned. Residual risk: not rated. Status: requirement risk assessed; downstream design, control and test evidence open.</w:t>
      </w:r>
    </w:p>
    <w:p>
      <w:pPr>
        <w:pStyle w:val="Heading3"/>
      </w:pPr>
      <w:r>
        <w:rPr>
          <w:rFonts w:ascii="Calibri" w:hAnsi="Calibri"/>
          <w:b/>
          <w:sz w:val="24"/>
          <w:color w:val="1F4D78"/>
        </w:rPr>
        <w:t>URS-MES-048 | Supplier and service-provider assurance</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service arrangement shall define and maintain supplier and shared-service responsibilities, evidence access, support levels, security and quality obligations, and timely notification of relevant releases, changes, incidents, vulnerabilities, and lifecycle or support-status events.</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RSK-MES-019, RSK-MES-020, RSK-MES-024, RSK-MES-025.</w:t>
      </w:r>
    </w:p>
    <w:p>
      <w:pPr>
        <w:spacing w:after="60" w:line="240" w:lineRule="auto"/>
      </w:pPr>
      <w:r>
        <w:rPr>
          <w:rFonts w:ascii="Calibri" w:hAnsi="Calibri"/>
          <w:b/>
          <w:sz w:val="18"/>
          <w:color w:val="1F4D78"/>
        </w:rPr>
        <w:t xml:space="preserve">Failure scenario. </w:t>
      </w:r>
      <w:r>
        <w:rPr>
          <w:rFonts w:ascii="Calibri" w:hAnsi="Calibri"/>
          <w:sz w:val="18"/>
          <w:color w:val="000000"/>
        </w:rPr>
        <w:t>If supplier and service-provider assurance is absent, bypassed, incorrect or unavailable, monitoring, incident, change, supplier, periodic-review, or training controls may fail to preserve the validated and secure state. Linked scenarios: Cyber vulnerability, malware, or insecure component; Supplier or shared-service controls are unclear or ineffective; Maintained-state controls, review, or training become ineffective; Personal data processing is excessive or insufficiently protected.</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supplier and service-provider assurance is absent, bypassed, incorrect or unavailable, monitoring, incident, change, supplier, periodic-review, or training controls may fail to preserve the validated and secure state. Linked scenarios: Cyber vulnerability, malware, or insecure component; Supplier or shared-service controls are unclear or ineffective; Maintained-state controls, review, or training become ineffective; Personal data processing is excessive or insufficiently protected.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Establish accountable monitoring and alerts, gxp-aware incident/problem handling, controlled configuration/change, supplier obligations/evidence, periodic evaluation, and role-based training. Accountable roles: Fictional IT Solution Owner with Service Manager, Validation Lead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monitor/alert routing, incident and workaround evidence, change impact/baseline promotion, supplier notification/evidence, periodic-review inputs, training/qualification and approved-exception handling. FS/DS/CS/test IDs: not yet assigned. Residual risk: not rated. Status: requirement risk assessed; downstream design, control and test evidence open.</w:t>
      </w:r>
    </w:p>
    <w:p>
      <w:pPr>
        <w:pStyle w:val="Heading3"/>
      </w:pPr>
      <w:r>
        <w:rPr>
          <w:rFonts w:ascii="Calibri" w:hAnsi="Calibri"/>
          <w:b/>
          <w:sz w:val="24"/>
          <w:color w:val="1F4D78"/>
        </w:rPr>
        <w:t>URS-MES-049 | Periodic evaluation of continued fitness</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lifecycle shall support periodic evaluation of continued fitness for intended use, including requirements, risks, changes, incidents, access, audit-trail controls, backup/recovery, supplier performance, security, capacity, obsolescence, training, and open actions.</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RSK-MES-019, RSK-MES-020, RSK-MES-021, RSK-MES-022, RSK-MES-024, RSK-MES-025.</w:t>
      </w:r>
    </w:p>
    <w:p>
      <w:pPr>
        <w:spacing w:after="60" w:line="240" w:lineRule="auto"/>
      </w:pPr>
      <w:r>
        <w:rPr>
          <w:rFonts w:ascii="Calibri" w:hAnsi="Calibri"/>
          <w:b/>
          <w:sz w:val="18"/>
          <w:color w:val="1F4D78"/>
        </w:rPr>
        <w:t xml:space="preserve">Failure scenario. </w:t>
      </w:r>
      <w:r>
        <w:rPr>
          <w:rFonts w:ascii="Calibri" w:hAnsi="Calibri"/>
          <w:sz w:val="18"/>
          <w:color w:val="000000"/>
        </w:rPr>
        <w:t>If periodic evaluation of continued fitness is absent, bypassed, incorrect or unavailable, monitoring, incident, change, supplier, periodic-review, or training controls may fail to preserve the validated and secure state. Linked scenarios: Cyber vulnerability, malware, or insecure component; Supplier or shared-service controls are unclear or ineffective; Uncontrolled change, configuration, or promotion; Incident or problem handling fails to protect GxP state; Maintained-state controls, review, or training become ineffective; Personal data processing is excessive or insufficiently protected.</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periodic evaluation of continued fitness is absent, bypassed, incorrect or unavailable, monitoring, incident, change, supplier, periodic-review, or training controls may fail to preserve the validated and secure state. Linked scenarios: Cyber vulnerability, malware, or insecure component; Supplier or shared-service controls are unclear or ineffective; Uncontrolled change, configuration, or promotion; Incident or problem handling fails to protect GxP state; Maintained-state controls, review, or training become ineffective; Personal data processing is excessive or insufficiently protected.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Establish accountable monitoring and alerts, gxp-aware incident/problem handling, controlled configuration/change, supplier obligations/evidence, periodic evaluation, and role-based training. Accountable roles: Fictional IT Solution Owner with Service Manager, Validation Lead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monitor/alert routing, incident and workaround evidence, change impact/baseline promotion, supplier notification/evidence, periodic-review inputs, training/qualification and approved-exception handling. FS/DS/CS/test IDs: not yet assigned. Residual risk: not rated. Status: requirement risk assessed; downstream design, control and test evidence open.</w:t>
      </w:r>
    </w:p>
    <w:p>
      <w:pPr>
        <w:pStyle w:val="Heading3"/>
      </w:pPr>
      <w:r>
        <w:rPr>
          <w:rFonts w:ascii="Calibri" w:hAnsi="Calibri"/>
          <w:b/>
          <w:sz w:val="24"/>
          <w:color w:val="1F4D78"/>
        </w:rPr>
        <w:t>URS-MES-050 | Role-based training and controlled guidance</w:t>
      </w:r>
    </w:p>
    <w:p>
      <w:pPr>
        <w:spacing w:after="60" w:line="240" w:lineRule="auto"/>
      </w:pPr>
      <w:r>
        <w:rPr>
          <w:rFonts w:ascii="Calibri" w:hAnsi="Calibri"/>
          <w:b/>
          <w:sz w:val="18"/>
          <w:color w:val="1F4D78"/>
        </w:rPr>
        <w:t xml:space="preserve">Controlled requirement. </w:t>
      </w:r>
      <w:r>
        <w:rPr>
          <w:rFonts w:ascii="Calibri" w:hAnsi="Calibri"/>
          <w:sz w:val="18"/>
          <w:color w:val="000000"/>
        </w:rPr>
        <w:t>The MES operating model shall provide controlled role-based user and administrator guidance and shall permit regulated use only by personnel whose required training or qualification status is complete or managed through an approved exception.</w:t>
      </w:r>
    </w:p>
    <w:p>
      <w:pPr>
        <w:spacing w:after="60" w:line="240" w:lineRule="auto"/>
      </w:pPr>
      <w:r>
        <w:rPr>
          <w:rFonts w:ascii="Calibri" w:hAnsi="Calibri"/>
          <w:b/>
          <w:sz w:val="18"/>
          <w:color w:val="1F4D78"/>
        </w:rPr>
        <w:t xml:space="preserve">Classification and linkage. </w:t>
      </w:r>
      <w:r>
        <w:rPr>
          <w:rFonts w:ascii="Calibri" w:hAnsi="Calibri"/>
          <w:sz w:val="18"/>
          <w:color w:val="000000"/>
        </w:rPr>
        <w:t>Non-functional | GxP: Yes | Linked risks: RSK-MES-005, RSK-MES-024.</w:t>
      </w:r>
    </w:p>
    <w:p>
      <w:pPr>
        <w:spacing w:after="60" w:line="240" w:lineRule="auto"/>
      </w:pPr>
      <w:r>
        <w:rPr>
          <w:rFonts w:ascii="Calibri" w:hAnsi="Calibri"/>
          <w:b/>
          <w:sz w:val="18"/>
          <w:color w:val="1F4D78"/>
        </w:rPr>
        <w:t xml:space="preserve">Failure scenario. </w:t>
      </w:r>
      <w:r>
        <w:rPr>
          <w:rFonts w:ascii="Calibri" w:hAnsi="Calibri"/>
          <w:sz w:val="18"/>
          <w:color w:val="000000"/>
        </w:rPr>
        <w:t>If role-based training and controlled guidance is absent, bypassed, incorrect or unavailable, monitoring, incident, change, supplier, periodic-review, or training controls may fail to preserve the validated and secure state. Linked scenarios: Unauthorised or excessive access; Maintained-state controls, review, or training become ineffective.</w:t>
      </w:r>
    </w:p>
    <w:p>
      <w:pPr>
        <w:spacing w:after="60" w:line="240" w:lineRule="auto"/>
      </w:pPr>
      <w:r>
        <w:rPr>
          <w:rFonts w:ascii="Calibri" w:hAnsi="Calibri"/>
          <w:b/>
          <w:sz w:val="18"/>
          <w:color w:val="1F4D78"/>
        </w:rPr>
        <w:t xml:space="preserve">Factor basis. </w:t>
      </w:r>
      <w:r>
        <w:rPr>
          <w:rFonts w:ascii="Calibri" w:hAnsi="Calibri"/>
          <w:sz w:val="18"/>
          <w:color w:val="000000"/>
        </w:rPr>
        <w:t>Identified risk: If role-based training and controlled guidance is absent, bypassed, incorrect or unavailable, monitoring, incident, change, supplier, periodic-review, or training controls may fail to preserve the validated and secure state. Linked scenarios: Unauthorised or excessive access; Maintained-state controls, review, or training become ineffective. Impact level: Working High (A); likelihood level: Working Possible (II); composite risk: not calculated because the controlled workbook formula/threshold implementation is Verify.</w:t>
      </w:r>
    </w:p>
    <w:p>
      <w:pPr>
        <w:spacing w:after="60" w:line="240" w:lineRule="auto"/>
      </w:pPr>
      <w:r>
        <w:rPr>
          <w:rFonts w:ascii="Calibri" w:hAnsi="Calibri"/>
          <w:b/>
          <w:sz w:val="18"/>
          <w:color w:val="1F4D78"/>
        </w:rPr>
        <w:t xml:space="preserve">Working assessment. </w:t>
      </w:r>
      <w:r>
        <w:rPr>
          <w:rFonts w:ascii="Calibri" w:hAnsi="Calibri"/>
          <w:sz w:val="18"/>
          <w:color w:val="000000"/>
        </w:rPr>
        <w:t>Impact: Working High (A) | Likelihood: Working Possible (II) | Requirement risk: Working High (qualitative placeholder). At least one linked system risk is Working High and the supporting design/configuration evidence is not yet available. Q0360643 non-functional impact/likelihood labels recorded as working selections; composite calculation not asserted.</w:t>
      </w:r>
    </w:p>
    <w:p>
      <w:pPr>
        <w:spacing w:after="60" w:line="240" w:lineRule="auto"/>
      </w:pPr>
      <w:r>
        <w:rPr>
          <w:rFonts w:ascii="Calibri" w:hAnsi="Calibri"/>
          <w:b/>
          <w:sz w:val="18"/>
          <w:color w:val="1F4D78"/>
        </w:rPr>
        <w:t xml:space="preserve">Control objective and owner. </w:t>
      </w:r>
      <w:r>
        <w:rPr>
          <w:rFonts w:ascii="Calibri" w:hAnsi="Calibri"/>
          <w:sz w:val="18"/>
          <w:color w:val="000000"/>
        </w:rPr>
        <w:t>Establish accountable monitoring and alerts, gxp-aware incident/problem handling, controlled configuration/change, supplier obligations/evidence, periodic evaluation, and role-based training. Accountable roles: Fictional IT Solution Owner with Service Manager, Validation Lead and Quality Assurance. Control implementation evidence is not yet assigned.</w:t>
      </w:r>
    </w:p>
    <w:p>
      <w:pPr>
        <w:spacing w:after="60" w:line="240" w:lineRule="auto"/>
      </w:pPr>
      <w:r>
        <w:rPr>
          <w:rFonts w:ascii="Calibri" w:hAnsi="Calibri"/>
          <w:b/>
          <w:sz w:val="18"/>
          <w:color w:val="1F4D78"/>
        </w:rPr>
        <w:t xml:space="preserve">Verification and trace state. </w:t>
      </w:r>
      <w:r>
        <w:rPr>
          <w:rFonts w:ascii="Calibri" w:hAnsi="Calibri"/>
          <w:sz w:val="18"/>
          <w:color w:val="000000"/>
        </w:rPr>
        <w:t>Capability, positive, negative/boundary, challenge/resistance and end-to-end testing in multiple relevant scenarios; include reconciliation and independent review. Focus: monitor/alert routing, incident and workaround evidence, change impact/baseline promotion, supplier notification/evidence, periodic-review inputs, training/qualification and approved-exception handling. FS/DS/CS/test IDs: not yet assigned. Residual risk: not rated. Status: requirement risk assessed; downstream design, control and test evidence open.</w:t>
      </w:r>
    </w:p>
    <w:p>
      <w:pPr>
        <w:pStyle w:val="Heading1"/>
      </w:pPr>
      <w:r>
        <w:rPr>
          <w:rFonts w:ascii="Calibri" w:hAnsi="Calibri"/>
          <w:b/>
          <w:sz w:val="32"/>
          <w:color w:val="2E74B5"/>
        </w:rPr>
        <w:t>6 Assessment summaries</w:t>
      </w:r>
    </w:p>
    <w:p>
      <w:pPr>
        <w:pStyle w:val="Heading2"/>
      </w:pPr>
      <w:r>
        <w:rPr>
          <w:rFonts w:ascii="Calibri" w:hAnsi="Calibri"/>
          <w:b/>
          <w:sz w:val="26"/>
          <w:color w:val="2E74B5"/>
        </w:rPr>
        <w:t>6.1 Portfolio summary</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2700"/>
        <w:gridCol w:w="1100"/>
        <w:gridCol w:w="5560"/>
      </w:tblGrid>
      <w:tr>
        <w:trPr>
          <w:cantSplit/>
          <w:tblHeader w:val="true"/>
        </w:trPr>
        <w:tc>
          <w:tcPr>
            <w:tcW w:type="dxa" w:w="27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Measure</w:t>
            </w:r>
          </w:p>
        </w:tc>
        <w:tc>
          <w:tcPr>
            <w:tcW w:type="dxa" w:w="110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Result</w:t>
            </w:r>
          </w:p>
        </w:tc>
        <w:tc>
          <w:tcPr>
            <w:tcW w:type="dxa" w:w="556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Interpretation</w:t>
            </w:r>
          </w:p>
        </w:tc>
      </w:tr>
      <w:tr>
        <w:trPr>
          <w:cantSplit/>
        </w:trPr>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Total controlled requirements</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50</w:t>
            </w:r>
          </w:p>
        </w:tc>
        <w:tc>
          <w:tcPr>
            <w:tcW w:type="dxa" w:w="55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Exactly URS-MES-001 to 050</w:t>
            </w:r>
          </w:p>
        </w:tc>
      </w:tr>
      <w:tr>
        <w:trPr>
          <w:cantSplit/>
        </w:trPr>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Functional requirements</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25</w:t>
            </w:r>
          </w:p>
        </w:tc>
        <w:tc>
          <w:tcPr>
            <w:tcW w:type="dxa" w:w="5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Manufacturing, signatures, interfaces and reporting</w:t>
            </w:r>
          </w:p>
        </w:tc>
      </w:tr>
      <w:tr>
        <w:trPr>
          <w:cantSplit/>
        </w:trPr>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Non-functional requirements</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25</w:t>
            </w:r>
          </w:p>
        </w:tc>
        <w:tc>
          <w:tcPr>
            <w:tcW w:type="dxa" w:w="55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Records, access, audit, data, continuity and maintained state</w:t>
            </w:r>
          </w:p>
        </w:tc>
      </w:tr>
      <w:tr>
        <w:trPr>
          <w:cantSplit/>
        </w:trPr>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Working High</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49</w:t>
            </w:r>
          </w:p>
        </w:tc>
        <w:tc>
          <w:tcPr>
            <w:tcW w:type="dxa" w:w="5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Maximum linked ITRA working level; extensive provisional rigor</w:t>
            </w:r>
          </w:p>
        </w:tc>
      </w:tr>
      <w:tr>
        <w:trPr>
          <w:cantSplit/>
        </w:trPr>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Working Medium</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1</w:t>
            </w:r>
          </w:p>
        </w:tc>
        <w:tc>
          <w:tcPr>
            <w:tcW w:type="dxa" w:w="55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URS-MES-025; controlled verification still required</w:t>
            </w:r>
          </w:p>
        </w:tc>
      </w:tr>
      <w:tr>
        <w:trPr>
          <w:cantSplit/>
        </w:trPr>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Working Low</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0</w:t>
            </w:r>
          </w:p>
        </w:tc>
        <w:tc>
          <w:tcPr>
            <w:tcW w:type="dxa" w:w="5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No requirement omitted or reduced to minimal evidence</w:t>
            </w:r>
          </w:p>
        </w:tc>
      </w:tr>
      <w:tr>
        <w:trPr>
          <w:cantSplit/>
        </w:trPr>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Linked system risks</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26</w:t>
            </w:r>
          </w:p>
        </w:tc>
        <w:tc>
          <w:tcPr>
            <w:tcW w:type="dxa" w:w="55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RSK-MES-001 to 026; no duplicates</w:t>
            </w:r>
          </w:p>
        </w:tc>
      </w:tr>
      <w:tr>
        <w:trPr>
          <w:cantSplit/>
        </w:trPr>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Residual risks rated</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0</w:t>
            </w:r>
          </w:p>
        </w:tc>
        <w:tc>
          <w:tcPr>
            <w:tcW w:type="dxa" w:w="5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Controls and effectiveness evidence not available</w:t>
            </w:r>
          </w:p>
        </w:tc>
      </w:tr>
      <w:tr>
        <w:trPr>
          <w:cantSplit/>
        </w:trPr>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Residual risks accepted</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0</w:t>
            </w:r>
          </w:p>
        </w:tc>
        <w:tc>
          <w:tcPr>
            <w:tcW w:type="dxa" w:w="55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Acceptance remains pending</w:t>
            </w:r>
          </w:p>
        </w:tc>
      </w:tr>
      <w:tr>
        <w:trPr>
          <w:cantSplit/>
        </w:trPr>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Requirements with verification route</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50</w:t>
            </w:r>
          </w:p>
        </w:tc>
        <w:tc>
          <w:tcPr>
            <w:tcW w:type="dxa" w:w="55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100% working coverage</w:t>
            </w:r>
          </w:p>
        </w:tc>
      </w:tr>
    </w:tbl>
    <w:p>
      <w:pPr>
        <w:spacing w:after="40"/>
      </w:pPr>
    </w:p>
    <w:p>
      <w:pPr>
        <w:pStyle w:val="Heading2"/>
      </w:pPr>
      <w:r>
        <w:rPr>
          <w:rFonts w:ascii="Calibri" w:hAnsi="Calibri"/>
          <w:b/>
          <w:sz w:val="26"/>
          <w:color w:val="2E74B5"/>
        </w:rPr>
        <w:t>6.2 Functional impact-factor summary</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900"/>
        <w:gridCol w:w="1700"/>
        <w:gridCol w:w="1700"/>
        <w:gridCol w:w="1200"/>
        <w:gridCol w:w="2200"/>
        <w:gridCol w:w="1660"/>
      </w:tblGrid>
      <w:tr>
        <w:trPr>
          <w:cantSplit/>
          <w:tblHeader w:val="true"/>
        </w:trPr>
        <w:tc>
          <w:tcPr>
            <w:tcW w:type="dxa" w:w="900"/>
            <w:tcMar>
              <w:top w:w="70" w:type="dxa"/>
              <w:start w:w="120" w:type="dxa"/>
              <w:bottom w:w="70" w:type="dxa"/>
              <w:end w:w="120" w:type="dxa"/>
            </w:tcMar>
            <w:shd w:fill="0B2545"/>
            <w:vAlign w:val="center"/>
          </w:tcPr>
          <w:p>
            <w:pPr>
              <w:spacing w:before="0" w:after="0" w:line="240" w:lineRule="auto"/>
              <w:jc w:val="center"/>
            </w:pPr>
            <w:r/>
            <w:r>
              <w:rPr>
                <w:rFonts w:ascii="Calibri" w:hAnsi="Calibri"/>
                <w:b/>
                <w:sz w:val="14"/>
                <w:color w:val="FFFFFF"/>
              </w:rPr>
              <w:t>Req.</w:t>
            </w:r>
          </w:p>
        </w:tc>
        <w:tc>
          <w:tcPr>
            <w:tcW w:type="dxa" w:w="1700"/>
            <w:tcMar>
              <w:top w:w="70" w:type="dxa"/>
              <w:start w:w="120" w:type="dxa"/>
              <w:bottom w:w="70" w:type="dxa"/>
              <w:end w:w="120" w:type="dxa"/>
            </w:tcMar>
            <w:shd w:fill="0B2545"/>
            <w:vAlign w:val="center"/>
          </w:tcPr>
          <w:p>
            <w:pPr>
              <w:spacing w:before="0" w:after="0" w:line="240" w:lineRule="auto"/>
              <w:jc w:val="left"/>
            </w:pPr>
            <w:r/>
            <w:r>
              <w:rPr>
                <w:rFonts w:ascii="Calibri" w:hAnsi="Calibri"/>
                <w:b/>
                <w:sz w:val="14"/>
                <w:color w:val="FFFFFF"/>
              </w:rPr>
              <w:t>Type of process</w:t>
            </w:r>
          </w:p>
        </w:tc>
        <w:tc>
          <w:tcPr>
            <w:tcW w:type="dxa" w:w="1700"/>
            <w:tcMar>
              <w:top w:w="70" w:type="dxa"/>
              <w:start w:w="120" w:type="dxa"/>
              <w:bottom w:w="70" w:type="dxa"/>
              <w:end w:w="120" w:type="dxa"/>
            </w:tcMar>
            <w:shd w:fill="0B2545"/>
            <w:vAlign w:val="center"/>
          </w:tcPr>
          <w:p>
            <w:pPr>
              <w:spacing w:before="0" w:after="0" w:line="240" w:lineRule="auto"/>
              <w:jc w:val="left"/>
            </w:pPr>
            <w:r/>
            <w:r>
              <w:rPr>
                <w:rFonts w:ascii="Calibri" w:hAnsi="Calibri"/>
                <w:b/>
                <w:sz w:val="14"/>
                <w:color w:val="FFFFFF"/>
              </w:rPr>
              <w:t>Business impact</w:t>
            </w:r>
          </w:p>
        </w:tc>
        <w:tc>
          <w:tcPr>
            <w:tcW w:type="dxa" w:w="1200"/>
            <w:tcMar>
              <w:top w:w="70" w:type="dxa"/>
              <w:start w:w="120" w:type="dxa"/>
              <w:bottom w:w="70" w:type="dxa"/>
              <w:end w:w="120" w:type="dxa"/>
            </w:tcMar>
            <w:shd w:fill="0B2545"/>
            <w:vAlign w:val="center"/>
          </w:tcPr>
          <w:p>
            <w:pPr>
              <w:spacing w:before="0" w:after="0" w:line="240" w:lineRule="auto"/>
              <w:jc w:val="left"/>
            </w:pPr>
            <w:r/>
            <w:r>
              <w:rPr>
                <w:rFonts w:ascii="Calibri" w:hAnsi="Calibri"/>
                <w:b/>
                <w:sz w:val="14"/>
                <w:color w:val="FFFFFF"/>
              </w:rPr>
              <w:t>Frequency</w:t>
            </w:r>
          </w:p>
        </w:tc>
        <w:tc>
          <w:tcPr>
            <w:tcW w:type="dxa" w:w="2200"/>
            <w:tcMar>
              <w:top w:w="70" w:type="dxa"/>
              <w:start w:w="120" w:type="dxa"/>
              <w:bottom w:w="70" w:type="dxa"/>
              <w:end w:w="120" w:type="dxa"/>
            </w:tcMar>
            <w:shd w:fill="0B2545"/>
            <w:vAlign w:val="center"/>
          </w:tcPr>
          <w:p>
            <w:pPr>
              <w:spacing w:before="0" w:after="0" w:line="240" w:lineRule="auto"/>
              <w:jc w:val="left"/>
            </w:pPr>
            <w:r/>
            <w:r>
              <w:rPr>
                <w:rFonts w:ascii="Calibri" w:hAnsi="Calibri"/>
                <w:b/>
                <w:sz w:val="14"/>
                <w:color w:val="FFFFFF"/>
              </w:rPr>
              <w:t>Affected users</w:t>
            </w:r>
          </w:p>
        </w:tc>
        <w:tc>
          <w:tcPr>
            <w:tcW w:type="dxa" w:w="1660"/>
            <w:tcMar>
              <w:top w:w="70" w:type="dxa"/>
              <w:start w:w="120" w:type="dxa"/>
              <w:bottom w:w="70" w:type="dxa"/>
              <w:end w:w="120" w:type="dxa"/>
            </w:tcMar>
            <w:shd w:fill="0B2545"/>
            <w:vAlign w:val="center"/>
          </w:tcPr>
          <w:p>
            <w:pPr>
              <w:spacing w:before="0" w:after="0" w:line="240" w:lineRule="auto"/>
              <w:jc w:val="center"/>
            </w:pPr>
            <w:r/>
            <w:r>
              <w:rPr>
                <w:rFonts w:ascii="Calibri" w:hAnsi="Calibri"/>
                <w:b/>
                <w:sz w:val="14"/>
                <w:color w:val="FFFFFF"/>
              </w:rPr>
              <w:t>Working impact</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URS-MES-001</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Change of data</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URS-MES-002</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Change of data</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URS-MES-003</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Calculation / Validation</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URS-MES-004</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Calculation / Validation</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URS-MES-005</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Change of data</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URS-MES-006</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Calculation / Validation</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URS-MES-007</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Change of data</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URS-MES-008</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Calculation / Validation</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URS-MES-009</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Display</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Often</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Group / very important</w:t>
            </w:r>
          </w:p>
        </w:tc>
        <w:tc>
          <w:tcPr>
            <w:tcW w:type="dxa" w:w="16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URS-MES-017</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Calculation / Validation</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Often</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Group / very important</w:t>
            </w:r>
          </w:p>
        </w:tc>
        <w:tc>
          <w:tcPr>
            <w:tcW w:type="dxa" w:w="16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URS-MES-018</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Change of data</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Often</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Group / very important</w:t>
            </w:r>
          </w:p>
        </w:tc>
        <w:tc>
          <w:tcPr>
            <w:tcW w:type="dxa" w:w="16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URS-MES-019</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Calculation / Validation</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Often</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Group / very important</w:t>
            </w:r>
          </w:p>
        </w:tc>
        <w:tc>
          <w:tcPr>
            <w:tcW w:type="dxa" w:w="16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URS-MES-028</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Calculation / Validation</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URS-MES-029</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Change of data</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Wrong information</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URS-MES-030</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Change of data</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Wrong information</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URS-MES-031</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Calculation / Validation</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URS-MES-032</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Calculation / Validation</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URS-MES-033</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Calculation / Validation</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URS-MES-034</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Change of data</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Wrong information</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URS-MES-035</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Change of data</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Wrong information</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URS-MES-036</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Calculation / Validation</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Very often</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Large number / very important</w:t>
            </w:r>
          </w:p>
        </w:tc>
        <w:tc>
          <w:tcPr>
            <w:tcW w:type="dxa" w:w="16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URS-MES-041</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Display</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Wrong information</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Often</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Group / very important</w:t>
            </w:r>
          </w:p>
        </w:tc>
        <w:tc>
          <w:tcPr>
            <w:tcW w:type="dxa" w:w="16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URS-MES-042</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Display</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Often</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Group / very important</w:t>
            </w:r>
          </w:p>
        </w:tc>
        <w:tc>
          <w:tcPr>
            <w:tcW w:type="dxa" w:w="16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URS-MES-043</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Display</w:t>
            </w:r>
          </w:p>
        </w:tc>
        <w:tc>
          <w:tcPr>
            <w:tcW w:type="dxa" w:w="1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Wrong information</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Often</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Group / very important</w:t>
            </w:r>
          </w:p>
        </w:tc>
        <w:tc>
          <w:tcPr>
            <w:tcW w:type="dxa" w:w="16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URS-MES-044</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Display</w:t>
            </w:r>
          </w:p>
        </w:tc>
        <w:tc>
          <w:tcPr>
            <w:tcW w:type="dxa" w:w="1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CA / Compliance</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Often</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Group / very important</w:t>
            </w:r>
          </w:p>
        </w:tc>
        <w:tc>
          <w:tcPr>
            <w:tcW w:type="dxa" w:w="16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r>
    </w:tbl>
    <w:p>
      <w:pPr>
        <w:spacing w:after="40"/>
      </w:pPr>
    </w:p>
    <w:p>
      <w:pPr>
        <w:pStyle w:val="Heading2"/>
      </w:pPr>
      <w:r>
        <w:rPr>
          <w:rFonts w:ascii="Calibri" w:hAnsi="Calibri"/>
          <w:b/>
          <w:sz w:val="26"/>
          <w:color w:val="2E74B5"/>
        </w:rPr>
        <w:t>6.3 Functional likelihood-factor summary</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900"/>
        <w:gridCol w:w="1200"/>
        <w:gridCol w:w="2700"/>
        <w:gridCol w:w="1500"/>
        <w:gridCol w:w="1600"/>
        <w:gridCol w:w="1460"/>
      </w:tblGrid>
      <w:tr>
        <w:trPr>
          <w:cantSplit/>
          <w:tblHeader w:val="true"/>
        </w:trPr>
        <w:tc>
          <w:tcPr>
            <w:tcW w:type="dxa" w:w="900"/>
            <w:tcMar>
              <w:top w:w="70" w:type="dxa"/>
              <w:start w:w="120" w:type="dxa"/>
              <w:bottom w:w="70" w:type="dxa"/>
              <w:end w:w="120" w:type="dxa"/>
            </w:tcMar>
            <w:shd w:fill="0B2545"/>
            <w:vAlign w:val="center"/>
          </w:tcPr>
          <w:p>
            <w:pPr>
              <w:spacing w:before="0" w:after="0" w:line="240" w:lineRule="auto"/>
              <w:jc w:val="center"/>
            </w:pPr>
            <w:r/>
            <w:r>
              <w:rPr>
                <w:rFonts w:ascii="Calibri" w:hAnsi="Calibri"/>
                <w:b/>
                <w:sz w:val="14"/>
                <w:color w:val="FFFFFF"/>
              </w:rPr>
              <w:t>Req.</w:t>
            </w:r>
          </w:p>
        </w:tc>
        <w:tc>
          <w:tcPr>
            <w:tcW w:type="dxa" w:w="1200"/>
            <w:tcMar>
              <w:top w:w="70" w:type="dxa"/>
              <w:start w:w="120" w:type="dxa"/>
              <w:bottom w:w="70" w:type="dxa"/>
              <w:end w:w="120" w:type="dxa"/>
            </w:tcMar>
            <w:shd w:fill="0B2545"/>
            <w:vAlign w:val="center"/>
          </w:tcPr>
          <w:p>
            <w:pPr>
              <w:spacing w:before="0" w:after="0" w:line="240" w:lineRule="auto"/>
              <w:jc w:val="left"/>
            </w:pPr>
            <w:r/>
            <w:r>
              <w:rPr>
                <w:rFonts w:ascii="Calibri" w:hAnsi="Calibri"/>
                <w:b/>
                <w:sz w:val="14"/>
                <w:color w:val="FFFFFF"/>
              </w:rPr>
              <w:t>Business logic</w:t>
            </w:r>
          </w:p>
        </w:tc>
        <w:tc>
          <w:tcPr>
            <w:tcW w:type="dxa" w:w="2700"/>
            <w:tcMar>
              <w:top w:w="70" w:type="dxa"/>
              <w:start w:w="120" w:type="dxa"/>
              <w:bottom w:w="70" w:type="dxa"/>
              <w:end w:w="120" w:type="dxa"/>
            </w:tcMar>
            <w:shd w:fill="0B2545"/>
            <w:vAlign w:val="center"/>
          </w:tcPr>
          <w:p>
            <w:pPr>
              <w:spacing w:before="0" w:after="0" w:line="240" w:lineRule="auto"/>
              <w:jc w:val="left"/>
            </w:pPr>
            <w:r/>
            <w:r>
              <w:rPr>
                <w:rFonts w:ascii="Calibri" w:hAnsi="Calibri"/>
                <w:b/>
                <w:sz w:val="14"/>
                <w:color w:val="FFFFFF"/>
              </w:rPr>
              <w:t>Implementation</w:t>
            </w:r>
          </w:p>
        </w:tc>
        <w:tc>
          <w:tcPr>
            <w:tcW w:type="dxa" w:w="1500"/>
            <w:tcMar>
              <w:top w:w="70" w:type="dxa"/>
              <w:start w:w="120" w:type="dxa"/>
              <w:bottom w:w="70" w:type="dxa"/>
              <w:end w:w="120" w:type="dxa"/>
            </w:tcMar>
            <w:shd w:fill="0B2545"/>
            <w:vAlign w:val="center"/>
          </w:tcPr>
          <w:p>
            <w:pPr>
              <w:spacing w:before="0" w:after="0" w:line="240" w:lineRule="auto"/>
              <w:jc w:val="left"/>
            </w:pPr>
            <w:r/>
            <w:r>
              <w:rPr>
                <w:rFonts w:ascii="Calibri" w:hAnsi="Calibri"/>
                <w:b/>
                <w:sz w:val="14"/>
                <w:color w:val="FFFFFF"/>
              </w:rPr>
              <w:t>Size</w:t>
            </w:r>
          </w:p>
        </w:tc>
        <w:tc>
          <w:tcPr>
            <w:tcW w:type="dxa" w:w="1600"/>
            <w:tcMar>
              <w:top w:w="70" w:type="dxa"/>
              <w:start w:w="120" w:type="dxa"/>
              <w:bottom w:w="70" w:type="dxa"/>
              <w:end w:w="120" w:type="dxa"/>
            </w:tcMar>
            <w:shd w:fill="0B2545"/>
            <w:vAlign w:val="center"/>
          </w:tcPr>
          <w:p>
            <w:pPr>
              <w:spacing w:before="0" w:after="0" w:line="240" w:lineRule="auto"/>
              <w:jc w:val="left"/>
            </w:pPr>
            <w:r/>
            <w:r>
              <w:rPr>
                <w:rFonts w:ascii="Calibri" w:hAnsi="Calibri"/>
                <w:b/>
                <w:sz w:val="14"/>
                <w:color w:val="FFFFFF"/>
              </w:rPr>
              <w:t>Interfaces</w:t>
            </w:r>
          </w:p>
        </w:tc>
        <w:tc>
          <w:tcPr>
            <w:tcW w:type="dxa" w:w="1460"/>
            <w:tcMar>
              <w:top w:w="70" w:type="dxa"/>
              <w:start w:w="120" w:type="dxa"/>
              <w:bottom w:w="70" w:type="dxa"/>
              <w:end w:w="120" w:type="dxa"/>
            </w:tcMar>
            <w:shd w:fill="0B2545"/>
            <w:vAlign w:val="center"/>
          </w:tcPr>
          <w:p>
            <w:pPr>
              <w:spacing w:before="0" w:after="0" w:line="240" w:lineRule="auto"/>
              <w:jc w:val="center"/>
            </w:pPr>
            <w:r/>
            <w:r>
              <w:rPr>
                <w:rFonts w:ascii="Calibri" w:hAnsi="Calibri"/>
                <w:b/>
                <w:sz w:val="14"/>
                <w:color w:val="FFFFFF"/>
              </w:rPr>
              <w:t>Working likelihood</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URS-MES-001</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Working Large; confirm in FS/DS/CS</w:t>
            </w:r>
          </w:p>
        </w:tc>
        <w:tc>
          <w:tcPr>
            <w:tcW w:type="dxa" w:w="1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Interfaced</w:t>
            </w:r>
          </w:p>
        </w:tc>
        <w:tc>
          <w:tcPr>
            <w:tcW w:type="dxa" w:w="14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URS-MES-002</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None identified for this requirement</w:t>
            </w:r>
          </w:p>
        </w:tc>
        <w:tc>
          <w:tcPr>
            <w:tcW w:type="dxa" w:w="14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URS-MES-003</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Interfaced</w:t>
            </w:r>
          </w:p>
        </w:tc>
        <w:tc>
          <w:tcPr>
            <w:tcW w:type="dxa" w:w="14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URS-MES-004</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Interfaced</w:t>
            </w:r>
          </w:p>
        </w:tc>
        <w:tc>
          <w:tcPr>
            <w:tcW w:type="dxa" w:w="14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URS-MES-005</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None identified for this requirement</w:t>
            </w:r>
          </w:p>
        </w:tc>
        <w:tc>
          <w:tcPr>
            <w:tcW w:type="dxa" w:w="14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URS-MES-006</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Interfaced</w:t>
            </w:r>
          </w:p>
        </w:tc>
        <w:tc>
          <w:tcPr>
            <w:tcW w:type="dxa" w:w="14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URS-MES-007</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Working Large; confirm in FS/DS/CS</w:t>
            </w:r>
          </w:p>
        </w:tc>
        <w:tc>
          <w:tcPr>
            <w:tcW w:type="dxa" w:w="1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Many interfaces</w:t>
            </w:r>
          </w:p>
        </w:tc>
        <w:tc>
          <w:tcPr>
            <w:tcW w:type="dxa" w:w="14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URS-MES-008</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None identified for this requirement</w:t>
            </w:r>
          </w:p>
        </w:tc>
        <w:tc>
          <w:tcPr>
            <w:tcW w:type="dxa" w:w="14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URS-MES-009</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Medium</w:t>
            </w:r>
          </w:p>
        </w:tc>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None identified for this requirement</w:t>
            </w:r>
          </w:p>
        </w:tc>
        <w:tc>
          <w:tcPr>
            <w:tcW w:type="dxa" w:w="14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URS-MES-017</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Medium</w:t>
            </w:r>
          </w:p>
        </w:tc>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Interfaced</w:t>
            </w:r>
          </w:p>
        </w:tc>
        <w:tc>
          <w:tcPr>
            <w:tcW w:type="dxa" w:w="14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URS-MES-018</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Medium</w:t>
            </w:r>
          </w:p>
        </w:tc>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None identified for this requirement</w:t>
            </w:r>
          </w:p>
        </w:tc>
        <w:tc>
          <w:tcPr>
            <w:tcW w:type="dxa" w:w="14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URS-MES-019</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Medium</w:t>
            </w:r>
          </w:p>
        </w:tc>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None identified for this requirement</w:t>
            </w:r>
          </w:p>
        </w:tc>
        <w:tc>
          <w:tcPr>
            <w:tcW w:type="dxa" w:w="14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URS-MES-028</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Interfaced</w:t>
            </w:r>
          </w:p>
        </w:tc>
        <w:tc>
          <w:tcPr>
            <w:tcW w:type="dxa" w:w="14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URS-MES-029</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Interfaced</w:t>
            </w:r>
          </w:p>
        </w:tc>
        <w:tc>
          <w:tcPr>
            <w:tcW w:type="dxa" w:w="14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URS-MES-030</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Interfaced</w:t>
            </w:r>
          </w:p>
        </w:tc>
        <w:tc>
          <w:tcPr>
            <w:tcW w:type="dxa" w:w="14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URS-MES-031</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Interfaced</w:t>
            </w:r>
          </w:p>
        </w:tc>
        <w:tc>
          <w:tcPr>
            <w:tcW w:type="dxa" w:w="14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URS-MES-032</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Interfaced</w:t>
            </w:r>
          </w:p>
        </w:tc>
        <w:tc>
          <w:tcPr>
            <w:tcW w:type="dxa" w:w="14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URS-MES-033</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Interfaced</w:t>
            </w:r>
          </w:p>
        </w:tc>
        <w:tc>
          <w:tcPr>
            <w:tcW w:type="dxa" w:w="14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URS-MES-034</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Interfaced</w:t>
            </w:r>
          </w:p>
        </w:tc>
        <w:tc>
          <w:tcPr>
            <w:tcW w:type="dxa" w:w="14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URS-MES-035</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Interfaced</w:t>
            </w:r>
          </w:p>
        </w:tc>
        <w:tc>
          <w:tcPr>
            <w:tcW w:type="dxa" w:w="14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URS-MES-036</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Complex</w:t>
            </w:r>
          </w:p>
        </w:tc>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Working Large; confirm in FS/DS/CS</w:t>
            </w:r>
          </w:p>
        </w:tc>
        <w:tc>
          <w:tcPr>
            <w:tcW w:type="dxa" w:w="1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Many interfaces</w:t>
            </w:r>
          </w:p>
        </w:tc>
        <w:tc>
          <w:tcPr>
            <w:tcW w:type="dxa" w:w="14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URS-MES-041</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Medium</w:t>
            </w:r>
          </w:p>
        </w:tc>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Interfaced</w:t>
            </w:r>
          </w:p>
        </w:tc>
        <w:tc>
          <w:tcPr>
            <w:tcW w:type="dxa" w:w="14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URS-MES-042</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Medium</w:t>
            </w:r>
          </w:p>
        </w:tc>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Interfaced</w:t>
            </w:r>
          </w:p>
        </w:tc>
        <w:tc>
          <w:tcPr>
            <w:tcW w:type="dxa" w:w="14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URS-MES-043</w:t>
            </w:r>
          </w:p>
        </w:tc>
        <w:tc>
          <w:tcPr>
            <w:tcW w:type="dxa" w:w="1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Medium</w:t>
            </w:r>
          </w:p>
        </w:tc>
        <w:tc>
          <w:tcPr>
            <w:tcW w:type="dxa" w:w="2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Interfaced</w:t>
            </w:r>
          </w:p>
        </w:tc>
        <w:tc>
          <w:tcPr>
            <w:tcW w:type="dxa" w:w="146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URS-MES-044</w:t>
            </w:r>
          </w:p>
        </w:tc>
        <w:tc>
          <w:tcPr>
            <w:tcW w:type="dxa" w:w="12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Medium</w:t>
            </w:r>
          </w:p>
        </w:tc>
        <w:tc>
          <w:tcPr>
            <w:tcW w:type="dxa" w:w="27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Verify - PAS-X standard/configured/customised split not confirmed</w:t>
            </w:r>
          </w:p>
        </w:tc>
        <w:tc>
          <w:tcPr>
            <w:tcW w:type="dxa" w:w="15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Working Average; confirm in FS/DS/CS</w:t>
            </w:r>
          </w:p>
        </w:tc>
        <w:tc>
          <w:tcPr>
            <w:tcW w:type="dxa" w:w="1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None identified for this requirement</w:t>
            </w:r>
          </w:p>
        </w:tc>
        <w:tc>
          <w:tcPr>
            <w:tcW w:type="dxa" w:w="146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r>
    </w:tbl>
    <w:p>
      <w:pPr>
        <w:spacing w:after="40"/>
      </w:pPr>
    </w:p>
    <w:p>
      <w:pPr>
        <w:pStyle w:val="Heading2"/>
      </w:pPr>
      <w:r>
        <w:rPr>
          <w:rFonts w:ascii="Calibri" w:hAnsi="Calibri"/>
          <w:b/>
          <w:sz w:val="26"/>
          <w:color w:val="2E74B5"/>
        </w:rPr>
        <w:t>6.4 Non-functional summary</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900"/>
        <w:gridCol w:w="2600"/>
        <w:gridCol w:w="1250"/>
        <w:gridCol w:w="1400"/>
        <w:gridCol w:w="1300"/>
        <w:gridCol w:w="1910"/>
      </w:tblGrid>
      <w:tr>
        <w:trPr>
          <w:cantSplit/>
          <w:tblHeader w:val="true"/>
        </w:trPr>
        <w:tc>
          <w:tcPr>
            <w:tcW w:type="dxa" w:w="900"/>
            <w:tcMar>
              <w:top w:w="70" w:type="dxa"/>
              <w:start w:w="120" w:type="dxa"/>
              <w:bottom w:w="70" w:type="dxa"/>
              <w:end w:w="120" w:type="dxa"/>
            </w:tcMar>
            <w:shd w:fill="0B2545"/>
            <w:vAlign w:val="center"/>
          </w:tcPr>
          <w:p>
            <w:pPr>
              <w:spacing w:before="0" w:after="0" w:line="240" w:lineRule="auto"/>
              <w:jc w:val="center"/>
            </w:pPr>
            <w:r/>
            <w:r>
              <w:rPr>
                <w:rFonts w:ascii="Calibri" w:hAnsi="Calibri"/>
                <w:b/>
                <w:sz w:val="14"/>
                <w:color w:val="FFFFFF"/>
              </w:rPr>
              <w:t>Req.</w:t>
            </w:r>
          </w:p>
        </w:tc>
        <w:tc>
          <w:tcPr>
            <w:tcW w:type="dxa" w:w="2600"/>
            <w:tcMar>
              <w:top w:w="70" w:type="dxa"/>
              <w:start w:w="120" w:type="dxa"/>
              <w:bottom w:w="70" w:type="dxa"/>
              <w:end w:w="120" w:type="dxa"/>
            </w:tcMar>
            <w:shd w:fill="0B2545"/>
            <w:vAlign w:val="center"/>
          </w:tcPr>
          <w:p>
            <w:pPr>
              <w:spacing w:before="0" w:after="0" w:line="240" w:lineRule="auto"/>
              <w:jc w:val="left"/>
            </w:pPr>
            <w:r/>
            <w:r>
              <w:rPr>
                <w:rFonts w:ascii="Calibri" w:hAnsi="Calibri"/>
                <w:b/>
                <w:sz w:val="14"/>
                <w:color w:val="FFFFFF"/>
              </w:rPr>
              <w:t>Identified risk / linked scenario</w:t>
            </w:r>
          </w:p>
        </w:tc>
        <w:tc>
          <w:tcPr>
            <w:tcW w:type="dxa" w:w="1250"/>
            <w:tcMar>
              <w:top w:w="70" w:type="dxa"/>
              <w:start w:w="120" w:type="dxa"/>
              <w:bottom w:w="70" w:type="dxa"/>
              <w:end w:w="120" w:type="dxa"/>
            </w:tcMar>
            <w:shd w:fill="0B2545"/>
            <w:vAlign w:val="center"/>
          </w:tcPr>
          <w:p>
            <w:pPr>
              <w:spacing w:before="0" w:after="0" w:line="240" w:lineRule="auto"/>
              <w:jc w:val="center"/>
            </w:pPr>
            <w:r/>
            <w:r>
              <w:rPr>
                <w:rFonts w:ascii="Calibri" w:hAnsi="Calibri"/>
                <w:b/>
                <w:sz w:val="14"/>
                <w:color w:val="FFFFFF"/>
              </w:rPr>
              <w:t>Impact</w:t>
            </w:r>
          </w:p>
        </w:tc>
        <w:tc>
          <w:tcPr>
            <w:tcW w:type="dxa" w:w="1400"/>
            <w:tcMar>
              <w:top w:w="70" w:type="dxa"/>
              <w:start w:w="120" w:type="dxa"/>
              <w:bottom w:w="70" w:type="dxa"/>
              <w:end w:w="120" w:type="dxa"/>
            </w:tcMar>
            <w:shd w:fill="0B2545"/>
            <w:vAlign w:val="center"/>
          </w:tcPr>
          <w:p>
            <w:pPr>
              <w:spacing w:before="0" w:after="0" w:line="240" w:lineRule="auto"/>
              <w:jc w:val="center"/>
            </w:pPr>
            <w:r/>
            <w:r>
              <w:rPr>
                <w:rFonts w:ascii="Calibri" w:hAnsi="Calibri"/>
                <w:b/>
                <w:sz w:val="14"/>
                <w:color w:val="FFFFFF"/>
              </w:rPr>
              <w:t>Likelihood</w:t>
            </w:r>
          </w:p>
        </w:tc>
        <w:tc>
          <w:tcPr>
            <w:tcW w:type="dxa" w:w="1300"/>
            <w:tcMar>
              <w:top w:w="70" w:type="dxa"/>
              <w:start w:w="120" w:type="dxa"/>
              <w:bottom w:w="70" w:type="dxa"/>
              <w:end w:w="120" w:type="dxa"/>
            </w:tcMar>
            <w:shd w:fill="0B2545"/>
            <w:vAlign w:val="center"/>
          </w:tcPr>
          <w:p>
            <w:pPr>
              <w:spacing w:before="0" w:after="0" w:line="240" w:lineRule="auto"/>
              <w:jc w:val="center"/>
            </w:pPr>
            <w:r/>
            <w:r>
              <w:rPr>
                <w:rFonts w:ascii="Calibri" w:hAnsi="Calibri"/>
                <w:b/>
                <w:sz w:val="14"/>
                <w:color w:val="FFFFFF"/>
              </w:rPr>
              <w:t>Working risk</w:t>
            </w:r>
          </w:p>
        </w:tc>
        <w:tc>
          <w:tcPr>
            <w:tcW w:type="dxa" w:w="1910"/>
            <w:tcMar>
              <w:top w:w="70" w:type="dxa"/>
              <w:start w:w="120" w:type="dxa"/>
              <w:bottom w:w="70" w:type="dxa"/>
              <w:end w:w="120" w:type="dxa"/>
            </w:tcMar>
            <w:shd w:fill="0B2545"/>
            <w:vAlign w:val="center"/>
          </w:tcPr>
          <w:p>
            <w:pPr>
              <w:spacing w:before="0" w:after="0" w:line="240" w:lineRule="auto"/>
              <w:jc w:val="left"/>
            </w:pPr>
            <w:r/>
            <w:r>
              <w:rPr>
                <w:rFonts w:ascii="Calibri" w:hAnsi="Calibri"/>
                <w:b/>
                <w:sz w:val="14"/>
                <w:color w:val="FFFFFF"/>
              </w:rPr>
              <w:t>State</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URS-MES-010</w:t>
            </w:r>
          </w:p>
        </w:tc>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RSK-MES-004, RSK-MES-010, RSK-MES-017</w:t>
            </w:r>
          </w:p>
        </w:tc>
        <w:tc>
          <w:tcPr>
            <w:tcW w:type="dxa" w:w="12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URS-MES-011</w:t>
            </w:r>
          </w:p>
        </w:tc>
        <w:tc>
          <w:tcPr>
            <w:tcW w:type="dxa" w:w="2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RSK-MES-004, RSK-MES-023</w:t>
            </w:r>
          </w:p>
        </w:tc>
        <w:tc>
          <w:tcPr>
            <w:tcW w:type="dxa" w:w="12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URS-MES-012</w:t>
            </w:r>
          </w:p>
        </w:tc>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RSK-MES-005, RSK-MES-006, RSK-MES-019, RSK-MES-024</w:t>
            </w:r>
          </w:p>
        </w:tc>
        <w:tc>
          <w:tcPr>
            <w:tcW w:type="dxa" w:w="12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URS-MES-013</w:t>
            </w:r>
          </w:p>
        </w:tc>
        <w:tc>
          <w:tcPr>
            <w:tcW w:type="dxa" w:w="2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RSK-MES-005, RSK-MES-019</w:t>
            </w:r>
          </w:p>
        </w:tc>
        <w:tc>
          <w:tcPr>
            <w:tcW w:type="dxa" w:w="12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URS-MES-014</w:t>
            </w:r>
          </w:p>
        </w:tc>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RSK-MES-005, RSK-MES-024</w:t>
            </w:r>
          </w:p>
        </w:tc>
        <w:tc>
          <w:tcPr>
            <w:tcW w:type="dxa" w:w="12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URS-MES-015</w:t>
            </w:r>
          </w:p>
        </w:tc>
        <w:tc>
          <w:tcPr>
            <w:tcW w:type="dxa" w:w="2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RSK-MES-005, RSK-MES-006, RSK-MES-019</w:t>
            </w:r>
          </w:p>
        </w:tc>
        <w:tc>
          <w:tcPr>
            <w:tcW w:type="dxa" w:w="12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URS-MES-016</w:t>
            </w:r>
          </w:p>
        </w:tc>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RSK-MES-005, RSK-MES-024</w:t>
            </w:r>
          </w:p>
        </w:tc>
        <w:tc>
          <w:tcPr>
            <w:tcW w:type="dxa" w:w="12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URS-MES-020</w:t>
            </w:r>
          </w:p>
        </w:tc>
        <w:tc>
          <w:tcPr>
            <w:tcW w:type="dxa" w:w="2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RSK-MES-008</w:t>
            </w:r>
          </w:p>
        </w:tc>
        <w:tc>
          <w:tcPr>
            <w:tcW w:type="dxa" w:w="12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URS-MES-021</w:t>
            </w:r>
          </w:p>
        </w:tc>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RSK-MES-008, RSK-MES-010</w:t>
            </w:r>
          </w:p>
        </w:tc>
        <w:tc>
          <w:tcPr>
            <w:tcW w:type="dxa" w:w="12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URS-MES-022</w:t>
            </w:r>
          </w:p>
        </w:tc>
        <w:tc>
          <w:tcPr>
            <w:tcW w:type="dxa" w:w="2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RSK-MES-008</w:t>
            </w:r>
          </w:p>
        </w:tc>
        <w:tc>
          <w:tcPr>
            <w:tcW w:type="dxa" w:w="12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URS-MES-023</w:t>
            </w:r>
          </w:p>
        </w:tc>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RSK-MES-008, RSK-MES-024</w:t>
            </w:r>
          </w:p>
        </w:tc>
        <w:tc>
          <w:tcPr>
            <w:tcW w:type="dxa" w:w="12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URS-MES-024</w:t>
            </w:r>
          </w:p>
        </w:tc>
        <w:tc>
          <w:tcPr>
            <w:tcW w:type="dxa" w:w="2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RSK-MES-002, RSK-MES-010, RSK-MES-026</w:t>
            </w:r>
          </w:p>
        </w:tc>
        <w:tc>
          <w:tcPr>
            <w:tcW w:type="dxa" w:w="12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URS-MES-025</w:t>
            </w:r>
          </w:p>
        </w:tc>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RSK-MES-009</w:t>
            </w:r>
          </w:p>
        </w:tc>
        <w:tc>
          <w:tcPr>
            <w:tcW w:type="dxa" w:w="12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Medium (B)</w:t>
            </w:r>
          </w:p>
        </w:tc>
        <w:tc>
          <w:tcPr>
            <w:tcW w:type="dxa" w:w="14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Medium</w:t>
            </w:r>
          </w:p>
        </w:tc>
        <w:tc>
          <w:tcPr>
            <w:tcW w:type="dxa" w:w="19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URS-MES-026</w:t>
            </w:r>
          </w:p>
        </w:tc>
        <w:tc>
          <w:tcPr>
            <w:tcW w:type="dxa" w:w="2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RSK-MES-010</w:t>
            </w:r>
          </w:p>
        </w:tc>
        <w:tc>
          <w:tcPr>
            <w:tcW w:type="dxa" w:w="12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URS-MES-027</w:t>
            </w:r>
          </w:p>
        </w:tc>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RSK-MES-004, RSK-MES-010, RSK-MES-026</w:t>
            </w:r>
          </w:p>
        </w:tc>
        <w:tc>
          <w:tcPr>
            <w:tcW w:type="dxa" w:w="12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URS-MES-037</w:t>
            </w:r>
          </w:p>
        </w:tc>
        <w:tc>
          <w:tcPr>
            <w:tcW w:type="dxa" w:w="2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RSK-MES-017, RSK-MES-020</w:t>
            </w:r>
          </w:p>
        </w:tc>
        <w:tc>
          <w:tcPr>
            <w:tcW w:type="dxa" w:w="12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URS-MES-038</w:t>
            </w:r>
          </w:p>
        </w:tc>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RSK-MES-017, RSK-MES-018</w:t>
            </w:r>
          </w:p>
        </w:tc>
        <w:tc>
          <w:tcPr>
            <w:tcW w:type="dxa" w:w="12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URS-MES-039</w:t>
            </w:r>
          </w:p>
        </w:tc>
        <w:tc>
          <w:tcPr>
            <w:tcW w:type="dxa" w:w="2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RSK-MES-016, RSK-MES-018</w:t>
            </w:r>
          </w:p>
        </w:tc>
        <w:tc>
          <w:tcPr>
            <w:tcW w:type="dxa" w:w="12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URS-MES-040</w:t>
            </w:r>
          </w:p>
        </w:tc>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RSK-MES-017, RSK-MES-018, RSK-MES-024</w:t>
            </w:r>
          </w:p>
        </w:tc>
        <w:tc>
          <w:tcPr>
            <w:tcW w:type="dxa" w:w="12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URS-MES-045</w:t>
            </w:r>
          </w:p>
        </w:tc>
        <w:tc>
          <w:tcPr>
            <w:tcW w:type="dxa" w:w="2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RSK-MES-006, RSK-MES-015, RSK-MES-016, RSK-MES-017, RSK-MES-019, RSK-MES-022</w:t>
            </w:r>
          </w:p>
        </w:tc>
        <w:tc>
          <w:tcPr>
            <w:tcW w:type="dxa" w:w="12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URS-MES-046</w:t>
            </w:r>
          </w:p>
        </w:tc>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RSK-MES-016, RSK-MES-018, RSK-MES-022</w:t>
            </w:r>
          </w:p>
        </w:tc>
        <w:tc>
          <w:tcPr>
            <w:tcW w:type="dxa" w:w="12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URS-MES-047</w:t>
            </w:r>
          </w:p>
        </w:tc>
        <w:tc>
          <w:tcPr>
            <w:tcW w:type="dxa" w:w="2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RSK-MES-001, RSK-MES-010, RSK-MES-019, RSK-MES-021, RSK-MES-022, RSK-MES-026</w:t>
            </w:r>
          </w:p>
        </w:tc>
        <w:tc>
          <w:tcPr>
            <w:tcW w:type="dxa" w:w="12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URS-MES-048</w:t>
            </w:r>
          </w:p>
        </w:tc>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RSK-MES-019, RSK-MES-020, RSK-MES-024, RSK-MES-025</w:t>
            </w:r>
          </w:p>
        </w:tc>
        <w:tc>
          <w:tcPr>
            <w:tcW w:type="dxa" w:w="12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URS-MES-049</w:t>
            </w:r>
          </w:p>
        </w:tc>
        <w:tc>
          <w:tcPr>
            <w:tcW w:type="dxa" w:w="2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RSK-MES-019, RSK-MES-020, RSK-MES-021, RSK-MES-022, RSK-MES-024, RSK-MES-025</w:t>
            </w:r>
          </w:p>
        </w:tc>
        <w:tc>
          <w:tcPr>
            <w:tcW w:type="dxa" w:w="12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Composite not calculated; 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URS-MES-050</w:t>
            </w:r>
          </w:p>
        </w:tc>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RSK-MES-005, RSK-MES-024</w:t>
            </w:r>
          </w:p>
        </w:tc>
        <w:tc>
          <w:tcPr>
            <w:tcW w:type="dxa" w:w="125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 (A)</w:t>
            </w:r>
          </w:p>
        </w:tc>
        <w:tc>
          <w:tcPr>
            <w:tcW w:type="dxa" w:w="14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Possible (II)</w:t>
            </w:r>
          </w:p>
        </w:tc>
        <w:tc>
          <w:tcPr>
            <w:tcW w:type="dxa" w:w="13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Working High</w:t>
            </w:r>
          </w:p>
        </w:tc>
        <w:tc>
          <w:tcPr>
            <w:tcW w:type="dxa" w:w="191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Composite not calculated; evidence open</w:t>
            </w:r>
          </w:p>
        </w:tc>
      </w:tr>
    </w:tbl>
    <w:p>
      <w:pPr>
        <w:spacing w:after="40"/>
      </w:pPr>
    </w:p>
    <w:p>
      <w:pPr>
        <w:pStyle w:val="Heading2"/>
      </w:pPr>
      <w:r>
        <w:rPr>
          <w:rFonts w:ascii="Calibri" w:hAnsi="Calibri"/>
          <w:b/>
          <w:sz w:val="26"/>
          <w:color w:val="2E74B5"/>
        </w:rPr>
        <w:t>6.5 Working impact-likelihood matrices</w:t>
      </w:r>
    </w:p>
    <w:p>
      <w:pPr>
        <w:keepLines w:val="0"/>
        <w:spacing w:after="100" w:line="252" w:lineRule="auto"/>
      </w:pPr>
      <w:r>
        <w:rPr>
          <w:rFonts w:ascii="Calibri" w:hAnsi="Calibri"/>
          <w:b/>
          <w:sz w:val="19"/>
          <w:color w:val="1F4D78"/>
        </w:rPr>
        <w:t>Functional requirements</w:t>
      </w:r>
      <w:r>
        <w:rPr>
          <w:rFonts w:ascii="Calibri" w:hAnsi="Calibri"/>
          <w:sz w:val="19"/>
          <w:color w:val="000000"/>
        </w:rPr>
        <w:t xml:space="preserve"> - working distribution</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3000"/>
        <w:gridCol w:w="2120"/>
        <w:gridCol w:w="2120"/>
        <w:gridCol w:w="2120"/>
      </w:tblGrid>
      <w:tr>
        <w:trPr>
          <w:cantSplit/>
          <w:tblHeader w:val="true"/>
        </w:trPr>
        <w:tc>
          <w:tcPr>
            <w:tcW w:type="dxa" w:w="300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Likelihood / Impact</w:t>
            </w:r>
          </w:p>
        </w:tc>
        <w:tc>
          <w:tcPr>
            <w:tcW w:type="dxa" w:w="212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Low (C)</w:t>
            </w:r>
          </w:p>
        </w:tc>
        <w:tc>
          <w:tcPr>
            <w:tcW w:type="dxa" w:w="212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Medium (B)</w:t>
            </w:r>
          </w:p>
        </w:tc>
        <w:tc>
          <w:tcPr>
            <w:tcW w:type="dxa" w:w="212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High (A)</w:t>
            </w:r>
          </w:p>
        </w:tc>
      </w:tr>
      <w:tr>
        <w:trPr>
          <w:cantSplit/>
        </w:trPr>
        <w:tc>
          <w:tcPr>
            <w:tcW w:type="dxa" w:w="30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Likely (I)</w:t>
            </w:r>
          </w:p>
        </w:tc>
        <w:tc>
          <w:tcPr>
            <w:tcW w:type="dxa" w:w="212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0</w:t>
            </w:r>
          </w:p>
        </w:tc>
        <w:tc>
          <w:tcPr>
            <w:tcW w:type="dxa" w:w="212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0</w:t>
            </w:r>
          </w:p>
        </w:tc>
        <w:tc>
          <w:tcPr>
            <w:tcW w:type="dxa" w:w="212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0</w:t>
            </w:r>
          </w:p>
        </w:tc>
      </w:tr>
      <w:tr>
        <w:trPr>
          <w:cantSplit/>
        </w:trPr>
        <w:tc>
          <w:tcPr>
            <w:tcW w:type="dxa" w:w="3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Possible (II)</w:t>
            </w:r>
          </w:p>
        </w:tc>
        <w:tc>
          <w:tcPr>
            <w:tcW w:type="dxa" w:w="212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0</w:t>
            </w:r>
          </w:p>
        </w:tc>
        <w:tc>
          <w:tcPr>
            <w:tcW w:type="dxa" w:w="212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0</w:t>
            </w:r>
          </w:p>
        </w:tc>
        <w:tc>
          <w:tcPr>
            <w:tcW w:type="dxa" w:w="212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25</w:t>
            </w:r>
          </w:p>
        </w:tc>
      </w:tr>
      <w:tr>
        <w:trPr>
          <w:cantSplit/>
        </w:trPr>
        <w:tc>
          <w:tcPr>
            <w:tcW w:type="dxa" w:w="30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Unlikely (III)</w:t>
            </w:r>
          </w:p>
        </w:tc>
        <w:tc>
          <w:tcPr>
            <w:tcW w:type="dxa" w:w="212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0</w:t>
            </w:r>
          </w:p>
        </w:tc>
        <w:tc>
          <w:tcPr>
            <w:tcW w:type="dxa" w:w="212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0</w:t>
            </w:r>
          </w:p>
        </w:tc>
        <w:tc>
          <w:tcPr>
            <w:tcW w:type="dxa" w:w="212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0</w:t>
            </w:r>
          </w:p>
        </w:tc>
      </w:tr>
    </w:tbl>
    <w:p>
      <w:pPr>
        <w:spacing w:after="40"/>
      </w:pPr>
    </w:p>
    <w:p>
      <w:pPr>
        <w:keepLines w:val="0"/>
        <w:spacing w:after="100" w:line="252" w:lineRule="auto"/>
      </w:pPr>
      <w:r>
        <w:rPr>
          <w:rFonts w:ascii="Calibri" w:hAnsi="Calibri"/>
          <w:b/>
          <w:sz w:val="19"/>
          <w:color w:val="1F4D78"/>
        </w:rPr>
        <w:t>Non-functional requirements</w:t>
      </w:r>
      <w:r>
        <w:rPr>
          <w:rFonts w:ascii="Calibri" w:hAnsi="Calibri"/>
          <w:sz w:val="19"/>
          <w:color w:val="000000"/>
        </w:rPr>
        <w:t xml:space="preserve"> - working distribution</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3000"/>
        <w:gridCol w:w="2120"/>
        <w:gridCol w:w="2120"/>
        <w:gridCol w:w="2120"/>
      </w:tblGrid>
      <w:tr>
        <w:trPr>
          <w:cantSplit/>
          <w:tblHeader w:val="true"/>
        </w:trPr>
        <w:tc>
          <w:tcPr>
            <w:tcW w:type="dxa" w:w="300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Likelihood / Impact</w:t>
            </w:r>
          </w:p>
        </w:tc>
        <w:tc>
          <w:tcPr>
            <w:tcW w:type="dxa" w:w="212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Low (C)</w:t>
            </w:r>
          </w:p>
        </w:tc>
        <w:tc>
          <w:tcPr>
            <w:tcW w:type="dxa" w:w="212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Medium (B)</w:t>
            </w:r>
          </w:p>
        </w:tc>
        <w:tc>
          <w:tcPr>
            <w:tcW w:type="dxa" w:w="212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High (A)</w:t>
            </w:r>
          </w:p>
        </w:tc>
      </w:tr>
      <w:tr>
        <w:trPr>
          <w:cantSplit/>
        </w:trPr>
        <w:tc>
          <w:tcPr>
            <w:tcW w:type="dxa" w:w="30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Likely (I)</w:t>
            </w:r>
          </w:p>
        </w:tc>
        <w:tc>
          <w:tcPr>
            <w:tcW w:type="dxa" w:w="212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0</w:t>
            </w:r>
          </w:p>
        </w:tc>
        <w:tc>
          <w:tcPr>
            <w:tcW w:type="dxa" w:w="212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0</w:t>
            </w:r>
          </w:p>
        </w:tc>
        <w:tc>
          <w:tcPr>
            <w:tcW w:type="dxa" w:w="212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0</w:t>
            </w:r>
          </w:p>
        </w:tc>
      </w:tr>
      <w:tr>
        <w:trPr>
          <w:cantSplit/>
        </w:trPr>
        <w:tc>
          <w:tcPr>
            <w:tcW w:type="dxa" w:w="3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Possible (II)</w:t>
            </w:r>
          </w:p>
        </w:tc>
        <w:tc>
          <w:tcPr>
            <w:tcW w:type="dxa" w:w="212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0</w:t>
            </w:r>
          </w:p>
        </w:tc>
        <w:tc>
          <w:tcPr>
            <w:tcW w:type="dxa" w:w="212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1</w:t>
            </w:r>
          </w:p>
        </w:tc>
        <w:tc>
          <w:tcPr>
            <w:tcW w:type="dxa" w:w="212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24</w:t>
            </w:r>
          </w:p>
        </w:tc>
      </w:tr>
      <w:tr>
        <w:trPr>
          <w:cantSplit/>
        </w:trPr>
        <w:tc>
          <w:tcPr>
            <w:tcW w:type="dxa" w:w="30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Unlikely (III)</w:t>
            </w:r>
          </w:p>
        </w:tc>
        <w:tc>
          <w:tcPr>
            <w:tcW w:type="dxa" w:w="212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0</w:t>
            </w:r>
          </w:p>
        </w:tc>
        <w:tc>
          <w:tcPr>
            <w:tcW w:type="dxa" w:w="212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0</w:t>
            </w:r>
          </w:p>
        </w:tc>
        <w:tc>
          <w:tcPr>
            <w:tcW w:type="dxa" w:w="212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0</w:t>
            </w:r>
          </w:p>
        </w:tc>
      </w:tr>
    </w:tbl>
    <w:p>
      <w:pPr>
        <w:spacing w:after="40"/>
      </w:pPr>
    </w:p>
    <w:p>
      <w:pPr>
        <w:spacing w:before="80" w:after="160"/>
        <w:ind w:left="120" w:right="120"/>
        <w:shd w:fill="FFF7DF"/>
        <w:pBdr>
          <w:left w:val="single" w:sz="18" w:space="4" w:color="7A5A00"/>
        </w:pBdr>
      </w:pPr>
      <w:r>
        <w:rPr>
          <w:rFonts w:ascii="Calibri" w:hAnsi="Calibri"/>
          <w:b/>
          <w:sz w:val="19"/>
          <w:color w:val="7A5A00"/>
        </w:rPr>
        <w:t xml:space="preserve">Matrix limitation. </w:t>
      </w:r>
      <w:r>
        <w:rPr>
          <w:rFonts w:ascii="Calibri" w:hAnsi="Calibri"/>
          <w:b w:val="0"/>
          <w:sz w:val="19"/>
          <w:color w:val="000000"/>
        </w:rPr>
        <w:t>These matrices display working factor placements only. They are not the Q0360643 automated risk result because controlled formulas and thresholds have not been verified.</w:t>
      </w:r>
    </w:p>
    <w:p>
      <w:pPr>
        <w:pStyle w:val="Heading2"/>
      </w:pPr>
      <w:r>
        <w:rPr>
          <w:rFonts w:ascii="Calibri" w:hAnsi="Calibri"/>
          <w:b/>
          <w:sz w:val="26"/>
          <w:color w:val="2E74B5"/>
        </w:rPr>
        <w:t>6.6 Reconciliation checks</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2600"/>
        <w:gridCol w:w="1500"/>
        <w:gridCol w:w="5260"/>
      </w:tblGrid>
      <w:tr>
        <w:trPr>
          <w:cantSplit/>
          <w:tblHeader w:val="true"/>
        </w:trPr>
        <w:tc>
          <w:tcPr>
            <w:tcW w:type="dxa" w:w="26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Check</w:t>
            </w:r>
          </w:p>
        </w:tc>
        <w:tc>
          <w:tcPr>
            <w:tcW w:type="dxa" w:w="150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Result</w:t>
            </w:r>
          </w:p>
        </w:tc>
        <w:tc>
          <w:tcPr>
            <w:tcW w:type="dxa" w:w="526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Evidence</w:t>
            </w:r>
          </w:p>
        </w:tc>
      </w:tr>
      <w:tr>
        <w:trPr>
          <w:cantSplit/>
        </w:trPr>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URS catalogue coverage</w:t>
            </w:r>
          </w:p>
        </w:tc>
        <w:tc>
          <w:tcPr>
            <w:tcW w:type="dxa" w:w="15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50 / 50</w:t>
            </w:r>
          </w:p>
        </w:tc>
        <w:tc>
          <w:tcPr>
            <w:tcW w:type="dxa" w:w="52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Every baselined URS appears once in the detailed assessment and trace table.</w:t>
            </w:r>
          </w:p>
        </w:tc>
      </w:tr>
      <w:tr>
        <w:trPr>
          <w:cantSplit/>
        </w:trPr>
        <w:tc>
          <w:tcPr>
            <w:tcW w:type="dxa" w:w="2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Functional/non-functional split</w:t>
            </w:r>
          </w:p>
        </w:tc>
        <w:tc>
          <w:tcPr>
            <w:tcW w:type="dxa" w:w="15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25 / 25</w:t>
            </w:r>
          </w:p>
        </w:tc>
        <w:tc>
          <w:tcPr>
            <w:tcW w:type="dxa" w:w="52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Each requirement has one and only one class.</w:t>
            </w:r>
          </w:p>
        </w:tc>
      </w:tr>
      <w:tr>
        <w:trPr>
          <w:cantSplit/>
        </w:trPr>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Requirement-risk linkage</w:t>
            </w:r>
          </w:p>
        </w:tc>
        <w:tc>
          <w:tcPr>
            <w:tcW w:type="dxa" w:w="15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50 / 50</w:t>
            </w:r>
          </w:p>
        </w:tc>
        <w:tc>
          <w:tcPr>
            <w:tcW w:type="dxa" w:w="52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Every URS has at least one existing RSK-MES ID.</w:t>
            </w:r>
          </w:p>
        </w:tc>
      </w:tr>
      <w:tr>
        <w:trPr>
          <w:cantSplit/>
        </w:trPr>
        <w:tc>
          <w:tcPr>
            <w:tcW w:type="dxa" w:w="2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Risk-to-requirement linkage</w:t>
            </w:r>
          </w:p>
        </w:tc>
        <w:tc>
          <w:tcPr>
            <w:tcW w:type="dxa" w:w="15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26 / 26</w:t>
            </w:r>
          </w:p>
        </w:tc>
        <w:tc>
          <w:tcPr>
            <w:tcW w:type="dxa" w:w="52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Every risk appears in at least one assessed requirement.</w:t>
            </w:r>
          </w:p>
        </w:tc>
      </w:tr>
      <w:tr>
        <w:trPr>
          <w:cantSplit/>
        </w:trPr>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Working risk distribution</w:t>
            </w:r>
          </w:p>
        </w:tc>
        <w:tc>
          <w:tcPr>
            <w:tcW w:type="dxa" w:w="15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49 High / 1 Medium</w:t>
            </w:r>
          </w:p>
        </w:tc>
        <w:tc>
          <w:tcPr>
            <w:tcW w:type="dxa" w:w="52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Matches maximum linked ITRA working levels.</w:t>
            </w:r>
          </w:p>
        </w:tc>
      </w:tr>
      <w:tr>
        <w:trPr>
          <w:cantSplit/>
        </w:trPr>
        <w:tc>
          <w:tcPr>
            <w:tcW w:type="dxa" w:w="26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Verification-route coverage</w:t>
            </w:r>
          </w:p>
        </w:tc>
        <w:tc>
          <w:tcPr>
            <w:tcW w:type="dxa" w:w="15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50 / 50</w:t>
            </w:r>
          </w:p>
        </w:tc>
        <w:tc>
          <w:tcPr>
            <w:tcW w:type="dxa" w:w="52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Every requirement has provisional rigor and focus.</w:t>
            </w:r>
          </w:p>
        </w:tc>
      </w:tr>
      <w:tr>
        <w:trPr>
          <w:cantSplit/>
        </w:trPr>
        <w:tc>
          <w:tcPr>
            <w:tcW w:type="dxa" w:w="26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Residual acceptance</w:t>
            </w:r>
          </w:p>
        </w:tc>
        <w:tc>
          <w:tcPr>
            <w:tcW w:type="dxa" w:w="15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0 / 26</w:t>
            </w:r>
          </w:p>
        </w:tc>
        <w:tc>
          <w:tcPr>
            <w:tcW w:type="dxa" w:w="52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No premature rating or acceptance asserted.</w:t>
            </w:r>
          </w:p>
        </w:tc>
      </w:tr>
    </w:tbl>
    <w:p>
      <w:pPr>
        <w:spacing w:after="40"/>
      </w:pPr>
    </w:p>
    <w:p>
      <w:pPr>
        <w:pStyle w:val="Heading1"/>
      </w:pPr>
      <w:r>
        <w:rPr>
          <w:rFonts w:ascii="Calibri" w:hAnsi="Calibri"/>
          <w:b/>
          <w:sz w:val="32"/>
          <w:color w:val="2E74B5"/>
        </w:rPr>
        <w:t>7 Risk-based lifecycle activities</w:t>
      </w:r>
    </w:p>
    <w:p>
      <w:pPr>
        <w:pStyle w:val="Heading2"/>
      </w:pPr>
      <w:r>
        <w:rPr>
          <w:rFonts w:ascii="Calibri" w:hAnsi="Calibri"/>
          <w:b/>
          <w:sz w:val="26"/>
          <w:color w:val="2E74B5"/>
        </w:rPr>
        <w:t>7.1 Provisional verification strategy</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1250"/>
        <w:gridCol w:w="600"/>
        <w:gridCol w:w="1050"/>
        <w:gridCol w:w="1450"/>
        <w:gridCol w:w="1000"/>
        <w:gridCol w:w="1050"/>
        <w:gridCol w:w="1650"/>
        <w:gridCol w:w="1310"/>
      </w:tblGrid>
      <w:tr>
        <w:trPr>
          <w:cantSplit/>
          <w:tblHeader w:val="true"/>
        </w:trPr>
        <w:tc>
          <w:tcPr>
            <w:tcW w:type="dxa" w:w="1250"/>
            <w:tcMar>
              <w:top w:w="70" w:type="dxa"/>
              <w:start w:w="120" w:type="dxa"/>
              <w:bottom w:w="70" w:type="dxa"/>
              <w:end w:w="120" w:type="dxa"/>
            </w:tcMar>
            <w:shd w:fill="0B2545"/>
            <w:vAlign w:val="center"/>
          </w:tcPr>
          <w:p>
            <w:pPr>
              <w:spacing w:before="0" w:after="0" w:line="240" w:lineRule="auto"/>
              <w:jc w:val="center"/>
            </w:pPr>
            <w:r/>
            <w:r>
              <w:rPr>
                <w:rFonts w:ascii="Calibri" w:hAnsi="Calibri"/>
                <w:b/>
                <w:sz w:val="13"/>
                <w:color w:val="FFFFFF"/>
              </w:rPr>
              <w:t>Working level</w:t>
            </w:r>
          </w:p>
        </w:tc>
        <w:tc>
          <w:tcPr>
            <w:tcW w:type="dxa" w:w="600"/>
            <w:tcMar>
              <w:top w:w="70" w:type="dxa"/>
              <w:start w:w="120" w:type="dxa"/>
              <w:bottom w:w="70" w:type="dxa"/>
              <w:end w:w="120" w:type="dxa"/>
            </w:tcMar>
            <w:shd w:fill="0B2545"/>
            <w:vAlign w:val="center"/>
          </w:tcPr>
          <w:p>
            <w:pPr>
              <w:spacing w:before="0" w:after="0" w:line="240" w:lineRule="auto"/>
              <w:jc w:val="center"/>
            </w:pPr>
            <w:r/>
            <w:r>
              <w:rPr>
                <w:rFonts w:ascii="Calibri" w:hAnsi="Calibri"/>
                <w:b/>
                <w:sz w:val="13"/>
                <w:color w:val="FFFFFF"/>
              </w:rPr>
              <w:t>Count</w:t>
            </w:r>
          </w:p>
        </w:tc>
        <w:tc>
          <w:tcPr>
            <w:tcW w:type="dxa" w:w="105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Capability</w:t>
            </w:r>
          </w:p>
        </w:tc>
        <w:tc>
          <w:tcPr>
            <w:tcW w:type="dxa" w:w="145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Negative/boundary</w:t>
            </w:r>
          </w:p>
        </w:tc>
        <w:tc>
          <w:tcPr>
            <w:tcW w:type="dxa" w:w="100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Challenge</w:t>
            </w:r>
          </w:p>
        </w:tc>
        <w:tc>
          <w:tcPr>
            <w:tcW w:type="dxa" w:w="105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End-to-end</w:t>
            </w:r>
          </w:p>
        </w:tc>
        <w:tc>
          <w:tcPr>
            <w:tcW w:type="dxa" w:w="165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Scenario breadth</w:t>
            </w:r>
          </w:p>
        </w:tc>
        <w:tc>
          <w:tcPr>
            <w:tcW w:type="dxa" w:w="131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Evidence state</w:t>
            </w:r>
          </w:p>
        </w:tc>
      </w:tr>
      <w:tr>
        <w:trPr>
          <w:cantSplit/>
        </w:trPr>
        <w:tc>
          <w:tcPr>
            <w:tcW w:type="dxa" w:w="125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6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49</w:t>
            </w:r>
          </w:p>
        </w:tc>
        <w:tc>
          <w:tcPr>
            <w:tcW w:type="dxa" w:w="10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Required</w:t>
            </w:r>
          </w:p>
        </w:tc>
        <w:tc>
          <w:tcPr>
            <w:tcW w:type="dxa" w:w="14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Required where relevant</w:t>
            </w:r>
          </w:p>
        </w:tc>
        <w:tc>
          <w:tcPr>
            <w:tcW w:type="dxa" w:w="10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Required</w:t>
            </w:r>
          </w:p>
        </w:tc>
        <w:tc>
          <w:tcPr>
            <w:tcW w:type="dxa" w:w="10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Required</w:t>
            </w:r>
          </w:p>
        </w:tc>
        <w:tc>
          <w:tcPr>
            <w:tcW w:type="dxa" w:w="16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Multiple relevant scenarios</w:t>
            </w:r>
          </w:p>
        </w:tc>
        <w:tc>
          <w:tcPr>
            <w:tcW w:type="dxa" w:w="131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IDs not assigned</w:t>
            </w:r>
          </w:p>
        </w:tc>
      </w:tr>
      <w:tr>
        <w:trPr>
          <w:cantSplit/>
        </w:trPr>
        <w:tc>
          <w:tcPr>
            <w:tcW w:type="dxa" w:w="12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Medium</w:t>
            </w:r>
          </w:p>
        </w:tc>
        <w:tc>
          <w:tcPr>
            <w:tcW w:type="dxa" w:w="6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1</w:t>
            </w:r>
          </w:p>
        </w:tc>
        <w:tc>
          <w:tcPr>
            <w:tcW w:type="dxa" w:w="10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Required</w:t>
            </w:r>
          </w:p>
        </w:tc>
        <w:tc>
          <w:tcPr>
            <w:tcW w:type="dxa" w:w="14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Relevant at least once</w:t>
            </w:r>
          </w:p>
        </w:tc>
        <w:tc>
          <w:tcPr>
            <w:tcW w:type="dxa" w:w="10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Relevant</w:t>
            </w:r>
          </w:p>
        </w:tc>
        <w:tc>
          <w:tcPr>
            <w:tcW w:type="dxa" w:w="10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When in selected workflow</w:t>
            </w:r>
          </w:p>
        </w:tc>
        <w:tc>
          <w:tcPr>
            <w:tcW w:type="dxa" w:w="16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At least one relevant scenario</w:t>
            </w:r>
          </w:p>
        </w:tc>
        <w:tc>
          <w:tcPr>
            <w:tcW w:type="dxa" w:w="13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IDs not assigned</w:t>
            </w:r>
          </w:p>
        </w:tc>
      </w:tr>
      <w:tr>
        <w:trPr>
          <w:cantSplit/>
        </w:trPr>
        <w:tc>
          <w:tcPr>
            <w:tcW w:type="dxa" w:w="125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Low</w:t>
            </w:r>
          </w:p>
        </w:tc>
        <w:tc>
          <w:tcPr>
            <w:tcW w:type="dxa" w:w="6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0</w:t>
            </w:r>
          </w:p>
        </w:tc>
        <w:tc>
          <w:tcPr>
            <w:tcW w:type="dxa" w:w="10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Would remain required</w:t>
            </w:r>
          </w:p>
        </w:tc>
        <w:tc>
          <w:tcPr>
            <w:tcW w:type="dxa" w:w="14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Risk-based</w:t>
            </w:r>
          </w:p>
        </w:tc>
        <w:tc>
          <w:tcPr>
            <w:tcW w:type="dxa" w:w="10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Risk-based</w:t>
            </w:r>
          </w:p>
        </w:tc>
        <w:tc>
          <w:tcPr>
            <w:tcW w:type="dxa" w:w="10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Workflow/reference</w:t>
            </w:r>
          </w:p>
        </w:tc>
        <w:tc>
          <w:tcPr>
            <w:tcW w:type="dxa" w:w="16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Risk-based</w:t>
            </w:r>
          </w:p>
        </w:tc>
        <w:tc>
          <w:tcPr>
            <w:tcW w:type="dxa" w:w="131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Not applicable to portfolio</w:t>
            </w:r>
          </w:p>
        </w:tc>
      </w:tr>
    </w:tbl>
    <w:p>
      <w:pPr>
        <w:spacing w:after="40"/>
      </w:pPr>
    </w:p>
    <w:p>
      <w:pPr>
        <w:pStyle w:val="Heading2"/>
      </w:pPr>
      <w:r>
        <w:rPr>
          <w:rFonts w:ascii="Calibri" w:hAnsi="Calibri"/>
          <w:b/>
          <w:sz w:val="26"/>
          <w:color w:val="2E74B5"/>
        </w:rPr>
        <w:t>7.2 Domain-specific verification focus</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1800"/>
        <w:gridCol w:w="1400"/>
        <w:gridCol w:w="4000"/>
        <w:gridCol w:w="2160"/>
      </w:tblGrid>
      <w:tr>
        <w:trPr>
          <w:cantSplit/>
          <w:tblHeader w:val="true"/>
        </w:trPr>
        <w:tc>
          <w:tcPr>
            <w:tcW w:type="dxa" w:w="18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Domain</w:t>
            </w:r>
          </w:p>
        </w:tc>
        <w:tc>
          <w:tcPr>
            <w:tcW w:type="dxa" w:w="14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URS</w:t>
            </w:r>
          </w:p>
        </w:tc>
        <w:tc>
          <w:tcPr>
            <w:tcW w:type="dxa" w:w="40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Primary verification focus</w:t>
            </w:r>
          </w:p>
        </w:tc>
        <w:tc>
          <w:tcPr>
            <w:tcW w:type="dxa" w:w="216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Evidence route</w:t>
            </w:r>
          </w:p>
        </w:tc>
      </w:tr>
      <w:tr>
        <w:trPr>
          <w:cantSplit/>
        </w:trPr>
        <w:tc>
          <w:tcPr>
            <w:tcW w:type="dxa" w:w="18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Manufacturing workflow and EBR</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URS-MES-001 to 009</w:t>
            </w:r>
          </w:p>
        </w:tc>
        <w:tc>
          <w:tcPr>
            <w:tcW w:type="dxa" w:w="40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approved-state gating, positive/negative transitions, calculation and entry boundaries, review-by-exception, end-to-end batch flow, and source-to-EBR reconciliation</w:t>
            </w:r>
          </w:p>
        </w:tc>
        <w:tc>
          <w:tcPr>
            <w:tcW w:type="dxa" w:w="21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FS/DS/CS/IS and controlled test IDs to be assigned downstream</w:t>
            </w:r>
          </w:p>
        </w:tc>
      </w:tr>
      <w:tr>
        <w:trPr>
          <w:cantSplit/>
        </w:trPr>
        <w:tc>
          <w:tcPr>
            <w:tcW w:type="dxa" w:w="18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Electronic records and copies</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URS-MES-010, URS-MES-011</w:t>
            </w:r>
          </w:p>
        </w:tc>
        <w:tc>
          <w:tcPr>
            <w:tcW w:type="dxa" w:w="40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retention, retrieval, readability, copy completeness, metadata/signature linkage, access restriction, and long-record review</w:t>
            </w:r>
          </w:p>
        </w:tc>
        <w:tc>
          <w:tcPr>
            <w:tcW w:type="dxa" w:w="21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FS/DS/CS/IS and controlled test IDs to be assigned downstream</w:t>
            </w:r>
          </w:p>
        </w:tc>
      </w:tr>
      <w:tr>
        <w:trPr>
          <w:cantSplit/>
        </w:trPr>
        <w:tc>
          <w:tcPr>
            <w:tcW w:type="dxa" w:w="18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Identity and access control</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URS-MES-012 to 016</w:t>
            </w:r>
          </w:p>
        </w:tc>
        <w:tc>
          <w:tcPr>
            <w:tcW w:type="dxa" w:w="40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authentication/session challenges, role-positive and role-negative tests, provisioning/revocation, privilege restriction, segregation, and access-review evidence</w:t>
            </w:r>
          </w:p>
        </w:tc>
        <w:tc>
          <w:tcPr>
            <w:tcW w:type="dxa" w:w="21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FS/DS/CS/IS and controlled test IDs to be assigned downstream</w:t>
            </w:r>
          </w:p>
        </w:tc>
      </w:tr>
      <w:tr>
        <w:trPr>
          <w:cantSplit/>
        </w:trPr>
        <w:tc>
          <w:tcPr>
            <w:tcW w:type="dxa" w:w="18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Electronic signatures</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URS-MES-017 to 019</w:t>
            </w:r>
          </w:p>
        </w:tc>
        <w:tc>
          <w:tcPr>
            <w:tcW w:type="dxa" w:w="40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authorised/unauthorised signing, re-authentication, meaning display, record/version linkage, copying/excision resistance, and audit evidence</w:t>
            </w:r>
          </w:p>
        </w:tc>
        <w:tc>
          <w:tcPr>
            <w:tcW w:type="dxa" w:w="21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FS/DS/CS/IS and controlled test IDs to be assigned downstream</w:t>
            </w:r>
          </w:p>
        </w:tc>
      </w:tr>
      <w:tr>
        <w:trPr>
          <w:cantSplit/>
        </w:trPr>
        <w:tc>
          <w:tcPr>
            <w:tcW w:type="dxa" w:w="18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Audit trail</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URS-MES-020 to 023</w:t>
            </w:r>
          </w:p>
        </w:tc>
        <w:tc>
          <w:tcPr>
            <w:tcW w:type="dxa" w:w="40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event coverage, before/after values, reason enforcement, privileged-user resistance, time alignment, search/filter/export, review population, and disposition linkage</w:t>
            </w:r>
          </w:p>
        </w:tc>
        <w:tc>
          <w:tcPr>
            <w:tcW w:type="dxa" w:w="21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FS/DS/CS/IS and controlled test IDs to be assigned downstream</w:t>
            </w:r>
          </w:p>
        </w:tc>
      </w:tr>
      <w:tr>
        <w:trPr>
          <w:cantSplit/>
        </w:trPr>
        <w:tc>
          <w:tcPr>
            <w:tcW w:type="dxa" w:w="18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Data integrity and lifecycle</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URS-MES-024 to 027</w:t>
            </w:r>
          </w:p>
        </w:tc>
        <w:tc>
          <w:tcPr>
            <w:tcW w:type="dxa" w:w="40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ALCOA+ challenge, time consistency, correction auditability, source-to-target reconciliation, metadata/signature/audit preservation, and migration or restore review</w:t>
            </w:r>
          </w:p>
        </w:tc>
        <w:tc>
          <w:tcPr>
            <w:tcW w:type="dxa" w:w="21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FS/DS/CS/IS and controlled test IDs to be assigned downstream</w:t>
            </w:r>
          </w:p>
        </w:tc>
      </w:tr>
      <w:tr>
        <w:trPr>
          <w:cantSplit/>
        </w:trPr>
        <w:tc>
          <w:tcPr>
            <w:tcW w:type="dxa" w:w="18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Interfaces and integration</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URS-MES-028 to 036</w:t>
            </w:r>
          </w:p>
        </w:tc>
        <w:tc>
          <w:tcPr>
            <w:tcW w:type="dxa" w:w="40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normal, invalid, duplicate, missing, late, out-of-sequence, retry/replay, communication-loss, safe-failure, mapping, acknowledgement, and end-to-end reconciliation scenarios</w:t>
            </w:r>
          </w:p>
        </w:tc>
        <w:tc>
          <w:tcPr>
            <w:tcW w:type="dxa" w:w="21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FS/DS/CS/IS and controlled test IDs to be assigned downstream</w:t>
            </w:r>
          </w:p>
        </w:tc>
      </w:tr>
      <w:tr>
        <w:trPr>
          <w:cantSplit/>
        </w:trPr>
        <w:tc>
          <w:tcPr>
            <w:tcW w:type="dxa" w:w="18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Availability, backup and recovery</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URS-MES-037 to 040</w:t>
            </w:r>
          </w:p>
        </w:tc>
        <w:tc>
          <w:tcPr>
            <w:tcW w:type="dxa" w:w="40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backup scope/failure monitoring, representative restore, corruption and access checks, dependency recovery, objective evidence, active-batch/interface reconciliation, and controlled restart</w:t>
            </w:r>
          </w:p>
        </w:tc>
        <w:tc>
          <w:tcPr>
            <w:tcW w:type="dxa" w:w="21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FS/DS/CS/IS and controlled test IDs to be assigned downstream</w:t>
            </w:r>
          </w:p>
        </w:tc>
      </w:tr>
      <w:tr>
        <w:trPr>
          <w:cantSplit/>
        </w:trPr>
        <w:tc>
          <w:tcPr>
            <w:tcW w:type="dxa" w:w="18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Reporting and review views</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URS-MES-041 to 044</w:t>
            </w:r>
          </w:p>
        </w:tc>
        <w:tc>
          <w:tcPr>
            <w:tcW w:type="dxa" w:w="40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source-to-report reconciliation, filter and selection boundaries, access, provenance, stale/late data, underlying-record drill-back, export protection, and reviewer interpretation</w:t>
            </w:r>
          </w:p>
        </w:tc>
        <w:tc>
          <w:tcPr>
            <w:tcW w:type="dxa" w:w="21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FS/DS/CS/IS and controlled test IDs to be assigned downstream</w:t>
            </w:r>
          </w:p>
        </w:tc>
      </w:tr>
      <w:tr>
        <w:trPr>
          <w:cantSplit/>
        </w:trPr>
        <w:tc>
          <w:tcPr>
            <w:tcW w:type="dxa" w:w="18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Operations, supplier and maintained state</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URS-MES-045 to 050</w:t>
            </w:r>
          </w:p>
        </w:tc>
        <w:tc>
          <w:tcPr>
            <w:tcW w:type="dxa" w:w="40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monitor/alert routing, incident and workaround evidence, change impact/baseline promotion, supplier notification/evidence, periodic-review inputs, training/qualification and approved-exception handling</w:t>
            </w:r>
          </w:p>
        </w:tc>
        <w:tc>
          <w:tcPr>
            <w:tcW w:type="dxa" w:w="21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FS/DS/CS/IS and controlled test IDs to be assigned downstream</w:t>
            </w:r>
          </w:p>
        </w:tc>
      </w:tr>
    </w:tbl>
    <w:p>
      <w:pPr>
        <w:spacing w:after="40"/>
      </w:pPr>
    </w:p>
    <w:p>
      <w:pPr>
        <w:pStyle w:val="Heading2"/>
      </w:pPr>
      <w:r>
        <w:rPr>
          <w:rFonts w:ascii="Calibri" w:hAnsi="Calibri"/>
          <w:b/>
          <w:sz w:val="26"/>
          <w:color w:val="2E74B5"/>
        </w:rPr>
        <w:t>7.3 Evidence-state rules</w:t>
      </w:r>
    </w:p>
    <w:p>
      <w:pPr>
        <w:pStyle w:val="ListBullet"/>
        <w:spacing w:after="60" w:line="240" w:lineRule="auto"/>
      </w:pPr>
      <w:r>
        <w:rPr>
          <w:rFonts w:ascii="Calibri" w:hAnsi="Calibri"/>
          <w:sz w:val="20"/>
          <w:color w:val="000000"/>
        </w:rPr>
        <w:t>A planned control is a treatment decision, not implementation evidence.</w:t>
      </w:r>
    </w:p>
    <w:p>
      <w:pPr>
        <w:pStyle w:val="ListBullet"/>
        <w:spacing w:after="60" w:line="240" w:lineRule="auto"/>
      </w:pPr>
      <w:r>
        <w:rPr>
          <w:rFonts w:ascii="Calibri" w:hAnsi="Calibri"/>
          <w:sz w:val="20"/>
          <w:color w:val="000000"/>
        </w:rPr>
        <w:t>A specification reference may demonstrate design intent but not control effectiveness.</w:t>
      </w:r>
    </w:p>
    <w:p>
      <w:pPr>
        <w:pStyle w:val="ListBullet"/>
        <w:spacing w:after="60" w:line="240" w:lineRule="auto"/>
      </w:pPr>
      <w:r>
        <w:rPr>
          <w:rFonts w:ascii="Calibri" w:hAnsi="Calibri"/>
          <w:sz w:val="20"/>
          <w:color w:val="000000"/>
        </w:rPr>
        <w:t>A test case ID may be added only after a controlled test record exists; until then the state is Not yet assigned.</w:t>
      </w:r>
    </w:p>
    <w:p>
      <w:pPr>
        <w:pStyle w:val="ListBullet"/>
        <w:spacing w:after="60" w:line="240" w:lineRule="auto"/>
      </w:pPr>
      <w:r>
        <w:rPr>
          <w:rFonts w:ascii="Calibri" w:hAnsi="Calibri"/>
          <w:sz w:val="20"/>
          <w:color w:val="000000"/>
        </w:rPr>
        <w:t>A requirement remains Not Run until contemporaneous execution evidence exists, even if the document is simulated approved.</w:t>
      </w:r>
    </w:p>
    <w:p>
      <w:pPr>
        <w:pStyle w:val="ListBullet"/>
        <w:spacing w:after="60" w:line="240" w:lineRule="auto"/>
      </w:pPr>
      <w:r>
        <w:rPr>
          <w:rFonts w:ascii="Calibri" w:hAnsi="Calibri"/>
          <w:sz w:val="20"/>
          <w:color w:val="000000"/>
        </w:rPr>
        <w:t>Defect/deviation, incident or change IDs are referenced only when an explicit dummy record exists; none exist at this stage.</w:t>
      </w:r>
    </w:p>
    <w:p>
      <w:pPr>
        <w:pStyle w:val="ListBullet"/>
        <w:spacing w:after="60" w:line="240" w:lineRule="auto"/>
      </w:pPr>
      <w:r>
        <w:rPr>
          <w:rFonts w:ascii="Calibri" w:hAnsi="Calibri"/>
          <w:sz w:val="20"/>
          <w:color w:val="000000"/>
        </w:rPr>
        <w:t>Residual-risk rating and acceptance require review of implemented controls, valid evidence, exceptions and operational dependencies.</w:t>
      </w:r>
    </w:p>
    <w:p>
      <w:pPr>
        <w:pStyle w:val="Heading2"/>
      </w:pPr>
      <w:r>
        <w:rPr>
          <w:rFonts w:ascii="Calibri" w:hAnsi="Calibri"/>
          <w:b/>
          <w:sz w:val="26"/>
          <w:color w:val="2E74B5"/>
        </w:rPr>
        <w:t>7.4 Downstream handoff</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2100"/>
        <w:gridCol w:w="2200"/>
        <w:gridCol w:w="5060"/>
      </w:tblGrid>
      <w:tr>
        <w:trPr>
          <w:cantSplit/>
          <w:tblHeader w:val="true"/>
        </w:trPr>
        <w:tc>
          <w:tcPr>
            <w:tcW w:type="dxa" w:w="21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Document ID</w:t>
            </w:r>
          </w:p>
        </w:tc>
        <w:tc>
          <w:tcPr>
            <w:tcW w:type="dxa" w:w="22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Handoff</w:t>
            </w:r>
          </w:p>
        </w:tc>
        <w:tc>
          <w:tcPr>
            <w:tcW w:type="dxa" w:w="506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Required use of this ITRRA</w:t>
            </w:r>
          </w:p>
        </w:tc>
      </w:tr>
      <w:tr>
        <w:trPr>
          <w:cantSplit/>
        </w:trPr>
        <w:tc>
          <w:tcPr>
            <w:tcW w:type="dxa" w:w="21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NL-MES-SUPA-001</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Supplier Assessment</w:t>
            </w:r>
          </w:p>
        </w:tc>
        <w:tc>
          <w:tcPr>
            <w:tcW w:type="dxa" w:w="5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Confirm supplier/service evidence, shared responsibilities, change/vulnerability notification and continuity obligations.</w:t>
            </w:r>
          </w:p>
        </w:tc>
      </w:tr>
      <w:tr>
        <w:trPr>
          <w:cantSplit/>
        </w:trPr>
        <w:tc>
          <w:tcPr>
            <w:tcW w:type="dxa" w:w="21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NL-MES-FS-001</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Functional Specification</w:t>
            </w:r>
          </w:p>
        </w:tc>
        <w:tc>
          <w:tcPr>
            <w:tcW w:type="dxa" w:w="5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Decompose functional URS and preserve control, factor and risk linkage.</w:t>
            </w:r>
          </w:p>
        </w:tc>
      </w:tr>
      <w:tr>
        <w:trPr>
          <w:cantSplit/>
        </w:trPr>
        <w:tc>
          <w:tcPr>
            <w:tcW w:type="dxa" w:w="21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NL-MES-IS-001</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Integration Specification</w:t>
            </w:r>
          </w:p>
        </w:tc>
        <w:tc>
          <w:tcPr>
            <w:tcW w:type="dxa" w:w="5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Define messages, source authority, mapping, errors, acknowledgements, safe failure and reconciliation.</w:t>
            </w:r>
          </w:p>
        </w:tc>
      </w:tr>
      <w:tr>
        <w:trPr>
          <w:cantSplit/>
        </w:trPr>
        <w:tc>
          <w:tcPr>
            <w:tcW w:type="dxa" w:w="21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NL-MES-DS-001</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Design Specification</w:t>
            </w:r>
          </w:p>
        </w:tc>
        <w:tc>
          <w:tcPr>
            <w:tcW w:type="dxa" w:w="5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Resolve architecture, implementation category, security, availability and data-flow design.</w:t>
            </w:r>
          </w:p>
        </w:tc>
      </w:tr>
      <w:tr>
        <w:trPr>
          <w:cantSplit/>
        </w:trPr>
        <w:tc>
          <w:tcPr>
            <w:tcW w:type="dxa" w:w="21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NL-MES-CS-001</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Configuration Specification</w:t>
            </w:r>
          </w:p>
        </w:tc>
        <w:tc>
          <w:tcPr>
            <w:tcW w:type="dxa" w:w="5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Baseline roles, workflow, recipes, parameters, signatures, audit, reports and monitoring.</w:t>
            </w:r>
          </w:p>
        </w:tc>
      </w:tr>
      <w:tr>
        <w:trPr>
          <w:cantSplit/>
        </w:trPr>
        <w:tc>
          <w:tcPr>
            <w:tcW w:type="dxa" w:w="21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NL-MES-DIA/DRR-001</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Data Integrity / Design Review</w:t>
            </w:r>
          </w:p>
        </w:tc>
        <w:tc>
          <w:tcPr>
            <w:tcW w:type="dxa" w:w="5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Confirm critical aspects, control adequacy, open actions and design readiness.</w:t>
            </w:r>
          </w:p>
        </w:tc>
      </w:tr>
      <w:tr>
        <w:trPr>
          <w:cantSplit/>
        </w:trPr>
        <w:tc>
          <w:tcPr>
            <w:tcW w:type="dxa" w:w="21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NL-MES-TRM/IQP/IQTC-001</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Traceability / Verification</w:t>
            </w:r>
          </w:p>
        </w:tc>
        <w:tc>
          <w:tcPr>
            <w:tcW w:type="dxa" w:w="5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Create controlled test IDs and demonstrate required rigor with reviewed evidence.</w:t>
            </w:r>
          </w:p>
        </w:tc>
      </w:tr>
    </w:tbl>
    <w:p>
      <w:pPr>
        <w:spacing w:after="40"/>
      </w:pPr>
    </w:p>
    <w:p>
      <w:pPr>
        <w:pStyle w:val="Heading1"/>
      </w:pPr>
      <w:r>
        <w:rPr>
          <w:rFonts w:ascii="Calibri" w:hAnsi="Calibri"/>
          <w:b/>
          <w:sz w:val="32"/>
          <w:color w:val="2E74B5"/>
        </w:rPr>
        <w:t>8 Shared master risk register update</w:t>
      </w:r>
    </w:p>
    <w:p>
      <w:pPr>
        <w:keepLines w:val="0"/>
        <w:spacing w:after="100" w:line="252" w:lineRule="auto"/>
      </w:pPr>
      <w:r>
        <w:rPr>
          <w:rFonts w:ascii="Calibri" w:hAnsi="Calibri"/>
          <w:sz w:val="21"/>
          <w:color w:val="000000"/>
        </w:rPr>
        <w:t>The ITRRA does not create new risk IDs. It provides a requirement-level view of the same 26 risks and records that requirement assessment and verification routing are complete while controls, evidence, residual rating and acceptance remain open.</w:t>
      </w:r>
    </w:p>
    <w:p>
      <w:pPr>
        <w:pStyle w:val="Heading2"/>
      </w:pPr>
      <w:r>
        <w:rPr>
          <w:rFonts w:ascii="Calibri" w:hAnsi="Calibri"/>
          <w:b/>
          <w:sz w:val="26"/>
          <w:color w:val="2E74B5"/>
        </w:rPr>
        <w:t>8.1 Risk portfolio overview</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900"/>
        <w:gridCol w:w="1400"/>
        <w:gridCol w:w="2450"/>
        <w:gridCol w:w="1100"/>
        <w:gridCol w:w="700"/>
        <w:gridCol w:w="1000"/>
        <w:gridCol w:w="1810"/>
      </w:tblGrid>
      <w:tr>
        <w:trPr>
          <w:cantSplit/>
          <w:tblHeader w:val="true"/>
        </w:trPr>
        <w:tc>
          <w:tcPr>
            <w:tcW w:type="dxa" w:w="900"/>
            <w:tcMar>
              <w:top w:w="70" w:type="dxa"/>
              <w:start w:w="120" w:type="dxa"/>
              <w:bottom w:w="70" w:type="dxa"/>
              <w:end w:w="120" w:type="dxa"/>
            </w:tcMar>
            <w:shd w:fill="0B2545"/>
            <w:vAlign w:val="center"/>
          </w:tcPr>
          <w:p>
            <w:pPr>
              <w:spacing w:before="0" w:after="0" w:line="240" w:lineRule="auto"/>
              <w:jc w:val="center"/>
            </w:pPr>
            <w:r/>
            <w:r>
              <w:rPr>
                <w:rFonts w:ascii="Calibri" w:hAnsi="Calibri"/>
                <w:b/>
                <w:sz w:val="13"/>
                <w:color w:val="FFFFFF"/>
              </w:rPr>
              <w:t>Risk ID</w:t>
            </w:r>
          </w:p>
        </w:tc>
        <w:tc>
          <w:tcPr>
            <w:tcW w:type="dxa" w:w="140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Domain</w:t>
            </w:r>
          </w:p>
        </w:tc>
        <w:tc>
          <w:tcPr>
            <w:tcW w:type="dxa" w:w="245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Scenario</w:t>
            </w:r>
          </w:p>
        </w:tc>
        <w:tc>
          <w:tcPr>
            <w:tcW w:type="dxa" w:w="1100"/>
            <w:tcMar>
              <w:top w:w="70" w:type="dxa"/>
              <w:start w:w="120" w:type="dxa"/>
              <w:bottom w:w="70" w:type="dxa"/>
              <w:end w:w="120" w:type="dxa"/>
            </w:tcMar>
            <w:shd w:fill="0B2545"/>
            <w:vAlign w:val="center"/>
          </w:tcPr>
          <w:p>
            <w:pPr>
              <w:spacing w:before="0" w:after="0" w:line="240" w:lineRule="auto"/>
              <w:jc w:val="center"/>
            </w:pPr>
            <w:r/>
            <w:r>
              <w:rPr>
                <w:rFonts w:ascii="Calibri" w:hAnsi="Calibri"/>
                <w:b/>
                <w:sz w:val="13"/>
                <w:color w:val="FFFFFF"/>
              </w:rPr>
              <w:t>ITRA gross</w:t>
            </w:r>
          </w:p>
        </w:tc>
        <w:tc>
          <w:tcPr>
            <w:tcW w:type="dxa" w:w="700"/>
            <w:tcMar>
              <w:top w:w="70" w:type="dxa"/>
              <w:start w:w="120" w:type="dxa"/>
              <w:bottom w:w="70" w:type="dxa"/>
              <w:end w:w="120" w:type="dxa"/>
            </w:tcMar>
            <w:shd w:fill="0B2545"/>
            <w:vAlign w:val="center"/>
          </w:tcPr>
          <w:p>
            <w:pPr>
              <w:spacing w:before="0" w:after="0" w:line="240" w:lineRule="auto"/>
              <w:jc w:val="center"/>
            </w:pPr>
            <w:r/>
            <w:r>
              <w:rPr>
                <w:rFonts w:ascii="Calibri" w:hAnsi="Calibri"/>
                <w:b/>
                <w:sz w:val="13"/>
                <w:color w:val="FFFFFF"/>
              </w:rPr>
              <w:t>URS count</w:t>
            </w:r>
          </w:p>
        </w:tc>
        <w:tc>
          <w:tcPr>
            <w:tcW w:type="dxa" w:w="1000"/>
            <w:tcMar>
              <w:top w:w="70" w:type="dxa"/>
              <w:start w:w="120" w:type="dxa"/>
              <w:bottom w:w="70" w:type="dxa"/>
              <w:end w:w="120" w:type="dxa"/>
            </w:tcMar>
            <w:shd w:fill="0B2545"/>
            <w:vAlign w:val="center"/>
          </w:tcPr>
          <w:p>
            <w:pPr>
              <w:spacing w:before="0" w:after="0" w:line="240" w:lineRule="auto"/>
              <w:jc w:val="center"/>
            </w:pPr>
            <w:r/>
            <w:r>
              <w:rPr>
                <w:rFonts w:ascii="Calibri" w:hAnsi="Calibri"/>
                <w:b/>
                <w:sz w:val="13"/>
                <w:color w:val="FFFFFF"/>
              </w:rPr>
              <w:t>Req. max</w:t>
            </w:r>
          </w:p>
        </w:tc>
        <w:tc>
          <w:tcPr>
            <w:tcW w:type="dxa" w:w="181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ITRRA state</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RSK-MES-001</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Manufacturing / product</w:t>
            </w:r>
          </w:p>
        </w:tc>
        <w:tc>
          <w:tcPr>
            <w:tcW w:type="dxa" w:w="24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Unapproved order, recipe, or execution state</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5</w:t>
            </w:r>
          </w:p>
        </w:tc>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RSK-MES-002</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Manufacturing / data</w:t>
            </w:r>
          </w:p>
        </w:tc>
        <w:tc>
          <w:tcPr>
            <w:tcW w:type="dxa" w:w="24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Incorrect or incomplete execution data and calculations</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3</w:t>
            </w:r>
          </w:p>
        </w:tc>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RSK-MES-003</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Manufacturing / quality</w:t>
            </w:r>
          </w:p>
        </w:tc>
        <w:tc>
          <w:tcPr>
            <w:tcW w:type="dxa" w:w="24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Incomplete batch completion, exception disposition, or review</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6</w:t>
            </w:r>
          </w:p>
        </w:tc>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RSK-MES-004</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Records / retention</w:t>
            </w:r>
          </w:p>
        </w:tc>
        <w:tc>
          <w:tcPr>
            <w:tcW w:type="dxa" w:w="24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Loss, unreadability, or incomplete copy of regulated records</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4</w:t>
            </w:r>
          </w:p>
        </w:tc>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RSK-MES-005</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Security / access</w:t>
            </w:r>
          </w:p>
        </w:tc>
        <w:tc>
          <w:tcPr>
            <w:tcW w:type="dxa" w:w="24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Unauthorised or excessive access</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7</w:t>
            </w:r>
          </w:p>
        </w:tc>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RSK-MES-006</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Security / identity</w:t>
            </w:r>
          </w:p>
        </w:tc>
        <w:tc>
          <w:tcPr>
            <w:tcW w:type="dxa" w:w="24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Credential, session, or service-account compromise</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4</w:t>
            </w:r>
          </w:p>
        </w:tc>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RSK-MES-007</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GxP evidence / signature</w:t>
            </w:r>
          </w:p>
        </w:tc>
        <w:tc>
          <w:tcPr>
            <w:tcW w:type="dxa" w:w="24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Invalid or non-attributable electronic signature</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6</w:t>
            </w:r>
          </w:p>
        </w:tc>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RSK-MES-008</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GxP evidence / audit trail</w:t>
            </w:r>
          </w:p>
        </w:tc>
        <w:tc>
          <w:tcPr>
            <w:tcW w:type="dxa" w:w="24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Incomplete, alterable, or ineffective audit trail</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7</w:t>
            </w:r>
          </w:p>
        </w:tc>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RSK-MES-009</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Data integrity / time</w:t>
            </w:r>
          </w:p>
        </w:tc>
        <w:tc>
          <w:tcPr>
            <w:tcW w:type="dxa" w:w="24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Inconsistent time and chronology</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Medium</w:t>
            </w:r>
          </w:p>
        </w:tc>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1</w:t>
            </w:r>
          </w:p>
        </w:tc>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Medium</w:t>
            </w:r>
          </w:p>
        </w:tc>
        <w:tc>
          <w:tcPr>
            <w:tcW w:type="dxa" w:w="181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RSK-MES-010</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Data integrity</w:t>
            </w:r>
          </w:p>
        </w:tc>
        <w:tc>
          <w:tcPr>
            <w:tcW w:type="dxa" w:w="24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Uncontrolled correction, deletion, or record lifecycle</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8</w:t>
            </w:r>
          </w:p>
        </w:tc>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RSK-MES-011</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Integration / ERP</w:t>
            </w:r>
          </w:p>
        </w:tc>
        <w:tc>
          <w:tcPr>
            <w:tcW w:type="dxa" w:w="24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ERP order/master-data or confirmation interface failure</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3</w:t>
            </w:r>
          </w:p>
        </w:tc>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RSK-MES-012</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Integration / LIMS</w:t>
            </w:r>
          </w:p>
        </w:tc>
        <w:tc>
          <w:tcPr>
            <w:tcW w:type="dxa" w:w="24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LIMS sample, result, or disposition interface failure</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3</w:t>
            </w:r>
          </w:p>
        </w:tc>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RSK-MES-013</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Integration / automation</w:t>
            </w:r>
          </w:p>
        </w:tc>
        <w:tc>
          <w:tcPr>
            <w:tcW w:type="dxa" w:w="24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Automation command, state, or measurement mismatch</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6</w:t>
            </w:r>
          </w:p>
        </w:tc>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RSK-MES-014</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Integration / reporting</w:t>
            </w:r>
          </w:p>
        </w:tc>
        <w:tc>
          <w:tcPr>
            <w:tcW w:type="dxa" w:w="24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Historian/reporting publication is incomplete or misleading</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4</w:t>
            </w:r>
          </w:p>
        </w:tc>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RSK-MES-015</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Integration / common control</w:t>
            </w:r>
          </w:p>
        </w:tc>
        <w:tc>
          <w:tcPr>
            <w:tcW w:type="dxa" w:w="24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Cross-interface integrity, monitoring, or reconciliation failure</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12</w:t>
            </w:r>
          </w:p>
        </w:tc>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RSK-MES-016</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Continuity / availability</w:t>
            </w:r>
          </w:p>
        </w:tc>
        <w:tc>
          <w:tcPr>
            <w:tcW w:type="dxa" w:w="24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Application or infrastructure unavailability and capacity exhaustion</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3</w:t>
            </w:r>
          </w:p>
        </w:tc>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RSK-MES-017</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Continuity / backup</w:t>
            </w:r>
          </w:p>
        </w:tc>
        <w:tc>
          <w:tcPr>
            <w:tcW w:type="dxa" w:w="24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Backup is incomplete, corrupt, unavailable, or outside need</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5</w:t>
            </w:r>
          </w:p>
        </w:tc>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RSK-MES-018</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Continuity / recovery</w:t>
            </w:r>
          </w:p>
        </w:tc>
        <w:tc>
          <w:tcPr>
            <w:tcW w:type="dxa" w:w="24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Recovery fails objectives or creates inconsistent state</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4</w:t>
            </w:r>
          </w:p>
        </w:tc>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RSK-MES-019</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Security / technology</w:t>
            </w:r>
          </w:p>
        </w:tc>
        <w:tc>
          <w:tcPr>
            <w:tcW w:type="dxa" w:w="24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Cyber vulnerability, malware, or insecure component</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8</w:t>
            </w:r>
          </w:p>
        </w:tc>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RSK-MES-020</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Supplier / service</w:t>
            </w:r>
          </w:p>
        </w:tc>
        <w:tc>
          <w:tcPr>
            <w:tcW w:type="dxa" w:w="24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Supplier or shared-service controls are unclear or ineffective</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3</w:t>
            </w:r>
          </w:p>
        </w:tc>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RSK-MES-021</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Lifecycle / change</w:t>
            </w:r>
          </w:p>
        </w:tc>
        <w:tc>
          <w:tcPr>
            <w:tcW w:type="dxa" w:w="24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Uncontrolled change, configuration, or promotion</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3</w:t>
            </w:r>
          </w:p>
        </w:tc>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RSK-MES-022</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Lifecycle / incident</w:t>
            </w:r>
          </w:p>
        </w:tc>
        <w:tc>
          <w:tcPr>
            <w:tcW w:type="dxa" w:w="24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Incident or problem handling fails to protect GxP state</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5</w:t>
            </w:r>
          </w:p>
        </w:tc>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RSK-MES-023</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Reporting / evidence</w:t>
            </w:r>
          </w:p>
        </w:tc>
        <w:tc>
          <w:tcPr>
            <w:tcW w:type="dxa" w:w="24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Controlled report or extract is misinterpreted or altered</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Medium</w:t>
            </w:r>
          </w:p>
        </w:tc>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5</w:t>
            </w:r>
          </w:p>
        </w:tc>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RSK-MES-024</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Lifecycle / maintained state</w:t>
            </w:r>
          </w:p>
        </w:tc>
        <w:tc>
          <w:tcPr>
            <w:tcW w:type="dxa" w:w="24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Maintained-state controls, review, or training become ineffective</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Medium</w:t>
            </w:r>
          </w:p>
        </w:tc>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8</w:t>
            </w:r>
          </w:p>
        </w:tc>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RSK-MES-025</w:t>
            </w:r>
          </w:p>
        </w:tc>
        <w:tc>
          <w:tcPr>
            <w:tcW w:type="dxa" w:w="1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Privacy / personal data</w:t>
            </w:r>
          </w:p>
        </w:tc>
        <w:tc>
          <w:tcPr>
            <w:tcW w:type="dxa" w:w="245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Personal data processing is excessive or insufficiently protected</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Medium</w:t>
            </w:r>
          </w:p>
        </w:tc>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2</w:t>
            </w:r>
          </w:p>
        </w:tc>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Requirement assessment complete; controls/evidence open</w:t>
            </w:r>
          </w:p>
        </w:tc>
      </w:tr>
      <w:tr>
        <w:trPr>
          <w:cantSplit/>
        </w:trPr>
        <w:tc>
          <w:tcPr>
            <w:tcW w:type="dxa" w:w="9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RSK-MES-026</w:t>
            </w:r>
          </w:p>
        </w:tc>
        <w:tc>
          <w:tcPr>
            <w:tcW w:type="dxa" w:w="1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Data integrity / migration</w:t>
            </w:r>
          </w:p>
        </w:tc>
        <w:tc>
          <w:tcPr>
            <w:tcW w:type="dxa" w:w="24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Initial load or migration loses content and meaning</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 if applicable</w:t>
            </w:r>
          </w:p>
        </w:tc>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3</w:t>
            </w:r>
          </w:p>
        </w:tc>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18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Requirement assessment complete; migration applicability Verify</w:t>
            </w:r>
          </w:p>
        </w:tc>
      </w:tr>
    </w:tbl>
    <w:p>
      <w:pPr>
        <w:spacing w:after="40"/>
      </w:pPr>
    </w:p>
    <w:p>
      <w:pPr>
        <w:pStyle w:val="Heading2"/>
      </w:pPr>
      <w:r>
        <w:rPr>
          <w:rFonts w:ascii="Calibri" w:hAnsi="Calibri"/>
          <w:b/>
          <w:sz w:val="26"/>
          <w:color w:val="2E74B5"/>
        </w:rPr>
        <w:t>8.2 Risk-to-requirement and rigor index</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1000"/>
        <w:gridCol w:w="3900"/>
        <w:gridCol w:w="1700"/>
        <w:gridCol w:w="2760"/>
      </w:tblGrid>
      <w:tr>
        <w:trPr>
          <w:cantSplit/>
          <w:tblHeader w:val="true"/>
        </w:trPr>
        <w:tc>
          <w:tcPr>
            <w:tcW w:type="dxa" w:w="1000"/>
            <w:tcMar>
              <w:top w:w="70" w:type="dxa"/>
              <w:start w:w="120" w:type="dxa"/>
              <w:bottom w:w="70" w:type="dxa"/>
              <w:end w:w="120" w:type="dxa"/>
            </w:tcMar>
            <w:shd w:fill="0B2545"/>
            <w:vAlign w:val="center"/>
          </w:tcPr>
          <w:p>
            <w:pPr>
              <w:spacing w:before="0" w:after="0" w:line="240" w:lineRule="auto"/>
              <w:jc w:val="center"/>
            </w:pPr>
            <w:r/>
            <w:r>
              <w:rPr>
                <w:rFonts w:ascii="Calibri" w:hAnsi="Calibri"/>
                <w:b/>
                <w:sz w:val="14"/>
                <w:color w:val="FFFFFF"/>
              </w:rPr>
              <w:t>Risk ID</w:t>
            </w:r>
          </w:p>
        </w:tc>
        <w:tc>
          <w:tcPr>
            <w:tcW w:type="dxa" w:w="3900"/>
            <w:tcMar>
              <w:top w:w="70" w:type="dxa"/>
              <w:start w:w="120" w:type="dxa"/>
              <w:bottom w:w="70" w:type="dxa"/>
              <w:end w:w="120" w:type="dxa"/>
            </w:tcMar>
            <w:shd w:fill="0B2545"/>
            <w:vAlign w:val="center"/>
          </w:tcPr>
          <w:p>
            <w:pPr>
              <w:spacing w:before="0" w:after="0" w:line="240" w:lineRule="auto"/>
              <w:jc w:val="left"/>
            </w:pPr>
            <w:r/>
            <w:r>
              <w:rPr>
                <w:rFonts w:ascii="Calibri" w:hAnsi="Calibri"/>
                <w:b/>
                <w:sz w:val="14"/>
                <w:color w:val="FFFFFF"/>
              </w:rPr>
              <w:t>Affected requirements</w:t>
            </w:r>
          </w:p>
        </w:tc>
        <w:tc>
          <w:tcPr>
            <w:tcW w:type="dxa" w:w="1700"/>
            <w:tcMar>
              <w:top w:w="70" w:type="dxa"/>
              <w:start w:w="120" w:type="dxa"/>
              <w:bottom w:w="70" w:type="dxa"/>
              <w:end w:w="120" w:type="dxa"/>
            </w:tcMar>
            <w:shd w:fill="0B2545"/>
            <w:vAlign w:val="center"/>
          </w:tcPr>
          <w:p>
            <w:pPr>
              <w:spacing w:before="0" w:after="0" w:line="240" w:lineRule="auto"/>
              <w:jc w:val="center"/>
            </w:pPr>
            <w:r/>
            <w:r>
              <w:rPr>
                <w:rFonts w:ascii="Calibri" w:hAnsi="Calibri"/>
                <w:b/>
                <w:sz w:val="14"/>
                <w:color w:val="FFFFFF"/>
              </w:rPr>
              <w:t>Provisional rigor</w:t>
            </w:r>
          </w:p>
        </w:tc>
        <w:tc>
          <w:tcPr>
            <w:tcW w:type="dxa" w:w="2760"/>
            <w:tcMar>
              <w:top w:w="70" w:type="dxa"/>
              <w:start w:w="120" w:type="dxa"/>
              <w:bottom w:w="70" w:type="dxa"/>
              <w:end w:w="120" w:type="dxa"/>
            </w:tcMar>
            <w:shd w:fill="0B2545"/>
            <w:vAlign w:val="center"/>
          </w:tcPr>
          <w:p>
            <w:pPr>
              <w:spacing w:before="0" w:after="0" w:line="240" w:lineRule="auto"/>
              <w:jc w:val="left"/>
            </w:pPr>
            <w:r/>
            <w:r>
              <w:rPr>
                <w:rFonts w:ascii="Calibri" w:hAnsi="Calibri"/>
                <w:b/>
                <w:sz w:val="14"/>
                <w:color w:val="FFFFFF"/>
              </w:rPr>
              <w:t>Residual / acceptance / status</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RSK-MES-001</w:t>
            </w:r>
          </w:p>
        </w:tc>
        <w:tc>
          <w:tcPr>
            <w:tcW w:type="dxa" w:w="39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URS-MES-001, URS-MES-002, URS-MES-004, URS-MES-005, URS-MES-047</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RSK-MES-002</w:t>
            </w:r>
          </w:p>
        </w:tc>
        <w:tc>
          <w:tcPr>
            <w:tcW w:type="dxa" w:w="3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URS-MES-003, URS-MES-007, URS-MES-024</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RSK-MES-003</w:t>
            </w:r>
          </w:p>
        </w:tc>
        <w:tc>
          <w:tcPr>
            <w:tcW w:type="dxa" w:w="39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URS-MES-006, URS-MES-007, URS-MES-008, URS-MES-009, URS-MES-041, URS-MES-042</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RSK-MES-004</w:t>
            </w:r>
          </w:p>
        </w:tc>
        <w:tc>
          <w:tcPr>
            <w:tcW w:type="dxa" w:w="3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URS-MES-010, URS-MES-011, URS-MES-027, URS-MES-044</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RSK-MES-005</w:t>
            </w:r>
          </w:p>
        </w:tc>
        <w:tc>
          <w:tcPr>
            <w:tcW w:type="dxa" w:w="39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URS-MES-012, URS-MES-013, URS-MES-014, URS-MES-015, URS-MES-016, URS-MES-035, URS-MES-050</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RSK-MES-006</w:t>
            </w:r>
          </w:p>
        </w:tc>
        <w:tc>
          <w:tcPr>
            <w:tcW w:type="dxa" w:w="3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URS-MES-012, URS-MES-015, URS-MES-035, URS-MES-045</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RSK-MES-007</w:t>
            </w:r>
          </w:p>
        </w:tc>
        <w:tc>
          <w:tcPr>
            <w:tcW w:type="dxa" w:w="39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URS-MES-007, URS-MES-008, URS-MES-009, URS-MES-017, URS-MES-018, URS-MES-019</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RSK-MES-008</w:t>
            </w:r>
          </w:p>
        </w:tc>
        <w:tc>
          <w:tcPr>
            <w:tcW w:type="dxa" w:w="3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URS-MES-007, URS-MES-009, URS-MES-020, URS-MES-021, URS-MES-022, URS-MES-023, URS-MES-042</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RSK-MES-009</w:t>
            </w:r>
          </w:p>
        </w:tc>
        <w:tc>
          <w:tcPr>
            <w:tcW w:type="dxa" w:w="39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URS-MES-025</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Medium rigor</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RSK-MES-010</w:t>
            </w:r>
          </w:p>
        </w:tc>
        <w:tc>
          <w:tcPr>
            <w:tcW w:type="dxa" w:w="3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URS-MES-010, URS-MES-019, URS-MES-021, URS-MES-024, URS-MES-026, URS-MES-027, URS-MES-044, URS-MES-047</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RSK-MES-011</w:t>
            </w:r>
          </w:p>
        </w:tc>
        <w:tc>
          <w:tcPr>
            <w:tcW w:type="dxa" w:w="39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URS-MES-028, URS-MES-029, URS-MES-036</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RSK-MES-012</w:t>
            </w:r>
          </w:p>
        </w:tc>
        <w:tc>
          <w:tcPr>
            <w:tcW w:type="dxa" w:w="3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URS-MES-030, URS-MES-031, URS-MES-036</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RSK-MES-013</w:t>
            </w:r>
          </w:p>
        </w:tc>
        <w:tc>
          <w:tcPr>
            <w:tcW w:type="dxa" w:w="39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URS-MES-003, URS-MES-004, URS-MES-005, URS-MES-032, URS-MES-033, URS-MES-036</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RSK-MES-014</w:t>
            </w:r>
          </w:p>
        </w:tc>
        <w:tc>
          <w:tcPr>
            <w:tcW w:type="dxa" w:w="3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URS-MES-034, URS-MES-036, URS-MES-041, URS-MES-044</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RSK-MES-015</w:t>
            </w:r>
          </w:p>
        </w:tc>
        <w:tc>
          <w:tcPr>
            <w:tcW w:type="dxa" w:w="39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URS-MES-006, URS-MES-028, URS-MES-029, URS-MES-030, URS-MES-031, URS-MES-032, URS-MES-033, URS-MES-034, URS-MES-035, URS-MES-036, URS-MES-043, URS-MES-045</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RSK-MES-016</w:t>
            </w:r>
          </w:p>
        </w:tc>
        <w:tc>
          <w:tcPr>
            <w:tcW w:type="dxa" w:w="3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URS-MES-039, URS-MES-045, URS-MES-046</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RSK-MES-017</w:t>
            </w:r>
          </w:p>
        </w:tc>
        <w:tc>
          <w:tcPr>
            <w:tcW w:type="dxa" w:w="39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URS-MES-010, URS-MES-037, URS-MES-038, URS-MES-040, URS-MES-045</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RSK-MES-018</w:t>
            </w:r>
          </w:p>
        </w:tc>
        <w:tc>
          <w:tcPr>
            <w:tcW w:type="dxa" w:w="3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URS-MES-038, URS-MES-039, URS-MES-040, URS-MES-046</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RSK-MES-019</w:t>
            </w:r>
          </w:p>
        </w:tc>
        <w:tc>
          <w:tcPr>
            <w:tcW w:type="dxa" w:w="39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URS-MES-012, URS-MES-013, URS-MES-015, URS-MES-036, URS-MES-045, URS-MES-047, URS-MES-048, URS-MES-049</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RSK-MES-020</w:t>
            </w:r>
          </w:p>
        </w:tc>
        <w:tc>
          <w:tcPr>
            <w:tcW w:type="dxa" w:w="3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URS-MES-037, URS-MES-048, URS-MES-049</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RSK-MES-021</w:t>
            </w:r>
          </w:p>
        </w:tc>
        <w:tc>
          <w:tcPr>
            <w:tcW w:type="dxa" w:w="39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URS-MES-001, URS-MES-047, URS-MES-049</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RSK-MES-022</w:t>
            </w:r>
          </w:p>
        </w:tc>
        <w:tc>
          <w:tcPr>
            <w:tcW w:type="dxa" w:w="3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URS-MES-043, URS-MES-045, URS-MES-046, URS-MES-047, URS-MES-049</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RSK-MES-023</w:t>
            </w:r>
          </w:p>
        </w:tc>
        <w:tc>
          <w:tcPr>
            <w:tcW w:type="dxa" w:w="39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URS-MES-011, URS-MES-041, URS-MES-042, URS-MES-043, URS-MES-044</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RSK-MES-024</w:t>
            </w:r>
          </w:p>
        </w:tc>
        <w:tc>
          <w:tcPr>
            <w:tcW w:type="dxa" w:w="3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URS-MES-012, URS-MES-014, URS-MES-016, URS-MES-023, URS-MES-040, URS-MES-048, URS-MES-049, URS-MES-050</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RSK-MES-025</w:t>
            </w:r>
          </w:p>
        </w:tc>
        <w:tc>
          <w:tcPr>
            <w:tcW w:type="dxa" w:w="390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URS-MES-048, URS-MES-049</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4"/>
                <w:color w:val="000000"/>
              </w:rPr>
              <w:t>Residual not rated; acceptance pending;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RSK-MES-026</w:t>
            </w:r>
          </w:p>
        </w:tc>
        <w:tc>
          <w:tcPr>
            <w:tcW w:type="dxa" w:w="3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URS-MES-024, URS-MES-027, URS-MES-047</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4"/>
                <w:color w:val="000000"/>
              </w:rPr>
              <w:t>High rigor</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4"/>
                <w:color w:val="000000"/>
              </w:rPr>
              <w:t>Residual not rated; acceptance pending; Open</w:t>
            </w:r>
          </w:p>
        </w:tc>
      </w:tr>
    </w:tbl>
    <w:p>
      <w:pPr>
        <w:spacing w:after="40"/>
      </w:pPr>
    </w:p>
    <w:p>
      <w:pPr>
        <w:pStyle w:val="Heading2"/>
      </w:pPr>
      <w:r>
        <w:rPr>
          <w:rFonts w:ascii="Calibri" w:hAnsi="Calibri"/>
          <w:b/>
          <w:sz w:val="26"/>
          <w:color w:val="2E74B5"/>
        </w:rPr>
        <w:t>8.3 Shared risk-register field state</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2300"/>
        <w:gridCol w:w="4700"/>
        <w:gridCol w:w="2360"/>
      </w:tblGrid>
      <w:tr>
        <w:trPr>
          <w:cantSplit/>
          <w:tblHeader w:val="true"/>
        </w:trPr>
        <w:tc>
          <w:tcPr>
            <w:tcW w:type="dxa" w:w="23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Register field</w:t>
            </w:r>
          </w:p>
        </w:tc>
        <w:tc>
          <w:tcPr>
            <w:tcW w:type="dxa" w:w="47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Current controlled value</w:t>
            </w:r>
          </w:p>
        </w:tc>
        <w:tc>
          <w:tcPr>
            <w:tcW w:type="dxa" w:w="236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State after ITRRA</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Risk ID</w:t>
            </w:r>
          </w:p>
        </w:tc>
        <w:tc>
          <w:tcPr>
            <w:tcW w:type="dxa" w:w="4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RSK-MES-001 to 026</w:t>
            </w:r>
          </w:p>
        </w:tc>
        <w:tc>
          <w:tcPr>
            <w:tcW w:type="dxa" w:w="23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Preserved from ITRA</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Linked requirement/process/interface</w:t>
            </w:r>
          </w:p>
        </w:tc>
        <w:tc>
          <w:tcPr>
            <w:tcW w:type="dxa" w:w="4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All 50 URS reconciled to one or more existing risks</w:t>
            </w:r>
          </w:p>
        </w:tc>
        <w:tc>
          <w:tcPr>
            <w:tcW w:type="dxa" w:w="2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Updated/confirmed by ITRRA</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Hazard/failure scenario</w:t>
            </w:r>
          </w:p>
        </w:tc>
        <w:tc>
          <w:tcPr>
            <w:tcW w:type="dxa" w:w="4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Existing ITRA scenario plus per-requirement failure expression</w:t>
            </w:r>
          </w:p>
        </w:tc>
        <w:tc>
          <w:tcPr>
            <w:tcW w:type="dxa" w:w="23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Updated/confirmed by ITRRA</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Potential impact</w:t>
            </w:r>
          </w:p>
        </w:tc>
        <w:tc>
          <w:tcPr>
            <w:tcW w:type="dxa" w:w="4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GxP/process, data integrity, compliance, availability and security impacts</w:t>
            </w:r>
          </w:p>
        </w:tc>
        <w:tc>
          <w:tcPr>
            <w:tcW w:type="dxa" w:w="2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Working basis documented</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Initial risk rating</w:t>
            </w:r>
          </w:p>
        </w:tc>
        <w:tc>
          <w:tcPr>
            <w:tcW w:type="dxa" w:w="4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22 ITRA Working High; 4 ITRA Working Medium; per-URS maximum 49 High/1 Medium</w:t>
            </w:r>
          </w:p>
        </w:tc>
        <w:tc>
          <w:tcPr>
            <w:tcW w:type="dxa" w:w="23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Method Verify</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Control/mitigation</w:t>
            </w:r>
          </w:p>
        </w:tc>
        <w:tc>
          <w:tcPr>
            <w:tcW w:type="dxa" w:w="4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Requirement-specific control objective and domain control route</w:t>
            </w:r>
          </w:p>
        </w:tc>
        <w:tc>
          <w:tcPr>
            <w:tcW w:type="dxa" w:w="2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Planned; implementation open</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Control owner</w:t>
            </w:r>
          </w:p>
        </w:tc>
        <w:tc>
          <w:tcPr>
            <w:tcW w:type="dxa" w:w="4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Fictional accountable roles by requirement domain</w:t>
            </w:r>
          </w:p>
        </w:tc>
        <w:tc>
          <w:tcPr>
            <w:tcW w:type="dxa" w:w="23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Assigned; evidence open</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Verification reference</w:t>
            </w:r>
          </w:p>
        </w:tc>
        <w:tc>
          <w:tcPr>
            <w:tcW w:type="dxa" w:w="4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Provisional rigor/focus; downstream controlled IDs not assigned</w:t>
            </w:r>
          </w:p>
        </w:tc>
        <w:tc>
          <w:tcPr>
            <w:tcW w:type="dxa" w:w="2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Planned/Open</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Residual risk and acceptance</w:t>
            </w:r>
          </w:p>
        </w:tc>
        <w:tc>
          <w:tcPr>
            <w:tcW w:type="dxa" w:w="4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Not rated; acceptance pending for all 26</w:t>
            </w:r>
          </w:p>
        </w:tc>
        <w:tc>
          <w:tcPr>
            <w:tcW w:type="dxa" w:w="23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Unchanged/Open</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Status</w:t>
            </w:r>
          </w:p>
        </w:tc>
        <w:tc>
          <w:tcPr>
            <w:tcW w:type="dxa" w:w="4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Open; requirement assessment complete; treatment/evidence/acceptance open</w:t>
            </w:r>
          </w:p>
        </w:tc>
        <w:tc>
          <w:tcPr>
            <w:tcW w:type="dxa" w:w="2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Updated by ITRRA</w:t>
            </w:r>
          </w:p>
        </w:tc>
      </w:tr>
    </w:tbl>
    <w:p>
      <w:pPr>
        <w:spacing w:after="40"/>
      </w:pPr>
    </w:p>
    <w:p>
      <w:pPr>
        <w:pStyle w:val="Heading1"/>
      </w:pPr>
      <w:r>
        <w:rPr>
          <w:rFonts w:ascii="Calibri" w:hAnsi="Calibri"/>
          <w:b/>
          <w:sz w:val="32"/>
          <w:color w:val="2E74B5"/>
        </w:rPr>
        <w:t>9 Live traceability register update</w:t>
      </w:r>
    </w:p>
    <w:p>
      <w:pPr>
        <w:pStyle w:val="Heading2"/>
      </w:pPr>
      <w:r>
        <w:rPr>
          <w:rFonts w:ascii="Calibri" w:hAnsi="Calibri"/>
          <w:b/>
          <w:sz w:val="26"/>
          <w:color w:val="2E74B5"/>
        </w:rPr>
        <w:t>9.1 Sixteen-field state model</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700"/>
        <w:gridCol w:w="2200"/>
        <w:gridCol w:w="3700"/>
        <w:gridCol w:w="2760"/>
      </w:tblGrid>
      <w:tr>
        <w:trPr>
          <w:cantSplit/>
          <w:tblHeader w:val="true"/>
        </w:trPr>
        <w:tc>
          <w:tcPr>
            <w:tcW w:type="dxa" w:w="700"/>
            <w:tcMar>
              <w:top w:w="70" w:type="dxa"/>
              <w:start w:w="120" w:type="dxa"/>
              <w:bottom w:w="70" w:type="dxa"/>
              <w:end w:w="120" w:type="dxa"/>
            </w:tcMar>
            <w:shd w:fill="0B2545"/>
            <w:vAlign w:val="center"/>
          </w:tcPr>
          <w:p>
            <w:pPr>
              <w:spacing w:before="0" w:after="0" w:line="240" w:lineRule="auto"/>
              <w:jc w:val="center"/>
            </w:pPr>
            <w:r/>
            <w:r>
              <w:rPr>
                <w:rFonts w:ascii="Calibri" w:hAnsi="Calibri"/>
                <w:b/>
                <w:sz w:val="15"/>
                <w:color w:val="FFFFFF"/>
              </w:rPr>
              <w:t>No.</w:t>
            </w:r>
          </w:p>
        </w:tc>
        <w:tc>
          <w:tcPr>
            <w:tcW w:type="dxa" w:w="22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Traceability field</w:t>
            </w:r>
          </w:p>
        </w:tc>
        <w:tc>
          <w:tcPr>
            <w:tcW w:type="dxa" w:w="37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Current controlled value</w:t>
            </w:r>
          </w:p>
        </w:tc>
        <w:tc>
          <w:tcPr>
            <w:tcW w:type="dxa" w:w="276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State after ITRRA</w:t>
            </w:r>
          </w:p>
        </w:tc>
      </w:tr>
      <w:tr>
        <w:trPr>
          <w:cantSplit/>
        </w:trPr>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1</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Requirement ID</w:t>
            </w:r>
          </w:p>
        </w:tc>
        <w:tc>
          <w:tcPr>
            <w:tcW w:type="dxa" w:w="37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URS-MES-001 to 050</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Unchanged - URS baseline</w:t>
            </w:r>
          </w:p>
        </w:tc>
      </w:tr>
      <w:tr>
        <w:trPr>
          <w:cantSplit/>
        </w:trPr>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2</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Requirement statement</w:t>
            </w:r>
          </w:p>
        </w:tc>
        <w:tc>
          <w:tcPr>
            <w:tcW w:type="dxa" w:w="3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Controlled statement in NL-MES-URS-001</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Unchanged - URS baseline</w:t>
            </w:r>
          </w:p>
        </w:tc>
      </w:tr>
      <w:tr>
        <w:trPr>
          <w:cantSplit/>
        </w:trPr>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3</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GxP relevance</w:t>
            </w:r>
          </w:p>
        </w:tc>
        <w:tc>
          <w:tcPr>
            <w:tcW w:type="dxa" w:w="37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Yes for all current requirements</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Unchanged - URS baseline</w:t>
            </w:r>
          </w:p>
        </w:tc>
      </w:tr>
      <w:tr>
        <w:trPr>
          <w:cantSplit/>
        </w:trPr>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4</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Risk ID</w:t>
            </w:r>
          </w:p>
        </w:tc>
        <w:tc>
          <w:tcPr>
            <w:tcW w:type="dxa" w:w="3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One or more RSK-MES-001 to 026</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Confirmed by ITRRA</w:t>
            </w:r>
          </w:p>
        </w:tc>
      </w:tr>
      <w:tr>
        <w:trPr>
          <w:cantSplit/>
        </w:trPr>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5</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Risk level</w:t>
            </w:r>
          </w:p>
        </w:tc>
        <w:tc>
          <w:tcPr>
            <w:tcW w:type="dxa" w:w="37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49 Working High / 1 Working Medium; method Verify</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Updated/confirmed by ITRRA</w:t>
            </w:r>
          </w:p>
        </w:tc>
      </w:tr>
      <w:tr>
        <w:trPr>
          <w:cantSplit/>
        </w:trPr>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6</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FS reference</w:t>
            </w:r>
          </w:p>
        </w:tc>
        <w:tc>
          <w:tcPr>
            <w:tcW w:type="dxa" w:w="3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Not yet assigned</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Planned/Open</w:t>
            </w:r>
          </w:p>
        </w:tc>
      </w:tr>
      <w:tr>
        <w:trPr>
          <w:cantSplit/>
        </w:trPr>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7</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DS reference</w:t>
            </w:r>
          </w:p>
        </w:tc>
        <w:tc>
          <w:tcPr>
            <w:tcW w:type="dxa" w:w="37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Not yet assigned</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Planned/Open</w:t>
            </w:r>
          </w:p>
        </w:tc>
      </w:tr>
      <w:tr>
        <w:trPr>
          <w:cantSplit/>
        </w:trPr>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8</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CS reference</w:t>
            </w:r>
          </w:p>
        </w:tc>
        <w:tc>
          <w:tcPr>
            <w:tcW w:type="dxa" w:w="3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Not yet assigned</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Planned/Open</w:t>
            </w:r>
          </w:p>
        </w:tc>
      </w:tr>
      <w:tr>
        <w:trPr>
          <w:cantSplit/>
        </w:trPr>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9</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Integration reference</w:t>
            </w:r>
          </w:p>
        </w:tc>
        <w:tc>
          <w:tcPr>
            <w:tcW w:type="dxa" w:w="37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Conceptual INT-MES identifiers or N/A from URS</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Unchanged - conceptual</w:t>
            </w:r>
          </w:p>
        </w:tc>
      </w:tr>
      <w:tr>
        <w:trPr>
          <w:cantSplit/>
        </w:trPr>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10</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Test case ID</w:t>
            </w:r>
          </w:p>
        </w:tc>
        <w:tc>
          <w:tcPr>
            <w:tcW w:type="dxa" w:w="3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Not yet assigned; provisional rigor defined</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Planned/Open</w:t>
            </w:r>
          </w:p>
        </w:tc>
      </w:tr>
      <w:tr>
        <w:trPr>
          <w:cantSplit/>
        </w:trPr>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11</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Test result</w:t>
            </w:r>
          </w:p>
        </w:tc>
        <w:tc>
          <w:tcPr>
            <w:tcW w:type="dxa" w:w="37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Not run</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Planned/Open</w:t>
            </w:r>
          </w:p>
        </w:tc>
      </w:tr>
      <w:tr>
        <w:trPr>
          <w:cantSplit/>
        </w:trPr>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12</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Defect / deviation ID</w:t>
            </w:r>
          </w:p>
        </w:tc>
        <w:tc>
          <w:tcPr>
            <w:tcW w:type="dxa" w:w="3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N/A - no execution yet</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Planned/Open</w:t>
            </w:r>
          </w:p>
        </w:tc>
      </w:tr>
      <w:tr>
        <w:trPr>
          <w:cantSplit/>
        </w:trPr>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13</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SOP / user guide</w:t>
            </w:r>
          </w:p>
        </w:tc>
        <w:tc>
          <w:tcPr>
            <w:tcW w:type="dxa" w:w="37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Not yet assigned</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Planned/Open</w:t>
            </w:r>
          </w:p>
        </w:tc>
      </w:tr>
      <w:tr>
        <w:trPr>
          <w:cantSplit/>
        </w:trPr>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14</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Operational control</w:t>
            </w:r>
          </w:p>
        </w:tc>
        <w:tc>
          <w:tcPr>
            <w:tcW w:type="dxa" w:w="3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Not yet assigned</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Planned/Open</w:t>
            </w:r>
          </w:p>
        </w:tc>
      </w:tr>
      <w:tr>
        <w:trPr>
          <w:cantSplit/>
        </w:trPr>
        <w:tc>
          <w:tcPr>
            <w:tcW w:type="dxa" w:w="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15</w:t>
            </w:r>
          </w:p>
        </w:tc>
        <w:tc>
          <w:tcPr>
            <w:tcW w:type="dxa" w:w="22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Change / incident / periodic review</w:t>
            </w:r>
          </w:p>
        </w:tc>
        <w:tc>
          <w:tcPr>
            <w:tcW w:type="dxa" w:w="37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Not yet assigned</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Planned/Open</w:t>
            </w:r>
          </w:p>
        </w:tc>
      </w:tr>
      <w:tr>
        <w:trPr>
          <w:cantSplit/>
        </w:trPr>
        <w:tc>
          <w:tcPr>
            <w:tcW w:type="dxa" w:w="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16</w:t>
            </w:r>
          </w:p>
        </w:tc>
        <w:tc>
          <w:tcPr>
            <w:tcW w:type="dxa" w:w="22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Status</w:t>
            </w:r>
          </w:p>
        </w:tc>
        <w:tc>
          <w:tcPr>
            <w:tcW w:type="dxa" w:w="3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Requirement risk assessed; downstream design/control/test evidence open</w:t>
            </w:r>
          </w:p>
        </w:tc>
        <w:tc>
          <w:tcPr>
            <w:tcW w:type="dxa" w:w="27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Updated by ITRRA</w:t>
            </w:r>
          </w:p>
        </w:tc>
      </w:tr>
    </w:tbl>
    <w:p>
      <w:pPr>
        <w:spacing w:after="40"/>
      </w:pPr>
    </w:p>
    <w:p>
      <w:pPr>
        <w:pStyle w:val="Heading2"/>
      </w:pPr>
      <w:r>
        <w:rPr>
          <w:rFonts w:ascii="Calibri" w:hAnsi="Calibri"/>
          <w:b/>
          <w:sz w:val="26"/>
          <w:color w:val="2E74B5"/>
        </w:rPr>
        <w:t>9.2 Requirement traceability view</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1000"/>
        <w:gridCol w:w="1100"/>
        <w:gridCol w:w="2400"/>
        <w:gridCol w:w="1100"/>
        <w:gridCol w:w="2400"/>
        <w:gridCol w:w="1360"/>
      </w:tblGrid>
      <w:tr>
        <w:trPr>
          <w:cantSplit/>
          <w:tblHeader w:val="true"/>
        </w:trPr>
        <w:tc>
          <w:tcPr>
            <w:tcW w:type="dxa" w:w="1000"/>
            <w:tcMar>
              <w:top w:w="70" w:type="dxa"/>
              <w:start w:w="120" w:type="dxa"/>
              <w:bottom w:w="70" w:type="dxa"/>
              <w:end w:w="120" w:type="dxa"/>
            </w:tcMar>
            <w:shd w:fill="0B2545"/>
            <w:vAlign w:val="center"/>
          </w:tcPr>
          <w:p>
            <w:pPr>
              <w:spacing w:before="0" w:after="0" w:line="240" w:lineRule="auto"/>
              <w:jc w:val="center"/>
            </w:pPr>
            <w:r/>
            <w:r>
              <w:rPr>
                <w:rFonts w:ascii="Calibri" w:hAnsi="Calibri"/>
                <w:b/>
                <w:sz w:val="13"/>
                <w:color w:val="FFFFFF"/>
              </w:rPr>
              <w:t>Requirement</w:t>
            </w:r>
          </w:p>
        </w:tc>
        <w:tc>
          <w:tcPr>
            <w:tcW w:type="dxa" w:w="1100"/>
            <w:tcMar>
              <w:top w:w="70" w:type="dxa"/>
              <w:start w:w="120" w:type="dxa"/>
              <w:bottom w:w="70" w:type="dxa"/>
              <w:end w:w="120" w:type="dxa"/>
            </w:tcMar>
            <w:shd w:fill="0B2545"/>
            <w:vAlign w:val="center"/>
          </w:tcPr>
          <w:p>
            <w:pPr>
              <w:spacing w:before="0" w:after="0" w:line="240" w:lineRule="auto"/>
              <w:jc w:val="center"/>
            </w:pPr>
            <w:r/>
            <w:r>
              <w:rPr>
                <w:rFonts w:ascii="Calibri" w:hAnsi="Calibri"/>
                <w:b/>
                <w:sz w:val="13"/>
                <w:color w:val="FFFFFF"/>
              </w:rPr>
              <w:t>Class</w:t>
            </w:r>
          </w:p>
        </w:tc>
        <w:tc>
          <w:tcPr>
            <w:tcW w:type="dxa" w:w="240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Linked risk ID(s)</w:t>
            </w:r>
          </w:p>
        </w:tc>
        <w:tc>
          <w:tcPr>
            <w:tcW w:type="dxa" w:w="1100"/>
            <w:tcMar>
              <w:top w:w="70" w:type="dxa"/>
              <w:start w:w="120" w:type="dxa"/>
              <w:bottom w:w="70" w:type="dxa"/>
              <w:end w:w="120" w:type="dxa"/>
            </w:tcMar>
            <w:shd w:fill="0B2545"/>
            <w:vAlign w:val="center"/>
          </w:tcPr>
          <w:p>
            <w:pPr>
              <w:spacing w:before="0" w:after="0" w:line="240" w:lineRule="auto"/>
              <w:jc w:val="center"/>
            </w:pPr>
            <w:r/>
            <w:r>
              <w:rPr>
                <w:rFonts w:ascii="Calibri" w:hAnsi="Calibri"/>
                <w:b/>
                <w:sz w:val="13"/>
                <w:color w:val="FFFFFF"/>
              </w:rPr>
              <w:t>Working level</w:t>
            </w:r>
          </w:p>
        </w:tc>
        <w:tc>
          <w:tcPr>
            <w:tcW w:type="dxa" w:w="240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Provisional verification rigor</w:t>
            </w:r>
          </w:p>
        </w:tc>
        <w:tc>
          <w:tcPr>
            <w:tcW w:type="dxa" w:w="1360"/>
            <w:tcMar>
              <w:top w:w="70" w:type="dxa"/>
              <w:start w:w="120" w:type="dxa"/>
              <w:bottom w:w="70" w:type="dxa"/>
              <w:end w:w="120" w:type="dxa"/>
            </w:tcMar>
            <w:shd w:fill="0B2545"/>
            <w:vAlign w:val="center"/>
          </w:tcPr>
          <w:p>
            <w:pPr>
              <w:spacing w:before="0" w:after="0" w:line="240" w:lineRule="auto"/>
              <w:jc w:val="left"/>
            </w:pPr>
            <w:r/>
            <w:r>
              <w:rPr>
                <w:rFonts w:ascii="Calibri" w:hAnsi="Calibri"/>
                <w:b/>
                <w:sz w:val="13"/>
                <w:color w:val="FFFFFF"/>
              </w:rPr>
              <w:t>Current trace status</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URS-MES-001</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RSK-MES-001, RSK-MES-021</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URS-MES-002</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RSK-MES-001</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URS-MES-003</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RSK-MES-002, RSK-MES-013</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URS-MES-004</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RSK-MES-001, RSK-MES-013</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URS-MES-005</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RSK-MES-001, RSK-MES-013</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URS-MES-006</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RSK-MES-003, RSK-MES-015</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URS-MES-007</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RSK-MES-002, RSK-MES-003, RSK-MES-007, RSK-MES-008</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URS-MES-008</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RSK-MES-003, RSK-MES-007</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URS-MES-009</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RSK-MES-003, RSK-MES-007, RSK-MES-008</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URS-MES-010</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RSK-MES-004, RSK-MES-010, RSK-MES-017</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URS-MES-011</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RSK-MES-004, RSK-MES-023</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URS-MES-012</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RSK-MES-005, RSK-MES-006, RSK-MES-019, RSK-MES-024</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URS-MES-013</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RSK-MES-005, RSK-MES-019</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URS-MES-014</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RSK-MES-005, RSK-MES-024</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URS-MES-015</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RSK-MES-005, RSK-MES-006, RSK-MES-019</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URS-MES-016</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RSK-MES-005, RSK-MES-024</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URS-MES-017</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RSK-MES-007</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URS-MES-018</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RSK-MES-007</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URS-MES-019</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RSK-MES-007, RSK-MES-010</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URS-MES-020</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RSK-MES-008</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URS-MES-021</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RSK-MES-008, RSK-MES-010</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URS-MES-022</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RSK-MES-008</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URS-MES-023</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RSK-MES-008, RSK-MES-024</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URS-MES-024</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RSK-MES-002, RSK-MES-010, RSK-MES-026</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URS-MES-025</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RSK-MES-009</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Medium</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Medium: capability + relevant negative/boundary; end-to-end where applicable</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URS-MES-026</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RSK-MES-010</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URS-MES-027</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RSK-MES-004, RSK-MES-010, RSK-MES-026</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URS-MES-028</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RSK-MES-011, RSK-MES-015</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URS-MES-029</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RSK-MES-011, RSK-MES-015</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URS-MES-030</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RSK-MES-012, RSK-MES-015</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URS-MES-031</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RSK-MES-012, RSK-MES-015</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URS-MES-032</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RSK-MES-013, RSK-MES-015</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URS-MES-033</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RSK-MES-013, RSK-MES-015</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URS-MES-034</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RSK-MES-014, RSK-MES-015</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URS-MES-035</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RSK-MES-005, RSK-MES-006, RSK-MES-015</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URS-MES-036</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RSK-MES-011, RSK-MES-012, RSK-MES-013, RSK-MES-014, RSK-MES-015, RSK-MES-019</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URS-MES-037</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RSK-MES-017, RSK-MES-020</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URS-MES-038</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RSK-MES-017, RSK-MES-018</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URS-MES-039</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RSK-MES-016, RSK-MES-018</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URS-MES-040</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RSK-MES-017, RSK-MES-018, RSK-MES-024</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URS-MES-041</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RSK-MES-003, RSK-MES-014, RSK-MES-023</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URS-MES-042</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RSK-MES-003, RSK-MES-008, RSK-MES-023</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URS-MES-043</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RSK-MES-015, RSK-MES-022, RSK-MES-023</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URS-MES-044</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RSK-MES-004, RSK-MES-010, RSK-MES-014, RSK-MES-023</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URS-MES-045</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RSK-MES-006, RSK-MES-015, RSK-MES-016, RSK-MES-017, RSK-MES-019, RSK-MES-022</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URS-MES-046</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RSK-MES-016, RSK-MES-018, RSK-MES-022</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URS-MES-047</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RSK-MES-001, RSK-MES-010, RSK-MES-019, RSK-MES-021, RSK-MES-022, RSK-MES-026</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URS-MES-048</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RSK-MES-019, RSK-MES-020, RSK-MES-024, RSK-MES-025</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URS-MES-049</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RSK-MES-019, RSK-MES-020, RSK-MES-021, RSK-MES-022, RSK-MES-024, RSK-MES-025</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vAlign w:val="center"/>
          </w:tcPr>
          <w:p>
            <w:pPr>
              <w:spacing w:before="0" w:after="0" w:line="240" w:lineRule="auto"/>
              <w:jc w:val="left"/>
            </w:pPr>
            <w:r/>
            <w:r>
              <w:rPr>
                <w:rFonts w:ascii="Calibri" w:hAnsi="Calibri"/>
                <w:b w:val="0"/>
                <w:sz w:val="13"/>
                <w:color w:val="000000"/>
              </w:rPr>
              <w:t>Risk assessed; FS/DS/CS/test evidence open</w:t>
            </w:r>
          </w:p>
        </w:tc>
      </w:tr>
      <w:tr>
        <w:trPr>
          <w:cantSplit/>
        </w:trPr>
        <w:tc>
          <w:tcPr>
            <w:tcW w:type="dxa" w:w="10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URS-MES-050</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Non-functional</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RSK-MES-005, RSK-MES-024</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3"/>
                <w:color w:val="000000"/>
              </w:rPr>
              <w:t>Working High</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High: capability + negative/boundary + challenge + end-to-end</w:t>
            </w:r>
          </w:p>
        </w:tc>
        <w:tc>
          <w:tcPr>
            <w:tcW w:type="dxa" w:w="1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3"/>
                <w:color w:val="000000"/>
              </w:rPr>
              <w:t>Risk assessed; FS/DS/CS/test evidence open</w:t>
            </w:r>
          </w:p>
        </w:tc>
      </w:tr>
    </w:tbl>
    <w:p>
      <w:pPr>
        <w:spacing w:after="40"/>
      </w:pPr>
    </w:p>
    <w:p>
      <w:pPr>
        <w:pStyle w:val="Heading2"/>
      </w:pPr>
      <w:r>
        <w:rPr>
          <w:rFonts w:ascii="Calibri" w:hAnsi="Calibri"/>
          <w:b/>
          <w:sz w:val="26"/>
          <w:color w:val="2E74B5"/>
        </w:rPr>
        <w:t>9.3 Bidirectional checks</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2800"/>
        <w:gridCol w:w="1100"/>
        <w:gridCol w:w="5460"/>
      </w:tblGrid>
      <w:tr>
        <w:trPr>
          <w:cantSplit/>
          <w:tblHeader w:val="true"/>
        </w:trPr>
        <w:tc>
          <w:tcPr>
            <w:tcW w:type="dxa" w:w="28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Check</w:t>
            </w:r>
          </w:p>
        </w:tc>
        <w:tc>
          <w:tcPr>
            <w:tcW w:type="dxa" w:w="110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Result</w:t>
            </w:r>
          </w:p>
        </w:tc>
        <w:tc>
          <w:tcPr>
            <w:tcW w:type="dxa" w:w="546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Evidence</w:t>
            </w:r>
          </w:p>
        </w:tc>
      </w:tr>
      <w:tr>
        <w:trPr>
          <w:cantSplit/>
        </w:trPr>
        <w:tc>
          <w:tcPr>
            <w:tcW w:type="dxa" w:w="28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URS -&gt; risk</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Pass</w:t>
            </w:r>
          </w:p>
        </w:tc>
        <w:tc>
          <w:tcPr>
            <w:tcW w:type="dxa" w:w="54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50/50 URS link to at least one RSK-MES record.</w:t>
            </w:r>
          </w:p>
        </w:tc>
      </w:tr>
      <w:tr>
        <w:trPr>
          <w:cantSplit/>
        </w:trPr>
        <w:tc>
          <w:tcPr>
            <w:tcW w:type="dxa" w:w="28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Risk -&gt; URS</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Pass</w:t>
            </w:r>
          </w:p>
        </w:tc>
        <w:tc>
          <w:tcPr>
            <w:tcW w:type="dxa" w:w="54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26/26 risks link back to at least one assessed URS.</w:t>
            </w:r>
          </w:p>
        </w:tc>
      </w:tr>
      <w:tr>
        <w:trPr>
          <w:cantSplit/>
        </w:trPr>
        <w:tc>
          <w:tcPr>
            <w:tcW w:type="dxa" w:w="28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URS -&gt; class</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Pass</w:t>
            </w:r>
          </w:p>
        </w:tc>
        <w:tc>
          <w:tcPr>
            <w:tcW w:type="dxa" w:w="54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25 Functional and 25 Non-functional; no duplicate or unclassified URS.</w:t>
            </w:r>
          </w:p>
        </w:tc>
      </w:tr>
      <w:tr>
        <w:trPr>
          <w:cantSplit/>
        </w:trPr>
        <w:tc>
          <w:tcPr>
            <w:tcW w:type="dxa" w:w="28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URS -&gt; verification route</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Pass</w:t>
            </w:r>
          </w:p>
        </w:tc>
        <w:tc>
          <w:tcPr>
            <w:tcW w:type="dxa" w:w="54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50/50 URS have rigor and domain focus.</w:t>
            </w:r>
          </w:p>
        </w:tc>
      </w:tr>
      <w:tr>
        <w:trPr>
          <w:cantSplit/>
        </w:trPr>
        <w:tc>
          <w:tcPr>
            <w:tcW w:type="dxa" w:w="28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Downstream evidence</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Open</w:t>
            </w:r>
          </w:p>
        </w:tc>
        <w:tc>
          <w:tcPr>
            <w:tcW w:type="dxa" w:w="54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FS/DS/CS/test/operation IDs are not fabricated and remain explicit.</w:t>
            </w:r>
          </w:p>
        </w:tc>
      </w:tr>
      <w:tr>
        <w:trPr>
          <w:cantSplit/>
        </w:trPr>
        <w:tc>
          <w:tcPr>
            <w:tcW w:type="dxa" w:w="28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Residual acceptance</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Open</w:t>
            </w:r>
          </w:p>
        </w:tc>
        <w:tc>
          <w:tcPr>
            <w:tcW w:type="dxa" w:w="54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0/26 residual risks rated or accepted.</w:t>
            </w:r>
          </w:p>
        </w:tc>
      </w:tr>
    </w:tbl>
    <w:p>
      <w:pPr>
        <w:spacing w:after="40"/>
      </w:pPr>
    </w:p>
    <w:p>
      <w:pPr>
        <w:pStyle w:val="Heading1"/>
      </w:pPr>
      <w:r>
        <w:rPr>
          <w:rFonts w:ascii="Calibri" w:hAnsi="Calibri"/>
          <w:b/>
          <w:sz w:val="32"/>
          <w:color w:val="2E74B5"/>
        </w:rPr>
        <w:t>10 Decisions, acceptance and open state</w:t>
      </w:r>
    </w:p>
    <w:p>
      <w:pPr>
        <w:spacing w:before="80" w:after="160"/>
        <w:ind w:left="120" w:right="120"/>
        <w:shd w:fill="E2F0D9"/>
        <w:pBdr>
          <w:left w:val="single" w:sz="18" w:space="4" w:color="375623"/>
        </w:pBdr>
      </w:pPr>
      <w:r>
        <w:rPr>
          <w:rFonts w:ascii="Calibri" w:hAnsi="Calibri"/>
          <w:b/>
          <w:sz w:val="19"/>
          <w:color w:val="375623"/>
        </w:rPr>
        <w:t xml:space="preserve">Decision. </w:t>
      </w:r>
      <w:r>
        <w:rPr>
          <w:rFonts w:ascii="Calibri" w:hAnsi="Calibri"/>
          <w:b w:val="0"/>
          <w:sz w:val="19"/>
          <w:color w:val="000000"/>
        </w:rPr>
        <w:t>Requirement-level risk assessment and provisional verification routing are complete for the current 50-URS conceptual baseline. Downstream authoring may proceed, but no design release, verification conclusion, residual-risk acceptance or operational release is supported.</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1900"/>
        <w:gridCol w:w="2400"/>
        <w:gridCol w:w="3360"/>
        <w:gridCol w:w="1700"/>
      </w:tblGrid>
      <w:tr>
        <w:trPr>
          <w:cantSplit/>
          <w:tblHeader w:val="true"/>
        </w:trPr>
        <w:tc>
          <w:tcPr>
            <w:tcW w:type="dxa" w:w="19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Decision / activity</w:t>
            </w:r>
          </w:p>
        </w:tc>
        <w:tc>
          <w:tcPr>
            <w:tcW w:type="dxa" w:w="24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Accountable fictional role</w:t>
            </w:r>
          </w:p>
        </w:tc>
        <w:tc>
          <w:tcPr>
            <w:tcW w:type="dxa" w:w="336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Required evidence / rule</w:t>
            </w:r>
          </w:p>
        </w:tc>
        <w:tc>
          <w:tcPr>
            <w:tcW w:type="dxa" w:w="1700"/>
            <w:tcMar>
              <w:top w:w="70" w:type="dxa"/>
              <w:start w:w="120" w:type="dxa"/>
              <w:bottom w:w="70" w:type="dxa"/>
              <w:end w:w="120" w:type="dxa"/>
            </w:tcMar>
            <w:shd w:fill="0B2545"/>
            <w:vAlign w:val="center"/>
          </w:tcPr>
          <w:p>
            <w:pPr>
              <w:spacing w:before="0" w:after="0" w:line="240" w:lineRule="auto"/>
              <w:jc w:val="center"/>
            </w:pPr>
            <w:r/>
            <w:r>
              <w:rPr>
                <w:rFonts w:ascii="Calibri" w:hAnsi="Calibri"/>
                <w:b/>
                <w:sz w:val="15"/>
                <w:color w:val="FFFFFF"/>
              </w:rPr>
              <w:t>Current state</w:t>
            </w:r>
          </w:p>
        </w:tc>
      </w:tr>
      <w:tr>
        <w:trPr>
          <w:cantSplit/>
        </w:trPr>
        <w:tc>
          <w:tcPr>
            <w:tcW w:type="dxa" w:w="19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Document baseline</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Fictional Validation Lead / Quality Assurance</w:t>
            </w:r>
          </w:p>
        </w:tc>
        <w:tc>
          <w:tcPr>
            <w:tcW w:type="dxa" w:w="33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Complete 50-row assessment, reconciliations and QA gate</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Simulated approved</w:t>
            </w:r>
          </w:p>
        </w:tc>
      </w:tr>
      <w:tr>
        <w:trPr>
          <w:cantSplit/>
        </w:trPr>
        <w:tc>
          <w:tcPr>
            <w:tcW w:type="dxa" w:w="1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Risk method finalisation</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Fictional Validation Lead / IT Risk Responsible</w:t>
            </w:r>
          </w:p>
        </w:tc>
        <w:tc>
          <w:tcPr>
            <w:tcW w:type="dxa" w:w="3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Controlled Q0360643 workbook formulas, thresholds and local method</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Pending / Verify</w:t>
            </w:r>
          </w:p>
        </w:tc>
      </w:tr>
      <w:tr>
        <w:trPr>
          <w:cantSplit/>
        </w:trPr>
        <w:tc>
          <w:tcPr>
            <w:tcW w:type="dxa" w:w="19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Technical factor confirmation</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Fictional IT Solution Owner / Design Leads</w:t>
            </w:r>
          </w:p>
        </w:tc>
        <w:tc>
          <w:tcPr>
            <w:tcW w:type="dxa" w:w="33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PAS-X version, standard/configured/custom split, size, architecture and interfaces</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Pending / Verify</w:t>
            </w:r>
          </w:p>
        </w:tc>
      </w:tr>
      <w:tr>
        <w:trPr>
          <w:cantSplit/>
        </w:trPr>
        <w:tc>
          <w:tcPr>
            <w:tcW w:type="dxa" w:w="1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Control implementation</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Fictional control owners</w:t>
            </w:r>
          </w:p>
        </w:tc>
        <w:tc>
          <w:tcPr>
            <w:tcW w:type="dxa" w:w="3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Approved FS/DS/CS/IS and implementation evidence</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Not implemented / not evidenced</w:t>
            </w:r>
          </w:p>
        </w:tc>
      </w:tr>
      <w:tr>
        <w:trPr>
          <w:cantSplit/>
        </w:trPr>
        <w:tc>
          <w:tcPr>
            <w:tcW w:type="dxa" w:w="19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Verification evidence</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Fictional Test Manager / Reviewer</w:t>
            </w:r>
          </w:p>
        </w:tc>
        <w:tc>
          <w:tcPr>
            <w:tcW w:type="dxa" w:w="33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Controlled test IDs, runs, results and exception disposition</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Not assigned / Not run</w:t>
            </w:r>
          </w:p>
        </w:tc>
      </w:tr>
      <w:tr>
        <w:trPr>
          <w:cantSplit/>
        </w:trPr>
        <w:tc>
          <w:tcPr>
            <w:tcW w:type="dxa" w:w="1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Residual-risk rating</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Fictional IT Risk Responsible</w:t>
            </w:r>
          </w:p>
        </w:tc>
        <w:tc>
          <w:tcPr>
            <w:tcW w:type="dxa" w:w="3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Implemented and verified controls plus open-exception review</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Not rated for all 26</w:t>
            </w:r>
          </w:p>
        </w:tc>
      </w:tr>
      <w:tr>
        <w:trPr>
          <w:cantSplit/>
        </w:trPr>
        <w:tc>
          <w:tcPr>
            <w:tcW w:type="dxa" w:w="19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Residual-risk acceptance</w:t>
            </w:r>
          </w:p>
        </w:tc>
        <w:tc>
          <w:tcPr>
            <w:tcW w:type="dxa" w:w="24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Fictional IT Solution Owner with QA involvement as applicable</w:t>
            </w:r>
          </w:p>
        </w:tc>
        <w:tc>
          <w:tcPr>
            <w:tcW w:type="dxa" w:w="33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Net-risk conclusion and acceptance prerequisites</w:t>
            </w:r>
          </w:p>
        </w:tc>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Pending for all 26</w:t>
            </w:r>
          </w:p>
        </w:tc>
      </w:tr>
      <w:tr>
        <w:trPr>
          <w:cantSplit/>
        </w:trPr>
        <w:tc>
          <w:tcPr>
            <w:tcW w:type="dxa" w:w="19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Downstream drafting</w:t>
            </w:r>
          </w:p>
        </w:tc>
        <w:tc>
          <w:tcPr>
            <w:tcW w:type="dxa" w:w="2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Fictional Validation Lead</w:t>
            </w:r>
          </w:p>
        </w:tc>
        <w:tc>
          <w:tcPr>
            <w:tcW w:type="dxa" w:w="33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Use this ITRRA as working input and retain all Verify items</w:t>
            </w:r>
          </w:p>
        </w:tc>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Permitted for simulation</w:t>
            </w:r>
          </w:p>
        </w:tc>
      </w:tr>
    </w:tbl>
    <w:p>
      <w:pPr>
        <w:spacing w:after="40"/>
      </w:pPr>
    </w:p>
    <w:p>
      <w:pPr>
        <w:keepLines w:val="0"/>
        <w:spacing w:after="100" w:line="252" w:lineRule="auto"/>
      </w:pPr>
      <w:r>
        <w:rPr>
          <w:rFonts w:ascii="Calibri" w:hAnsi="Calibri"/>
          <w:b/>
          <w:sz w:val="21"/>
          <w:color w:val="1F4D78"/>
        </w:rPr>
        <w:t>Document approval is not risk acceptance.</w:t>
      </w:r>
      <w:r>
        <w:rPr>
          <w:rFonts w:ascii="Calibri" w:hAnsi="Calibri"/>
          <w:sz w:val="21"/>
          <w:color w:val="000000"/>
        </w:rPr>
        <w:t xml:space="preserve"> The exact simulated status confirms review of the training artifact only; it does not demonstrate that controls are effective, risks are tolerable, signatures are valid, or release criteria are met.</w:t>
      </w:r>
    </w:p>
    <w:p>
      <w:pPr>
        <w:pStyle w:val="Heading1"/>
      </w:pPr>
      <w:r>
        <w:rPr>
          <w:rFonts w:ascii="Calibri" w:hAnsi="Calibri"/>
          <w:b/>
          <w:sz w:val="32"/>
          <w:color w:val="2E74B5"/>
        </w:rPr>
        <w:t>11 Maintenance and review</w:t>
      </w:r>
    </w:p>
    <w:p>
      <w:pPr>
        <w:pStyle w:val="Heading2"/>
      </w:pPr>
      <w:r>
        <w:rPr>
          <w:rFonts w:ascii="Calibri" w:hAnsi="Calibri"/>
          <w:b/>
          <w:sz w:val="26"/>
          <w:color w:val="2E74B5"/>
        </w:rPr>
        <w:t>11.1 Review triggers</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2300"/>
        <w:gridCol w:w="4400"/>
        <w:gridCol w:w="2660"/>
      </w:tblGrid>
      <w:tr>
        <w:trPr>
          <w:cantSplit/>
          <w:tblHeader w:val="true"/>
        </w:trPr>
        <w:tc>
          <w:tcPr>
            <w:tcW w:type="dxa" w:w="23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Trigger</w:t>
            </w:r>
          </w:p>
        </w:tc>
        <w:tc>
          <w:tcPr>
            <w:tcW w:type="dxa" w:w="44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Required action</w:t>
            </w:r>
          </w:p>
        </w:tc>
        <w:tc>
          <w:tcPr>
            <w:tcW w:type="dxa" w:w="266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Affected evidence</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Requirement or intended-use change</w:t>
            </w:r>
          </w:p>
        </w:tc>
        <w:tc>
          <w:tcPr>
            <w:tcW w:type="dxa" w:w="44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Reassess class, factor basis, linked risk, control objective and rigor before downstream use.</w:t>
            </w:r>
          </w:p>
        </w:tc>
        <w:tc>
          <w:tcPr>
            <w:tcW w:type="dxa" w:w="26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URS, ITRRA, risk and traceability</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Architecture/configuration decision</w:t>
            </w:r>
          </w:p>
        </w:tc>
        <w:tc>
          <w:tcPr>
            <w:tcW w:type="dxa" w:w="4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Replace Verify placeholders with supported implementation, size, interface and likelihood evidence.</w:t>
            </w:r>
          </w:p>
        </w:tc>
        <w:tc>
          <w:tcPr>
            <w:tcW w:type="dxa" w:w="26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FS/DS/CS/IS and ITRRA</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Supplier/service evidence</w:t>
            </w:r>
          </w:p>
        </w:tc>
        <w:tc>
          <w:tcPr>
            <w:tcW w:type="dxa" w:w="44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Reassess reliance, likelihood, control split, lifecycle and continuity obligations.</w:t>
            </w:r>
          </w:p>
        </w:tc>
        <w:tc>
          <w:tcPr>
            <w:tcW w:type="dxa" w:w="26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SUPA, ITRRA, ITRA and SLA</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Interface/message/protocol change</w:t>
            </w:r>
          </w:p>
        </w:tc>
        <w:tc>
          <w:tcPr>
            <w:tcW w:type="dxa" w:w="4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Reassess source authority, mapping, sequencing, security, error handling, reconciliation and tests.</w:t>
            </w:r>
          </w:p>
        </w:tc>
        <w:tc>
          <w:tcPr>
            <w:tcW w:type="dxa" w:w="26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SYS/IS/ITRA/ITRRA/DIA/tests</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Test result, defect or deviation</w:t>
            </w:r>
          </w:p>
        </w:tc>
        <w:tc>
          <w:tcPr>
            <w:tcW w:type="dxa" w:w="44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Update evidence, control effectiveness, impacted requirements/risks and residual view.</w:t>
            </w:r>
          </w:p>
        </w:tc>
        <w:tc>
          <w:tcPr>
            <w:tcW w:type="dxa" w:w="26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Test run, logs, reports, risk and traceability</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Incident, recovery failure or vulnerability</w:t>
            </w:r>
          </w:p>
        </w:tc>
        <w:tc>
          <w:tcPr>
            <w:tcW w:type="dxa" w:w="4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Preserve evidence, assess GxP/data impact, update controls/risks and verify correction.</w:t>
            </w:r>
          </w:p>
        </w:tc>
        <w:tc>
          <w:tcPr>
            <w:tcW w:type="dxa" w:w="26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Incident/change, ITRA/ITRRA, recovery and release</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Method/template update</w:t>
            </w:r>
          </w:p>
        </w:tc>
        <w:tc>
          <w:tcPr>
            <w:tcW w:type="dxa" w:w="44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Assess calculation and threshold impact; preserve superseded version and rationale.</w:t>
            </w:r>
          </w:p>
        </w:tc>
        <w:tc>
          <w:tcPr>
            <w:tcW w:type="dxa" w:w="266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ITRRA version and change log</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Periodic review</w:t>
            </w:r>
          </w:p>
        </w:tc>
        <w:tc>
          <w:tcPr>
            <w:tcW w:type="dxa" w:w="44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Review continued fitness, controls, changes, incidents, supplier, security, recovery, training and open actions.</w:t>
            </w:r>
          </w:p>
        </w:tc>
        <w:tc>
          <w:tcPr>
            <w:tcW w:type="dxa" w:w="26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O&amp;M, ITPSE, URR and registers</w:t>
            </w:r>
          </w:p>
        </w:tc>
      </w:tr>
    </w:tbl>
    <w:p>
      <w:pPr>
        <w:spacing w:after="40"/>
      </w:pPr>
    </w:p>
    <w:p>
      <w:pPr>
        <w:pStyle w:val="Heading2"/>
      </w:pPr>
      <w:r>
        <w:rPr>
          <w:rFonts w:ascii="Calibri" w:hAnsi="Calibri"/>
          <w:b/>
          <w:sz w:val="26"/>
          <w:color w:val="2E74B5"/>
        </w:rPr>
        <w:t>11.2 Controlled maintenance rules</w:t>
      </w:r>
    </w:p>
    <w:p>
      <w:pPr>
        <w:pStyle w:val="ListBullet"/>
        <w:spacing w:after="60" w:line="240" w:lineRule="auto"/>
      </w:pPr>
      <w:r>
        <w:rPr>
          <w:rFonts w:ascii="Calibri" w:hAnsi="Calibri"/>
          <w:sz w:val="20"/>
          <w:color w:val="000000"/>
        </w:rPr>
        <w:t>Preserve every existing URS and RSK identifier; revise by controlled version, never silent overwrite.</w:t>
      </w:r>
    </w:p>
    <w:p>
      <w:pPr>
        <w:pStyle w:val="ListBullet"/>
        <w:spacing w:after="60" w:line="240" w:lineRule="auto"/>
      </w:pPr>
      <w:r>
        <w:rPr>
          <w:rFonts w:ascii="Calibri" w:hAnsi="Calibri"/>
          <w:sz w:val="20"/>
          <w:color w:val="000000"/>
        </w:rPr>
        <w:t>Add evidence references only after the controlled record exists and is verified against the identifier register.</w:t>
      </w:r>
    </w:p>
    <w:p>
      <w:pPr>
        <w:pStyle w:val="ListBullet"/>
        <w:spacing w:after="60" w:line="240" w:lineRule="auto"/>
      </w:pPr>
      <w:r>
        <w:rPr>
          <w:rFonts w:ascii="Calibri" w:hAnsi="Calibri"/>
          <w:sz w:val="20"/>
          <w:color w:val="000000"/>
        </w:rPr>
        <w:t>Recompute or reclassify only with the approved method and document the reason, old/new result and affected lifecycle activities.</w:t>
      </w:r>
    </w:p>
    <w:p>
      <w:pPr>
        <w:pStyle w:val="ListBullet"/>
        <w:spacing w:after="60" w:line="240" w:lineRule="auto"/>
      </w:pPr>
      <w:r>
        <w:rPr>
          <w:rFonts w:ascii="Calibri" w:hAnsi="Calibri"/>
          <w:sz w:val="20"/>
          <w:color w:val="000000"/>
        </w:rPr>
        <w:t>Communicate changes to design, test, operation and risk owners; update the live traceability register in the same change.</w:t>
      </w:r>
    </w:p>
    <w:p>
      <w:pPr>
        <w:pStyle w:val="ListBullet"/>
        <w:spacing w:after="60" w:line="240" w:lineRule="auto"/>
      </w:pPr>
      <w:r>
        <w:rPr>
          <w:rFonts w:ascii="Calibri" w:hAnsi="Calibri"/>
          <w:sz w:val="20"/>
          <w:color w:val="000000"/>
        </w:rPr>
        <w:t>Keep unresolved evidence explicit as Verify, Planned/Open, Not yet assigned or Not Run.</w:t>
      </w:r>
    </w:p>
    <w:p>
      <w:pPr>
        <w:pStyle w:val="Heading1"/>
      </w:pPr>
      <w:r>
        <w:rPr>
          <w:rFonts w:ascii="Calibri" w:hAnsi="Calibri"/>
          <w:b/>
          <w:sz w:val="32"/>
          <w:color w:val="2E74B5"/>
        </w:rPr>
        <w:t>12 Assumptions and Verify register</w:t>
      </w:r>
    </w:p>
    <w:p>
      <w:pPr>
        <w:pStyle w:val="Heading2"/>
      </w:pPr>
      <w:r>
        <w:rPr>
          <w:rFonts w:ascii="Calibri" w:hAnsi="Calibri"/>
          <w:b/>
          <w:sz w:val="26"/>
          <w:color w:val="2E74B5"/>
        </w:rPr>
        <w:t>12.1 Controlled assumptions</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1700"/>
        <w:gridCol w:w="4700"/>
        <w:gridCol w:w="2960"/>
      </w:tblGrid>
      <w:tr>
        <w:trPr>
          <w:cantSplit/>
          <w:tblHeader w:val="true"/>
        </w:trPr>
        <w:tc>
          <w:tcPr>
            <w:tcW w:type="dxa" w:w="170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Assumption ID</w:t>
            </w:r>
          </w:p>
        </w:tc>
        <w:tc>
          <w:tcPr>
            <w:tcW w:type="dxa" w:w="47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Assumption</w:t>
            </w:r>
          </w:p>
        </w:tc>
        <w:tc>
          <w:tcPr>
            <w:tcW w:type="dxa" w:w="296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Downstream handling</w:t>
            </w:r>
          </w:p>
        </w:tc>
      </w:tr>
      <w:tr>
        <w:trPr>
          <w:cantSplit/>
        </w:trPr>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ASM-ITRRA-001</w:t>
            </w:r>
          </w:p>
        </w:tc>
        <w:tc>
          <w:tcPr>
            <w:tcW w:type="dxa" w:w="4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Exactly 50 current URS remain baselined and GxP relevant.</w:t>
            </w:r>
          </w:p>
        </w:tc>
        <w:tc>
          <w:tcPr>
            <w:tcW w:type="dxa" w:w="29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Reassess and version URS/ITRA/ITRRA if the catalogue changes.</w:t>
            </w:r>
          </w:p>
        </w:tc>
      </w:tr>
      <w:tr>
        <w:trPr>
          <w:cantSplit/>
        </w:trPr>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ASM-ITRRA-002</w:t>
            </w:r>
          </w:p>
        </w:tc>
        <w:tc>
          <w:tcPr>
            <w:tcW w:type="dxa" w:w="4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The ITRA requirement-risk mapping is the current shared risk baseline.</w:t>
            </w:r>
          </w:p>
        </w:tc>
        <w:tc>
          <w:tcPr>
            <w:tcW w:type="dxa" w:w="29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Preserve RSK identifiers and assess changes through the register.</w:t>
            </w:r>
          </w:p>
        </w:tc>
      </w:tr>
      <w:tr>
        <w:trPr>
          <w:cantSplit/>
        </w:trPr>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ASM-ITRRA-003</w:t>
            </w:r>
          </w:p>
        </w:tc>
        <w:tc>
          <w:tcPr>
            <w:tcW w:type="dxa" w:w="4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MES PAS-X intended use and system boundary remain conceptual.</w:t>
            </w:r>
          </w:p>
        </w:tc>
        <w:tc>
          <w:tcPr>
            <w:tcW w:type="dxa" w:w="29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Replace assumptions through SYS/FS/DS/CS/IS evidence.</w:t>
            </w:r>
          </w:p>
        </w:tc>
      </w:tr>
      <w:tr>
        <w:trPr>
          <w:cantSplit/>
        </w:trPr>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ASM-ITRRA-004</w:t>
            </w:r>
          </w:p>
        </w:tc>
        <w:tc>
          <w:tcPr>
            <w:tcW w:type="dxa" w:w="4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No actual custom code/script scope is confirmed.</w:t>
            </w:r>
          </w:p>
        </w:tc>
        <w:tc>
          <w:tcPr>
            <w:tcW w:type="dxa" w:w="29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If in scope, add development verification and code-review controls.</w:t>
            </w:r>
          </w:p>
        </w:tc>
      </w:tr>
      <w:tr>
        <w:trPr>
          <w:cantSplit/>
        </w:trPr>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ASM-ITRRA-005</w:t>
            </w:r>
          </w:p>
        </w:tc>
        <w:tc>
          <w:tcPr>
            <w:tcW w:type="dxa" w:w="4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No actual PAS-X product version, module set, site, environment or protocol is asserted.</w:t>
            </w:r>
          </w:p>
        </w:tc>
        <w:tc>
          <w:tcPr>
            <w:tcW w:type="dxa" w:w="29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Confirm before design/test baselines.</w:t>
            </w:r>
          </w:p>
        </w:tc>
      </w:tr>
      <w:tr>
        <w:trPr>
          <w:cantSplit/>
        </w:trPr>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ASM-ITRRA-006</w:t>
            </w:r>
          </w:p>
        </w:tc>
        <w:tc>
          <w:tcPr>
            <w:tcW w:type="dxa" w:w="4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All role holders, reviews and approvals are fictional.</w:t>
            </w:r>
          </w:p>
        </w:tc>
        <w:tc>
          <w:tcPr>
            <w:tcW w:type="dxa" w:w="29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Never substitute real employee data or signatures.</w:t>
            </w:r>
          </w:p>
        </w:tc>
      </w:tr>
      <w:tr>
        <w:trPr>
          <w:cantSplit/>
        </w:trPr>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ASM-ITRRA-007</w:t>
            </w:r>
          </w:p>
        </w:tc>
        <w:tc>
          <w:tcPr>
            <w:tcW w:type="dxa" w:w="47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Controlled Q0360643 calculation formulas/thresholds are not proven by the supplied PDF.</w:t>
            </w:r>
          </w:p>
        </w:tc>
        <w:tc>
          <w:tcPr>
            <w:tcW w:type="dxa" w:w="29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Use only working qualitative values until verified.</w:t>
            </w:r>
          </w:p>
        </w:tc>
      </w:tr>
      <w:tr>
        <w:trPr>
          <w:cantSplit/>
        </w:trPr>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6"/>
                <w:color w:val="000000"/>
              </w:rPr>
              <w:t>ASM-ITRRA-008</w:t>
            </w:r>
          </w:p>
        </w:tc>
        <w:tc>
          <w:tcPr>
            <w:tcW w:type="dxa" w:w="47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No downstream design, control-implementation or execution evidence exists yet.</w:t>
            </w:r>
          </w:p>
        </w:tc>
        <w:tc>
          <w:tcPr>
            <w:tcW w:type="dxa" w:w="29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Do not assign or infer evidence IDs.</w:t>
            </w:r>
          </w:p>
        </w:tc>
      </w:tr>
    </w:tbl>
    <w:p>
      <w:pPr>
        <w:spacing w:after="40"/>
      </w:pPr>
    </w:p>
    <w:p>
      <w:pPr>
        <w:pStyle w:val="Heading2"/>
      </w:pPr>
      <w:r>
        <w:rPr>
          <w:rFonts w:ascii="Calibri" w:hAnsi="Calibri"/>
          <w:b/>
          <w:sz w:val="26"/>
          <w:color w:val="2E74B5"/>
        </w:rPr>
        <w:t>12.2 Verify register</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1700"/>
        <w:gridCol w:w="5350"/>
        <w:gridCol w:w="2310"/>
      </w:tblGrid>
      <w:tr>
        <w:trPr>
          <w:cantSplit/>
          <w:tblHeader w:val="true"/>
        </w:trPr>
        <w:tc>
          <w:tcPr>
            <w:tcW w:type="dxa" w:w="1700"/>
            <w:tcMar>
              <w:top w:w="70" w:type="dxa"/>
              <w:start w:w="120" w:type="dxa"/>
              <w:bottom w:w="70" w:type="dxa"/>
              <w:end w:w="120" w:type="dxa"/>
            </w:tcMar>
            <w:shd w:fill="0B2545"/>
            <w:vAlign w:val="center"/>
          </w:tcPr>
          <w:p>
            <w:pPr>
              <w:spacing w:before="0" w:after="0" w:line="240" w:lineRule="auto"/>
              <w:jc w:val="center"/>
            </w:pPr>
            <w:r/>
            <w:r>
              <w:rPr>
                <w:rFonts w:ascii="Calibri" w:hAnsi="Calibri"/>
                <w:b/>
                <w:sz w:val="15"/>
                <w:color w:val="FFFFFF"/>
              </w:rPr>
              <w:t>Verify ID</w:t>
            </w:r>
          </w:p>
        </w:tc>
        <w:tc>
          <w:tcPr>
            <w:tcW w:type="dxa" w:w="535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Open item</w:t>
            </w:r>
          </w:p>
        </w:tc>
        <w:tc>
          <w:tcPr>
            <w:tcW w:type="dxa" w:w="231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Owner / resolution evidence</w:t>
            </w:r>
          </w:p>
        </w:tc>
      </w:tr>
      <w:tr>
        <w:trPr>
          <w:cantSplit/>
        </w:trPr>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VER-ITRRA-001</w:t>
            </w:r>
          </w:p>
        </w:tc>
        <w:tc>
          <w:tcPr>
            <w:tcW w:type="dxa" w:w="535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Verify the controlled Q0360643 workbook formulas, factor totals, thresholds and risk-matrix mapping.</w:t>
            </w:r>
          </w:p>
        </w:tc>
        <w:tc>
          <w:tcPr>
            <w:tcW w:type="dxa" w:w="23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Validation Lead / approved template</w:t>
            </w:r>
          </w:p>
        </w:tc>
      </w:tr>
      <w:tr>
        <w:trPr>
          <w:cantSplit/>
        </w:trPr>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VER-ITRRA-002</w:t>
            </w:r>
          </w:p>
        </w:tc>
        <w:tc>
          <w:tcPr>
            <w:tcW w:type="dxa" w:w="53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Verify the approved local ITRRA method, acceptance thresholds and required reviewers/approvers.</w:t>
            </w:r>
          </w:p>
        </w:tc>
        <w:tc>
          <w:tcPr>
            <w:tcW w:type="dxa" w:w="23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IT Risk Responsible / Quality Assurance</w:t>
            </w:r>
          </w:p>
        </w:tc>
      </w:tr>
      <w:tr>
        <w:trPr>
          <w:cantSplit/>
        </w:trPr>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VER-ITRRA-003</w:t>
            </w:r>
          </w:p>
        </w:tc>
        <w:tc>
          <w:tcPr>
            <w:tcW w:type="dxa" w:w="535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Confirm PAS-X product/version, modules, deployment model, sites and environments.</w:t>
            </w:r>
          </w:p>
        </w:tc>
        <w:tc>
          <w:tcPr>
            <w:tcW w:type="dxa" w:w="23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IT Solution Owner / SYS-DS evidence</w:t>
            </w:r>
          </w:p>
        </w:tc>
      </w:tr>
      <w:tr>
        <w:trPr>
          <w:cantSplit/>
        </w:trPr>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VER-ITRRA-004</w:t>
            </w:r>
          </w:p>
        </w:tc>
        <w:tc>
          <w:tcPr>
            <w:tcW w:type="dxa" w:w="53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Confirm each functional requirement's standard/configured/customised implementation category.</w:t>
            </w:r>
          </w:p>
        </w:tc>
        <w:tc>
          <w:tcPr>
            <w:tcW w:type="dxa" w:w="23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FS/DS/CS owners</w:t>
            </w:r>
          </w:p>
        </w:tc>
      </w:tr>
      <w:tr>
        <w:trPr>
          <w:cantSplit/>
        </w:trPr>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VER-ITRRA-005</w:t>
            </w:r>
          </w:p>
        </w:tc>
        <w:tc>
          <w:tcPr>
            <w:tcW w:type="dxa" w:w="535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Confirm functional size and business-logic selections after requirements decomposition.</w:t>
            </w:r>
          </w:p>
        </w:tc>
        <w:tc>
          <w:tcPr>
            <w:tcW w:type="dxa" w:w="23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FS/DS owners</w:t>
            </w:r>
          </w:p>
        </w:tc>
      </w:tr>
      <w:tr>
        <w:trPr>
          <w:cantSplit/>
        </w:trPr>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VER-ITRRA-006</w:t>
            </w:r>
          </w:p>
        </w:tc>
        <w:tc>
          <w:tcPr>
            <w:tcW w:type="dxa" w:w="53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Confirm ERP, LIMS, automation, historian/reporting, identity, time and monitoring products/protocols/messages.</w:t>
            </w:r>
          </w:p>
        </w:tc>
        <w:tc>
          <w:tcPr>
            <w:tcW w:type="dxa" w:w="23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Integration Lead / IS</w:t>
            </w:r>
          </w:p>
        </w:tc>
      </w:tr>
      <w:tr>
        <w:trPr>
          <w:cantSplit/>
        </w:trPr>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VER-ITRRA-007</w:t>
            </w:r>
          </w:p>
        </w:tc>
        <w:tc>
          <w:tcPr>
            <w:tcW w:type="dxa" w:w="535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Confirm actual intended-use frequency and affected user/site population.</w:t>
            </w:r>
          </w:p>
        </w:tc>
        <w:tc>
          <w:tcPr>
            <w:tcW w:type="dxa" w:w="23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Process Owner / operational model</w:t>
            </w:r>
          </w:p>
        </w:tc>
      </w:tr>
      <w:tr>
        <w:trPr>
          <w:cantSplit/>
        </w:trPr>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VER-ITRRA-008</w:t>
            </w:r>
          </w:p>
        </w:tc>
        <w:tc>
          <w:tcPr>
            <w:tcW w:type="dxa" w:w="53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Confirm supplier/service-provider capability, evidence, support status and shared control responsibilities.</w:t>
            </w:r>
          </w:p>
        </w:tc>
        <w:tc>
          <w:tcPr>
            <w:tcW w:type="dxa" w:w="23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Supplier Manager / SUPA</w:t>
            </w:r>
          </w:p>
        </w:tc>
      </w:tr>
      <w:tr>
        <w:trPr>
          <w:cantSplit/>
        </w:trPr>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VER-ITRRA-009</w:t>
            </w:r>
          </w:p>
        </w:tc>
        <w:tc>
          <w:tcPr>
            <w:tcW w:type="dxa" w:w="535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Confirm retention, archive, legal-hold, copy and readability requirements.</w:t>
            </w:r>
          </w:p>
        </w:tc>
        <w:tc>
          <w:tcPr>
            <w:tcW w:type="dxa" w:w="23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Records Owner / DIA / O&amp;M</w:t>
            </w:r>
          </w:p>
        </w:tc>
      </w:tr>
      <w:tr>
        <w:trPr>
          <w:cantSplit/>
        </w:trPr>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VER-ITRRA-010</w:t>
            </w:r>
          </w:p>
        </w:tc>
        <w:tc>
          <w:tcPr>
            <w:tcW w:type="dxa" w:w="53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Confirm electronic-signature meanings, roles and point-of-signing authentication.</w:t>
            </w:r>
          </w:p>
        </w:tc>
        <w:tc>
          <w:tcPr>
            <w:tcW w:type="dxa" w:w="23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Process Owner / QA / CS</w:t>
            </w:r>
          </w:p>
        </w:tc>
      </w:tr>
      <w:tr>
        <w:trPr>
          <w:cantSplit/>
        </w:trPr>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VER-ITRRA-011</w:t>
            </w:r>
          </w:p>
        </w:tc>
        <w:tc>
          <w:tcPr>
            <w:tcW w:type="dxa" w:w="535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Confirm audit-trail event coverage, retention and review populations/frequencies.</w:t>
            </w:r>
          </w:p>
        </w:tc>
        <w:tc>
          <w:tcPr>
            <w:tcW w:type="dxa" w:w="23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Data Integrity SME / ATR</w:t>
            </w:r>
          </w:p>
        </w:tc>
      </w:tr>
      <w:tr>
        <w:trPr>
          <w:cantSplit/>
        </w:trPr>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VER-ITRRA-012</w:t>
            </w:r>
          </w:p>
        </w:tc>
        <w:tc>
          <w:tcPr>
            <w:tcW w:type="dxa" w:w="53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Confirm recovery priorities, RPO/RTO/WRT/MTD and dependency sequence.</w:t>
            </w:r>
          </w:p>
        </w:tc>
        <w:tc>
          <w:tcPr>
            <w:tcW w:type="dxa" w:w="23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Service/Recovery Lead</w:t>
            </w:r>
          </w:p>
        </w:tc>
      </w:tr>
      <w:tr>
        <w:trPr>
          <w:cantSplit/>
        </w:trPr>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VER-ITRRA-013</w:t>
            </w:r>
          </w:p>
        </w:tc>
        <w:tc>
          <w:tcPr>
            <w:tcW w:type="dxa" w:w="535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Confirm migration/initial-load applicability and source-to-target control scope.</w:t>
            </w:r>
          </w:p>
        </w:tc>
        <w:tc>
          <w:tcPr>
            <w:tcW w:type="dxa" w:w="23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Data Owner / DIA / change plan</w:t>
            </w:r>
          </w:p>
        </w:tc>
      </w:tr>
      <w:tr>
        <w:trPr>
          <w:cantSplit/>
        </w:trPr>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VER-ITRRA-014</w:t>
            </w:r>
          </w:p>
        </w:tc>
        <w:tc>
          <w:tcPr>
            <w:tcW w:type="dxa" w:w="53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Replace Working Possible likelihood with supported technical/operational evidence.</w:t>
            </w:r>
          </w:p>
        </w:tc>
        <w:tc>
          <w:tcPr>
            <w:tcW w:type="dxa" w:w="23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IT Risk Responsible / design and service evidence</w:t>
            </w:r>
          </w:p>
        </w:tc>
      </w:tr>
      <w:tr>
        <w:trPr>
          <w:cantSplit/>
        </w:trPr>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VER-ITRRA-015</w:t>
            </w:r>
          </w:p>
        </w:tc>
        <w:tc>
          <w:tcPr>
            <w:tcW w:type="dxa" w:w="535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Create and approve FS/DS/CS/IS references without breaking URS/risk traceability.</w:t>
            </w:r>
          </w:p>
        </w:tc>
        <w:tc>
          <w:tcPr>
            <w:tcW w:type="dxa" w:w="23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Design owners / DRR</w:t>
            </w:r>
          </w:p>
        </w:tc>
      </w:tr>
      <w:tr>
        <w:trPr>
          <w:cantSplit/>
        </w:trPr>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VER-ITRRA-016</w:t>
            </w:r>
          </w:p>
        </w:tc>
        <w:tc>
          <w:tcPr>
            <w:tcW w:type="dxa" w:w="53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Create controlled test case IDs and demonstrate assigned verification rigor.</w:t>
            </w:r>
          </w:p>
        </w:tc>
        <w:tc>
          <w:tcPr>
            <w:tcW w:type="dxa" w:w="23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Test Manager / IQP-IQTC</w:t>
            </w:r>
          </w:p>
        </w:tc>
      </w:tr>
      <w:tr>
        <w:trPr>
          <w:cantSplit/>
        </w:trPr>
        <w:tc>
          <w:tcPr>
            <w:tcW w:type="dxa" w:w="17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VER-ITRRA-017</w:t>
            </w:r>
          </w:p>
        </w:tc>
        <w:tc>
          <w:tcPr>
            <w:tcW w:type="dxa" w:w="535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Reassess residual risks after controls, evidence and exception review; obtain authorised acceptance.</w:t>
            </w:r>
          </w:p>
        </w:tc>
        <w:tc>
          <w:tcPr>
            <w:tcW w:type="dxa" w:w="23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IT Solution Owner / QA</w:t>
            </w:r>
          </w:p>
        </w:tc>
      </w:tr>
      <w:tr>
        <w:trPr>
          <w:cantSplit/>
        </w:trPr>
        <w:tc>
          <w:tcPr>
            <w:tcW w:type="dxa" w:w="17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VER-ITRRA-018</w:t>
            </w:r>
          </w:p>
        </w:tc>
        <w:tc>
          <w:tcPr>
            <w:tcW w:type="dxa" w:w="535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Confirm ownership, storage and versioning of the live requirement/risk/traceability registers.</w:t>
            </w:r>
          </w:p>
        </w:tc>
        <w:tc>
          <w:tcPr>
            <w:tcW w:type="dxa" w:w="23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Validation Lead / document owner</w:t>
            </w:r>
          </w:p>
        </w:tc>
      </w:tr>
    </w:tbl>
    <w:p>
      <w:pPr>
        <w:spacing w:after="40"/>
      </w:pPr>
    </w:p>
    <w:p>
      <w:pPr>
        <w:pStyle w:val="Heading1"/>
      </w:pPr>
      <w:r>
        <w:rPr>
          <w:rFonts w:ascii="Calibri" w:hAnsi="Calibri"/>
          <w:b/>
          <w:sz w:val="32"/>
          <w:color w:val="2E74B5"/>
        </w:rPr>
        <w:t>13 Quality gate</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650"/>
        <w:gridCol w:w="2500"/>
        <w:gridCol w:w="1100"/>
        <w:gridCol w:w="5110"/>
      </w:tblGrid>
      <w:tr>
        <w:trPr>
          <w:cantSplit/>
          <w:tblHeader w:val="true"/>
        </w:trPr>
        <w:tc>
          <w:tcPr>
            <w:tcW w:type="dxa" w:w="650"/>
            <w:tcMar>
              <w:top w:w="70" w:type="dxa"/>
              <w:start w:w="120" w:type="dxa"/>
              <w:bottom w:w="70" w:type="dxa"/>
              <w:end w:w="120" w:type="dxa"/>
            </w:tcMar>
            <w:shd w:fill="0B2545"/>
            <w:vAlign w:val="center"/>
          </w:tcPr>
          <w:p>
            <w:pPr>
              <w:spacing w:before="0" w:after="0" w:line="240" w:lineRule="auto"/>
              <w:jc w:val="center"/>
            </w:pPr>
            <w:r/>
            <w:r>
              <w:rPr>
                <w:rFonts w:ascii="Calibri" w:hAnsi="Calibri"/>
                <w:b/>
                <w:sz w:val="15"/>
                <w:color w:val="FFFFFF"/>
              </w:rPr>
              <w:t>No.</w:t>
            </w:r>
          </w:p>
        </w:tc>
        <w:tc>
          <w:tcPr>
            <w:tcW w:type="dxa" w:w="250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Quality gate</w:t>
            </w:r>
          </w:p>
        </w:tc>
        <w:tc>
          <w:tcPr>
            <w:tcW w:type="dxa" w:w="1100"/>
            <w:tcMar>
              <w:top w:w="70" w:type="dxa"/>
              <w:start w:w="120" w:type="dxa"/>
              <w:bottom w:w="70" w:type="dxa"/>
              <w:end w:w="120" w:type="dxa"/>
            </w:tcMar>
            <w:shd w:fill="0B2545"/>
            <w:vAlign w:val="center"/>
          </w:tcPr>
          <w:p>
            <w:pPr>
              <w:spacing w:before="0" w:after="0" w:line="240" w:lineRule="auto"/>
              <w:jc w:val="center"/>
            </w:pPr>
            <w:r/>
            <w:r>
              <w:rPr>
                <w:rFonts w:ascii="Calibri" w:hAnsi="Calibri"/>
                <w:b/>
                <w:sz w:val="15"/>
                <w:color w:val="FFFFFF"/>
              </w:rPr>
              <w:t>Result</w:t>
            </w:r>
          </w:p>
        </w:tc>
        <w:tc>
          <w:tcPr>
            <w:tcW w:type="dxa" w:w="5110"/>
            <w:tcMar>
              <w:top w:w="70" w:type="dxa"/>
              <w:start w:w="120" w:type="dxa"/>
              <w:bottom w:w="70" w:type="dxa"/>
              <w:end w:w="120" w:type="dxa"/>
            </w:tcMar>
            <w:shd w:fill="0B2545"/>
            <w:vAlign w:val="center"/>
          </w:tcPr>
          <w:p>
            <w:pPr>
              <w:spacing w:before="0" w:after="0" w:line="240" w:lineRule="auto"/>
              <w:jc w:val="left"/>
            </w:pPr>
            <w:r/>
            <w:r>
              <w:rPr>
                <w:rFonts w:ascii="Calibri" w:hAnsi="Calibri"/>
                <w:b/>
                <w:sz w:val="15"/>
                <w:color w:val="FFFFFF"/>
              </w:rPr>
              <w:t>Evidence</w:t>
            </w:r>
          </w:p>
        </w:tc>
      </w:tr>
      <w:tr>
        <w:trPr>
          <w:cantSplit/>
        </w:trPr>
        <w:tc>
          <w:tcPr>
            <w:tcW w:type="dxa" w:w="65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1</w:t>
            </w:r>
          </w:p>
        </w:tc>
        <w:tc>
          <w:tcPr>
            <w:tcW w:type="dxa" w:w="25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Exact dummy status</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Pass</w:t>
            </w:r>
          </w:p>
        </w:tc>
        <w:tc>
          <w:tcPr>
            <w:tcW w:type="dxa" w:w="51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Simulated Reviewed and Approved for Demo/Training Use Only.</w:t>
            </w:r>
          </w:p>
        </w:tc>
      </w:tr>
      <w:tr>
        <w:trPr>
          <w:cantSplit/>
        </w:trPr>
        <w:tc>
          <w:tcPr>
            <w:tcW w:type="dxa" w:w="6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2</w:t>
            </w:r>
          </w:p>
        </w:tc>
        <w:tc>
          <w:tcPr>
            <w:tcW w:type="dxa" w:w="2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Exact footer disclaimer</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Pass</w:t>
            </w:r>
          </w:p>
        </w:tc>
        <w:tc>
          <w:tcPr>
            <w:tcW w:type="dxa" w:w="51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Dummy document created for hackathon/training simulation only. Not valid for operational, regulatory, inspection, or GxP release use.</w:t>
            </w:r>
          </w:p>
        </w:tc>
      </w:tr>
      <w:tr>
        <w:trPr>
          <w:cantSplit/>
        </w:trPr>
        <w:tc>
          <w:tcPr>
            <w:tcW w:type="dxa" w:w="65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3</w:t>
            </w:r>
          </w:p>
        </w:tc>
        <w:tc>
          <w:tcPr>
            <w:tcW w:type="dxa" w:w="25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Controlled URS population</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Pass</w:t>
            </w:r>
          </w:p>
        </w:tc>
        <w:tc>
          <w:tcPr>
            <w:tcW w:type="dxa" w:w="51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Exactly URS-MES-001 through 050; no additions or omissions.</w:t>
            </w:r>
          </w:p>
        </w:tc>
      </w:tr>
      <w:tr>
        <w:trPr>
          <w:cantSplit/>
        </w:trPr>
        <w:tc>
          <w:tcPr>
            <w:tcW w:type="dxa" w:w="6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4</w:t>
            </w:r>
          </w:p>
        </w:tc>
        <w:tc>
          <w:tcPr>
            <w:tcW w:type="dxa" w:w="2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Functional/non-functional classification</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Pass</w:t>
            </w:r>
          </w:p>
        </w:tc>
        <w:tc>
          <w:tcPr>
            <w:tcW w:type="dxa" w:w="51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25 / 25; each URS has one class.</w:t>
            </w:r>
          </w:p>
        </w:tc>
      </w:tr>
      <w:tr>
        <w:trPr>
          <w:cantSplit/>
        </w:trPr>
        <w:tc>
          <w:tcPr>
            <w:tcW w:type="dxa" w:w="65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5</w:t>
            </w:r>
          </w:p>
        </w:tc>
        <w:tc>
          <w:tcPr>
            <w:tcW w:type="dxa" w:w="25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Shared risk namespace</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Pass</w:t>
            </w:r>
          </w:p>
        </w:tc>
        <w:tc>
          <w:tcPr>
            <w:tcW w:type="dxa" w:w="51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Only RSK-MES-001 through 026; 26/26 used.</w:t>
            </w:r>
          </w:p>
        </w:tc>
      </w:tr>
      <w:tr>
        <w:trPr>
          <w:cantSplit/>
        </w:trPr>
        <w:tc>
          <w:tcPr>
            <w:tcW w:type="dxa" w:w="6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6</w:t>
            </w:r>
          </w:p>
        </w:tc>
        <w:tc>
          <w:tcPr>
            <w:tcW w:type="dxa" w:w="2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Working distribution</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Pass</w:t>
            </w:r>
          </w:p>
        </w:tc>
        <w:tc>
          <w:tcPr>
            <w:tcW w:type="dxa" w:w="51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49 Working High; 1 Working Medium; 0 Working Low.</w:t>
            </w:r>
          </w:p>
        </w:tc>
      </w:tr>
      <w:tr>
        <w:trPr>
          <w:cantSplit/>
        </w:trPr>
        <w:tc>
          <w:tcPr>
            <w:tcW w:type="dxa" w:w="65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7</w:t>
            </w:r>
          </w:p>
        </w:tc>
        <w:tc>
          <w:tcPr>
            <w:tcW w:type="dxa" w:w="25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Method limitation</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Pass</w:t>
            </w:r>
          </w:p>
        </w:tc>
        <w:tc>
          <w:tcPr>
            <w:tcW w:type="dxa" w:w="51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No numeric total, final composite or unsupported threshold asserted.</w:t>
            </w:r>
          </w:p>
        </w:tc>
      </w:tr>
      <w:tr>
        <w:trPr>
          <w:cantSplit/>
        </w:trPr>
        <w:tc>
          <w:tcPr>
            <w:tcW w:type="dxa" w:w="6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8</w:t>
            </w:r>
          </w:p>
        </w:tc>
        <w:tc>
          <w:tcPr>
            <w:tcW w:type="dxa" w:w="2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Control and owner route</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Pass</w:t>
            </w:r>
          </w:p>
        </w:tc>
        <w:tc>
          <w:tcPr>
            <w:tcW w:type="dxa" w:w="51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Every URS has a control objective and accountable fictional roles.</w:t>
            </w:r>
          </w:p>
        </w:tc>
      </w:tr>
      <w:tr>
        <w:trPr>
          <w:cantSplit/>
        </w:trPr>
        <w:tc>
          <w:tcPr>
            <w:tcW w:type="dxa" w:w="65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9</w:t>
            </w:r>
          </w:p>
        </w:tc>
        <w:tc>
          <w:tcPr>
            <w:tcW w:type="dxa" w:w="25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Verification-rigor coverage</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Pass</w:t>
            </w:r>
          </w:p>
        </w:tc>
        <w:tc>
          <w:tcPr>
            <w:tcW w:type="dxa" w:w="51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50/50 URS have provisional rigor and domain focus.</w:t>
            </w:r>
          </w:p>
        </w:tc>
      </w:tr>
      <w:tr>
        <w:trPr>
          <w:cantSplit/>
        </w:trPr>
        <w:tc>
          <w:tcPr>
            <w:tcW w:type="dxa" w:w="6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10</w:t>
            </w:r>
          </w:p>
        </w:tc>
        <w:tc>
          <w:tcPr>
            <w:tcW w:type="dxa" w:w="2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Residual/acceptance state</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Pass</w:t>
            </w:r>
          </w:p>
        </w:tc>
        <w:tc>
          <w:tcPr>
            <w:tcW w:type="dxa" w:w="51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0/26 residual risks rated or accepted; state explicit.</w:t>
            </w:r>
          </w:p>
        </w:tc>
      </w:tr>
      <w:tr>
        <w:trPr>
          <w:cantSplit/>
        </w:trPr>
        <w:tc>
          <w:tcPr>
            <w:tcW w:type="dxa" w:w="65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11</w:t>
            </w:r>
          </w:p>
        </w:tc>
        <w:tc>
          <w:tcPr>
            <w:tcW w:type="dxa" w:w="25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Traceability update</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Pass</w:t>
            </w:r>
          </w:p>
        </w:tc>
        <w:tc>
          <w:tcPr>
            <w:tcW w:type="dxa" w:w="51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16 fields plus 50-row live view and bidirectional checks.</w:t>
            </w:r>
          </w:p>
        </w:tc>
      </w:tr>
      <w:tr>
        <w:trPr>
          <w:cantSplit/>
        </w:trPr>
        <w:tc>
          <w:tcPr>
            <w:tcW w:type="dxa" w:w="6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12</w:t>
            </w:r>
          </w:p>
        </w:tc>
        <w:tc>
          <w:tcPr>
            <w:tcW w:type="dxa" w:w="2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Evidence integrity</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Pass</w:t>
            </w:r>
          </w:p>
        </w:tc>
        <w:tc>
          <w:tcPr>
            <w:tcW w:type="dxa" w:w="51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No fabricated FS/DS/CS/test/result/defect/deviation/change/incident IDs.</w:t>
            </w:r>
          </w:p>
        </w:tc>
      </w:tr>
      <w:tr>
        <w:trPr>
          <w:cantSplit/>
        </w:trPr>
        <w:tc>
          <w:tcPr>
            <w:tcW w:type="dxa" w:w="65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13</w:t>
            </w:r>
          </w:p>
        </w:tc>
        <w:tc>
          <w:tcPr>
            <w:tcW w:type="dxa" w:w="25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Source control</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Pass</w:t>
            </w:r>
          </w:p>
        </w:tc>
        <w:tc>
          <w:tcPr>
            <w:tcW w:type="dxa" w:w="51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Visible source versions and all material gaps/Verify items recorded.</w:t>
            </w:r>
          </w:p>
        </w:tc>
      </w:tr>
      <w:tr>
        <w:trPr>
          <w:cantSplit/>
        </w:trPr>
        <w:tc>
          <w:tcPr>
            <w:tcW w:type="dxa" w:w="65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14</w:t>
            </w:r>
          </w:p>
        </w:tc>
        <w:tc>
          <w:tcPr>
            <w:tcW w:type="dxa" w:w="25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Document structure/accessibility</w:t>
            </w:r>
          </w:p>
        </w:tc>
        <w:tc>
          <w:tcPr>
            <w:tcW w:type="dxa" w:w="1100"/>
            <w:tcMar>
              <w:top w:w="70" w:type="dxa"/>
              <w:start w:w="120" w:type="dxa"/>
              <w:bottom w:w="70" w:type="dxa"/>
              <w:end w:w="120" w:type="dxa"/>
            </w:tcMar>
            <w:shd w:fill="F2F4F7"/>
            <w:vAlign w:val="center"/>
          </w:tcPr>
          <w:p>
            <w:pPr>
              <w:spacing w:before="0" w:after="0" w:line="240" w:lineRule="auto"/>
              <w:jc w:val="center"/>
            </w:pPr>
            <w:r/>
            <w:r>
              <w:rPr>
                <w:rFonts w:ascii="Calibri" w:hAnsi="Calibri"/>
                <w:b w:val="0"/>
                <w:sz w:val="15"/>
                <w:color w:val="000000"/>
              </w:rPr>
              <w:t>Pass</w:t>
            </w:r>
          </w:p>
        </w:tc>
        <w:tc>
          <w:tcPr>
            <w:tcW w:type="dxa" w:w="511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5"/>
                <w:color w:val="000000"/>
              </w:rPr>
              <w:t>Real heading hierarchy, repeated table headers and exact table geometry.</w:t>
            </w:r>
          </w:p>
        </w:tc>
      </w:tr>
      <w:tr>
        <w:trPr>
          <w:cantSplit/>
        </w:trPr>
        <w:tc>
          <w:tcPr>
            <w:tcW w:type="dxa" w:w="65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15</w:t>
            </w:r>
          </w:p>
        </w:tc>
        <w:tc>
          <w:tcPr>
            <w:tcW w:type="dxa" w:w="250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Rendered delivery gate</w:t>
            </w:r>
          </w:p>
        </w:tc>
        <w:tc>
          <w:tcPr>
            <w:tcW w:type="dxa" w:w="1100"/>
            <w:tcMar>
              <w:top w:w="70" w:type="dxa"/>
              <w:start w:w="120" w:type="dxa"/>
              <w:bottom w:w="70" w:type="dxa"/>
              <w:end w:w="120" w:type="dxa"/>
            </w:tcMar>
            <w:vAlign w:val="center"/>
          </w:tcPr>
          <w:p>
            <w:pPr>
              <w:spacing w:before="0" w:after="0" w:line="240" w:lineRule="auto"/>
              <w:jc w:val="center"/>
            </w:pPr>
            <w:r/>
            <w:r>
              <w:rPr>
                <w:rFonts w:ascii="Calibri" w:hAnsi="Calibri"/>
                <w:b w:val="0"/>
                <w:sz w:val="15"/>
                <w:color w:val="000000"/>
              </w:rPr>
              <w:t>Pass</w:t>
            </w:r>
          </w:p>
        </w:tc>
        <w:tc>
          <w:tcPr>
            <w:tcW w:type="dxa" w:w="5110"/>
            <w:tcMar>
              <w:top w:w="70" w:type="dxa"/>
              <w:start w:w="120" w:type="dxa"/>
              <w:bottom w:w="70" w:type="dxa"/>
              <w:end w:w="120" w:type="dxa"/>
            </w:tcMar>
            <w:vAlign w:val="center"/>
          </w:tcPr>
          <w:p>
            <w:pPr>
              <w:spacing w:before="0" w:after="0" w:line="240" w:lineRule="auto"/>
              <w:jc w:val="left"/>
            </w:pPr>
            <w:r/>
            <w:r>
              <w:rPr>
                <w:rFonts w:ascii="Calibri" w:hAnsi="Calibri"/>
                <w:b w:val="0"/>
                <w:sz w:val="15"/>
                <w:color w:val="000000"/>
              </w:rPr>
              <w:t>Final Word render inspected page by page before target-folder delivery.</w:t>
            </w:r>
          </w:p>
        </w:tc>
      </w:tr>
    </w:tbl>
    <w:p>
      <w:pPr>
        <w:spacing w:after="40"/>
      </w:pPr>
    </w:p>
    <w:p>
      <w:pPr>
        <w:pStyle w:val="Heading1"/>
      </w:pPr>
      <w:r>
        <w:rPr>
          <w:rFonts w:ascii="Calibri" w:hAnsi="Calibri"/>
          <w:b/>
          <w:sz w:val="32"/>
          <w:color w:val="2E74B5"/>
        </w:rPr>
        <w:t>14 Glossary, final status and change log</w:t>
      </w:r>
    </w:p>
    <w:p>
      <w:pPr>
        <w:pStyle w:val="Heading2"/>
      </w:pPr>
      <w:r>
        <w:rPr>
          <w:rFonts w:ascii="Calibri" w:hAnsi="Calibri"/>
          <w:b/>
          <w:sz w:val="26"/>
          <w:color w:val="2E74B5"/>
        </w:rPr>
        <w:t>14.1 Glossary</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2300"/>
        <w:gridCol w:w="7060"/>
      </w:tblGrid>
      <w:tr>
        <w:trPr>
          <w:cantSplit/>
          <w:tblHeader w:val="true"/>
        </w:trPr>
        <w:tc>
          <w:tcPr>
            <w:tcW w:type="dxa" w:w="23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Term</w:t>
            </w:r>
          </w:p>
        </w:tc>
        <w:tc>
          <w:tcPr>
            <w:tcW w:type="dxa" w:w="706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Meaning in this document</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ALCOA+</w:t>
            </w:r>
          </w:p>
        </w:tc>
        <w:tc>
          <w:tcPr>
            <w:tcW w:type="dxa" w:w="7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Attributable, legible, contemporaneous, original/true copy, accurate, complete, consistent, enduring and available data qualities.</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Composite risk</w:t>
            </w:r>
          </w:p>
        </w:tc>
        <w:tc>
          <w:tcPr>
            <w:tcW w:type="dxa" w:w="7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Template-derived requirement risk result from impact and likelihood; not calculated in this working document.</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Control objective</w:t>
            </w:r>
          </w:p>
        </w:tc>
        <w:tc>
          <w:tcPr>
            <w:tcW w:type="dxa" w:w="7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Preventive, detective, corrective, procedural or technical outcome intended to reduce a linked risk.</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Functional requirement</w:t>
            </w:r>
          </w:p>
        </w:tc>
        <w:tc>
          <w:tcPr>
            <w:tcW w:type="dxa" w:w="7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Requirement describing system behaviour, user interaction, calculation, data change, interface or reporting function.</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ITRA</w:t>
            </w:r>
          </w:p>
        </w:tc>
        <w:tc>
          <w:tcPr>
            <w:tcW w:type="dxa" w:w="7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System-level IT Risk Assessment covering IT quality, security, data integrity, privacy and continuity.</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ITRRA</w:t>
            </w:r>
          </w:p>
        </w:tc>
        <w:tc>
          <w:tcPr>
            <w:tcW w:type="dxa" w:w="7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IT Requirement Risk Assessment covering overall quality risks and detailed functional/non-functional GxP requirements.</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Non-functional requirement</w:t>
            </w:r>
          </w:p>
        </w:tc>
        <w:tc>
          <w:tcPr>
            <w:tcW w:type="dxa" w:w="7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Requirement describing qualities or lifecycle controls such as security, records, audit, integrity, availability, support or maintenance.</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Residual / net risk</w:t>
            </w:r>
          </w:p>
        </w:tc>
        <w:tc>
          <w:tcPr>
            <w:tcW w:type="dxa" w:w="7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Risk remaining after implemented and verified controls; not rated in this document.</w:t>
            </w:r>
          </w:p>
        </w:tc>
      </w:tr>
      <w:tr>
        <w:trPr>
          <w:cantSplit/>
        </w:trPr>
        <w:tc>
          <w:tcPr>
            <w:tcW w:type="dxa" w:w="2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Verification rigor</w:t>
            </w:r>
          </w:p>
        </w:tc>
        <w:tc>
          <w:tcPr>
            <w:tcW w:type="dxa" w:w="70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Working breadth, depth, challenge, boundary, negative and end-to-end evidence expected for a requirement.</w:t>
            </w:r>
          </w:p>
        </w:tc>
      </w:tr>
      <w:tr>
        <w:trPr>
          <w:cantSplit/>
        </w:trPr>
        <w:tc>
          <w:tcPr>
            <w:tcW w:type="dxa" w:w="230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Working High / Medium</w:t>
            </w:r>
          </w:p>
        </w:tc>
        <w:tc>
          <w:tcPr>
            <w:tcW w:type="dxa" w:w="7060"/>
            <w:tcMar>
              <w:top w:w="70" w:type="dxa"/>
              <w:start w:w="120" w:type="dxa"/>
              <w:bottom w:w="70" w:type="dxa"/>
              <w:end w:w="120" w:type="dxa"/>
            </w:tcMar>
            <w:shd w:fill="F2F4F7"/>
            <w:vAlign w:val="center"/>
          </w:tcPr>
          <w:p>
            <w:pPr>
              <w:spacing w:before="0" w:after="0" w:line="240" w:lineRule="auto"/>
              <w:jc w:val="left"/>
            </w:pPr>
            <w:r/>
            <w:r>
              <w:rPr>
                <w:rFonts w:ascii="Calibri" w:hAnsi="Calibri"/>
                <w:b w:val="0"/>
                <w:sz w:val="16"/>
                <w:color w:val="000000"/>
              </w:rPr>
              <w:t>Explicitly provisional qualitative placeholder pending approved method and supporting evidence.</w:t>
            </w:r>
          </w:p>
        </w:tc>
      </w:tr>
    </w:tbl>
    <w:p>
      <w:pPr>
        <w:spacing w:after="40"/>
      </w:pPr>
    </w:p>
    <w:p>
      <w:pPr>
        <w:pStyle w:val="Heading2"/>
      </w:pPr>
      <w:r>
        <w:rPr>
          <w:rFonts w:ascii="Calibri" w:hAnsi="Calibri"/>
          <w:b/>
          <w:sz w:val="26"/>
          <w:color w:val="2E74B5"/>
        </w:rPr>
        <w:t>14.2 Final simulated status</w:t>
      </w:r>
    </w:p>
    <w:p>
      <w:pPr>
        <w:spacing w:before="80" w:after="160"/>
        <w:ind w:left="120" w:right="120"/>
        <w:shd w:fill="E2F0D9"/>
        <w:pBdr>
          <w:left w:val="single" w:sz="18" w:space="4" w:color="375623"/>
        </w:pBdr>
      </w:pPr>
      <w:r>
        <w:rPr>
          <w:rFonts w:ascii="Calibri" w:hAnsi="Calibri"/>
          <w:b/>
          <w:sz w:val="19"/>
          <w:color w:val="375623"/>
        </w:rPr>
        <w:t xml:space="preserve">Status. </w:t>
      </w:r>
      <w:r>
        <w:rPr>
          <w:rFonts w:ascii="Calibri" w:hAnsi="Calibri"/>
          <w:b w:val="0"/>
          <w:sz w:val="19"/>
          <w:color w:val="000000"/>
        </w:rPr>
        <w:t>Simulated Reviewed and Approved for Demo/Training Use Only. No handwritten or electronic signature has been applied. The simulated review entries have no operational or regulatory effect. All numeric calculation, technical-factor confirmation, control evidence, test evidence, residual-risk rating and acceptance remain pending.</w:t>
      </w:r>
    </w:p>
    <w:p>
      <w:pPr>
        <w:pStyle w:val="Heading2"/>
      </w:pPr>
      <w:r>
        <w:rPr>
          <w:rFonts w:ascii="Calibri" w:hAnsi="Calibri"/>
          <w:b/>
          <w:sz w:val="26"/>
          <w:color w:val="2E74B5"/>
        </w:rPr>
        <w:t>14.3 Final change log</w:t>
      </w:r>
    </w:p>
    <w:tbl>
      <w:tblPr>
        <w:tblW w:type="dxa" w:w="9360"/>
        <w:tblLayout w:type="fixed"/>
        <w:tblLook w:firstColumn="1" w:firstRow="1" w:lastColumn="0" w:lastRow="0" w:noHBand="0" w:noVBand="1" w:val="04A0"/>
        <w:tblInd w:w="120" w:type="dxa"/>
        <w:tblBorders>
          <w:top w:val="single" w:sz="4" w:space="0" w:color="A6B1BE"/>
          <w:left w:val="single" w:sz="4" w:space="0" w:color="A6B1BE"/>
          <w:bottom w:val="single" w:sz="4" w:space="0" w:color="A6B1BE"/>
          <w:right w:val="single" w:sz="4" w:space="0" w:color="A6B1BE"/>
          <w:insideH w:val="single" w:sz="4" w:space="0" w:color="A6B1BE"/>
          <w:insideV w:val="single" w:sz="4" w:space="0" w:color="A6B1BE"/>
        </w:tblBorders>
      </w:tblPr>
      <w:tblGrid>
        <w:gridCol w:w="900"/>
        <w:gridCol w:w="1400"/>
        <w:gridCol w:w="4300"/>
        <w:gridCol w:w="2760"/>
      </w:tblGrid>
      <w:tr>
        <w:trPr>
          <w:cantSplit/>
          <w:tblHeader w:val="true"/>
        </w:trPr>
        <w:tc>
          <w:tcPr>
            <w:tcW w:type="dxa" w:w="90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Version</w:t>
            </w:r>
          </w:p>
        </w:tc>
        <w:tc>
          <w:tcPr>
            <w:tcW w:type="dxa" w:w="1400"/>
            <w:tcMar>
              <w:top w:w="70" w:type="dxa"/>
              <w:start w:w="120" w:type="dxa"/>
              <w:bottom w:w="70" w:type="dxa"/>
              <w:end w:w="120" w:type="dxa"/>
            </w:tcMar>
            <w:shd w:fill="0B2545"/>
            <w:vAlign w:val="center"/>
          </w:tcPr>
          <w:p>
            <w:pPr>
              <w:spacing w:before="0" w:after="0" w:line="240" w:lineRule="auto"/>
              <w:jc w:val="center"/>
            </w:pPr>
            <w:r/>
            <w:r>
              <w:rPr>
                <w:rFonts w:ascii="Calibri" w:hAnsi="Calibri"/>
                <w:b/>
                <w:sz w:val="16"/>
                <w:color w:val="FFFFFF"/>
              </w:rPr>
              <w:t>Date</w:t>
            </w:r>
          </w:p>
        </w:tc>
        <w:tc>
          <w:tcPr>
            <w:tcW w:type="dxa" w:w="430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Change</w:t>
            </w:r>
          </w:p>
        </w:tc>
        <w:tc>
          <w:tcPr>
            <w:tcW w:type="dxa" w:w="2760"/>
            <w:tcMar>
              <w:top w:w="70" w:type="dxa"/>
              <w:start w:w="120" w:type="dxa"/>
              <w:bottom w:w="70" w:type="dxa"/>
              <w:end w:w="120" w:type="dxa"/>
            </w:tcMar>
            <w:shd w:fill="0B2545"/>
            <w:vAlign w:val="center"/>
          </w:tcPr>
          <w:p>
            <w:pPr>
              <w:spacing w:before="0" w:after="0" w:line="240" w:lineRule="auto"/>
              <w:jc w:val="left"/>
            </w:pPr>
            <w:r/>
            <w:r>
              <w:rPr>
                <w:rFonts w:ascii="Calibri" w:hAnsi="Calibri"/>
                <w:b/>
                <w:sz w:val="16"/>
                <w:color w:val="FFFFFF"/>
              </w:rPr>
              <w:t>Simulated status</w:t>
            </w:r>
          </w:p>
        </w:tc>
      </w:tr>
      <w:tr>
        <w:trPr>
          <w:cantSplit/>
        </w:trPr>
        <w:tc>
          <w:tcPr>
            <w:tcW w:type="dxa" w:w="9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0.1</w:t>
            </w:r>
          </w:p>
        </w:tc>
        <w:tc>
          <w:tcPr>
            <w:tcW w:type="dxa" w:w="1400"/>
            <w:tcMar>
              <w:top w:w="70" w:type="dxa"/>
              <w:start w:w="120" w:type="dxa"/>
              <w:bottom w:w="70" w:type="dxa"/>
              <w:end w:w="120" w:type="dxa"/>
            </w:tcMar>
            <w:vAlign w:val="center"/>
          </w:tcPr>
          <w:p>
            <w:pPr>
              <w:spacing w:before="0" w:after="0" w:line="240" w:lineRule="auto"/>
              <w:jc w:val="center"/>
            </w:pPr>
            <w:r/>
            <w:r>
              <w:rPr>
                <w:rFonts w:ascii="Calibri" w:hAnsi="Calibri"/>
                <w:b w:val="0"/>
                <w:sz w:val="16"/>
                <w:color w:val="000000"/>
              </w:rPr>
              <w:t>10 Aug 2026</w:t>
            </w:r>
          </w:p>
        </w:tc>
        <w:tc>
          <w:tcPr>
            <w:tcW w:type="dxa" w:w="430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Initial 50-requirement ITRRA baseline, verification-rigor assignment, shared-risk roll-up and traceability update.</w:t>
            </w:r>
          </w:p>
        </w:tc>
        <w:tc>
          <w:tcPr>
            <w:tcW w:type="dxa" w:w="2760"/>
            <w:tcMar>
              <w:top w:w="70" w:type="dxa"/>
              <w:start w:w="120" w:type="dxa"/>
              <w:bottom w:w="70" w:type="dxa"/>
              <w:end w:w="120" w:type="dxa"/>
            </w:tcMar>
            <w:vAlign w:val="center"/>
          </w:tcPr>
          <w:p>
            <w:pPr>
              <w:spacing w:before="0" w:after="0" w:line="240" w:lineRule="auto"/>
              <w:jc w:val="left"/>
            </w:pPr>
            <w:r/>
            <w:r>
              <w:rPr>
                <w:rFonts w:ascii="Calibri" w:hAnsi="Calibri"/>
                <w:b w:val="0"/>
                <w:sz w:val="16"/>
                <w:color w:val="000000"/>
              </w:rPr>
              <w:t>Simulated Reviewed and Approved for Demo/Training Use Only.</w:t>
            </w:r>
          </w:p>
        </w:tc>
      </w:tr>
    </w:tbl>
    <w:p>
      <w:pPr>
        <w:spacing w:after="40"/>
      </w:pPr>
    </w:p>
    <w:p>
      <w:pPr>
        <w:keepLines w:val="0"/>
        <w:spacing w:after="100" w:line="252" w:lineRule="auto"/>
      </w:pPr>
      <w:r>
        <w:rPr>
          <w:rFonts w:ascii="Calibri" w:hAnsi="Calibri"/>
          <w:sz w:val="21"/>
          <w:color w:val="000000"/>
        </w:rPr>
        <w:t>Next controlled lifecycle step: NL-MES-SUPA-001 - Supplier Assessment Report.</w:t>
      </w: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NL-MES-ITRRA-001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vonordisk-my.sharepoint.com/personal/spkd_novonordisk_com/Documents/MIT%20SPKD/MIT/Global%20PAT/PAT%20AI%20Agent/NN%20SOPs%20from%20Q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Lifecycle Generation Plan - MES PAS-X - Novo Life - DUMMY</dc:title>
  <dc:subject>Fictional GxP CSV lifecycle audit simulation package</dc:subject>
  <dc:creator/>
  <cp:keywords>DUMMY; TRAINING; MES PAS-X; CSV; traceability; risk</cp:keywords>
  <dc:description>Not valid for operational, regulatory, inspection, or GxP release use.</dc:description>
  <cp:lastModifiedBy/>
  <cp:revision>2</cp:revision>
  <dcterms:created xsi:type="dcterms:W3CDTF">2013-12-23T23:15:00Z</dcterms:created>
  <dcterms:modified xsi:type="dcterms:W3CDTF">2026-08-10T07:02:00Z</dcterms:modified>
  <cp:category/>
</cp:coreProperties>
</file>