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User Requirements Specification (URS)</w:t>
      </w:r>
    </w:p>
    <w:p>
      <w:pPr>
        <w:jc w:val="center"/>
      </w:pPr>
      <w:r>
        <w:t>System A: Validated Laboratory Information Management System (LIMS)</w:t>
      </w:r>
    </w:p>
    <w:p>
      <w:r>
        <w:t>Document Ref: URS-SYS-A-001 | Version: 1.0 | Status: Draft / Pending Review</w:t>
      </w:r>
    </w:p>
    <w:p>
      <w:pPr>
        <w:pStyle w:val="Heading1"/>
      </w:pPr>
      <w:r>
        <w:t>1. System Overview &amp; Scope</w:t>
      </w:r>
    </w:p>
    <w:p>
      <w:r>
        <w:t>System A is an enterprise Laboratory Information Management System (LIMS) utilized in QC analytical laboratories to manage sample registration, test execution, instrument integration, calculation verification, and batch release reporting. This system is categorized as GxP-Critical (Direct GxP Impact) pursuant to GAMP 5 Category 4 configured software.</w:t>
      </w:r>
    </w:p>
    <w:p>
      <w:pPr>
        <w:pStyle w:val="Heading1"/>
      </w:pPr>
      <w:r>
        <w:t>2. Regulatory Compliance Framework</w:t>
      </w:r>
    </w:p>
    <w:p>
      <w:r>
        <w:t>System A must comply with 21 CFR Part 11, EU Annex 11, and ALCOA+ data integrity principles (Attributable, Legible, Contemporaneous, Original, Accurate, Complete, Consistent, Enduring, Available). All analytical data generated must remain immutable and subject to time-stamped, append-only electronic audit trails.</w:t>
      </w:r>
    </w:p>
    <w:p>
      <w:pPr>
        <w:pStyle w:val="Heading1"/>
      </w:pPr>
      <w:r>
        <w:t>3. Functional Requirements</w:t>
      </w:r>
    </w:p>
    <w:tbl>
      <w:tblPr>
        <w:tblW w:type="auto" w:w="0"/>
        <w:tblLook w:firstColumn="1" w:firstRow="1" w:lastColumn="0" w:lastRow="0" w:noHBand="0" w:noVBand="1" w:val="04A0"/>
      </w:tblPr>
      <w:tblGrid>
        <w:gridCol w:w="2880"/>
        <w:gridCol w:w="2880"/>
        <w:gridCol w:w="2880"/>
      </w:tblGrid>
      <w:tr>
        <w:tc>
          <w:tcPr>
            <w:tcW w:type="dxa" w:w="2880"/>
            <w:shd w:val="clear" w:color="auto" w:fill="003366"/>
          </w:tcPr>
          <w:p>
            <w:r>
              <w:rPr>
                <w:b/>
                <w:color w:val="FFFFFF"/>
              </w:rPr>
              <w:t>Req ID</w:t>
            </w:r>
          </w:p>
        </w:tc>
        <w:tc>
          <w:tcPr>
            <w:tcW w:type="dxa" w:w="2880"/>
            <w:shd w:val="clear" w:color="auto" w:fill="003366"/>
          </w:tcPr>
          <w:p>
            <w:r>
              <w:rPr>
                <w:b/>
                <w:color w:val="FFFFFF"/>
              </w:rPr>
              <w:t>Requirement Statement</w:t>
            </w:r>
          </w:p>
        </w:tc>
        <w:tc>
          <w:tcPr>
            <w:tcW w:type="dxa" w:w="2880"/>
            <w:shd w:val="clear" w:color="auto" w:fill="003366"/>
          </w:tcPr>
          <w:p>
            <w:r>
              <w:rPr>
                <w:b/>
                <w:color w:val="FFFFFF"/>
              </w:rPr>
              <w:t>Criticality</w:t>
            </w:r>
          </w:p>
        </w:tc>
      </w:tr>
      <w:tr>
        <w:tc>
          <w:tcPr>
            <w:tcW w:type="dxa" w:w="2880"/>
          </w:tcPr>
          <w:p>
            <w:r>
              <w:t>REQ-001</w:t>
            </w:r>
          </w:p>
        </w:tc>
        <w:tc>
          <w:tcPr>
            <w:tcW w:type="dxa" w:w="2880"/>
          </w:tcPr>
          <w:p>
            <w:r>
              <w:t>System shall enforce unique user credentials and multi-factor authentication (MFA).</w:t>
            </w:r>
          </w:p>
        </w:tc>
        <w:tc>
          <w:tcPr>
            <w:tcW w:type="dxa" w:w="2880"/>
          </w:tcPr>
          <w:p>
            <w:r>
              <w:t>High</w:t>
            </w:r>
          </w:p>
        </w:tc>
      </w:tr>
      <w:tr>
        <w:tc>
          <w:tcPr>
            <w:tcW w:type="dxa" w:w="2880"/>
          </w:tcPr>
          <w:p>
            <w:r>
              <w:t>REQ-002</w:t>
            </w:r>
          </w:p>
        </w:tc>
        <w:tc>
          <w:tcPr>
            <w:tcW w:type="dxa" w:w="2880"/>
          </w:tcPr>
          <w:p>
            <w:r>
              <w:t>System shall generate immutable audit trail records for all creation, modification, and deletion of GxP records.</w:t>
            </w:r>
          </w:p>
        </w:tc>
        <w:tc>
          <w:tcPr>
            <w:tcW w:type="dxa" w:w="2880"/>
          </w:tcPr>
          <w:p>
            <w:r>
              <w:t>Critical</w:t>
            </w:r>
          </w:p>
        </w:tc>
      </w:tr>
      <w:tr>
        <w:tc>
          <w:tcPr>
            <w:tcW w:type="dxa" w:w="2880"/>
          </w:tcPr>
          <w:p>
            <w:r>
              <w:t>REQ-003</w:t>
            </w:r>
          </w:p>
        </w:tc>
        <w:tc>
          <w:tcPr>
            <w:tcW w:type="dxa" w:w="2880"/>
          </w:tcPr>
          <w:p>
            <w:r>
              <w:t>System shall require dual-authorized electronic signatures for final analytical batch certificate approval.</w:t>
            </w:r>
          </w:p>
        </w:tc>
        <w:tc>
          <w:tcPr>
            <w:tcW w:type="dxa" w:w="2880"/>
          </w:tcPr>
          <w:p>
            <w:r>
              <w:t>Critical</w:t>
            </w:r>
          </w:p>
        </w:tc>
      </w:tr>
      <w:tr>
        <w:tc>
          <w:tcPr>
            <w:tcW w:type="dxa" w:w="2880"/>
          </w:tcPr>
          <w:p>
            <w:r>
              <w:t>REQ-004</w:t>
            </w:r>
          </w:p>
        </w:tc>
        <w:tc>
          <w:tcPr>
            <w:tcW w:type="dxa" w:w="2880"/>
          </w:tcPr>
          <w:p>
            <w:r>
              <w:t>System shall support automated integration with chromatography data systems via secure REST endpoints.</w:t>
            </w:r>
          </w:p>
        </w:tc>
        <w:tc>
          <w:tcPr>
            <w:tcW w:type="dxa" w:w="2880"/>
          </w:tcPr>
          <w:p>
            <w:r>
              <w:t>Medium</w:t>
            </w:r>
          </w:p>
        </w:tc>
      </w:tr>
    </w:tbl>
    <w:p>
      <w:pPr>
        <w:pStyle w:val="Heading1"/>
      </w:pPr>
      <w:r>
        <w:t>4. Data Integrity &amp; Security Controls</w:t>
      </w:r>
    </w:p>
    <w:p>
      <w:r>
        <w:t>Role-Based Access Control (RBAC) must enforce segregation of duties between System Administrators, QC Analysts, and QA Reviewers. System Administrators shall not have privileges to alter or suppress laboratory test results.</w:t>
      </w:r>
    </w:p>
    <w:p>
      <w:pPr>
        <w:pStyle w:val="Heading1"/>
      </w:pPr>
      <w:r>
        <w:t>5. System Ownership &amp; Roles</w:t>
      </w:r>
    </w:p>
    <w:p>
      <w:r>
        <w:t>Business Owner: Dr. Marcus Vance (Head of Analytical QC)</w:t>
      </w:r>
    </w:p>
    <w:p>
      <w:r>
        <w:t>Technical System Owner: Sarah Jenkins (IT Lead)</w:t>
      </w:r>
    </w:p>
    <w:p>
      <w:r>
        <w:t>QA Compliance Contact: Pending Quality Unit Assignment</w:t>
      </w:r>
    </w:p>
    <w:p>
      <w:pPr>
        <w:pStyle w:val="Heading1"/>
      </w:pPr>
      <w:r>
        <w:t>6. Document Approvals &amp; Signatures</w:t>
      </w:r>
    </w:p>
    <w:p>
      <w:r>
        <w:t>This User Requirements Specification requires formal review and signature sign-off from the Business Owner, the Technical System Owner, and the QA Compliance Unit prior to operational qualification and formal GxP audit readiness.</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4682B4"/>
          </w:tcPr>
          <w:p>
            <w:r>
              <w:rPr>
                <w:b/>
                <w:color w:val="FFFFFF"/>
              </w:rPr>
              <w:t>Role</w:t>
            </w:r>
          </w:p>
        </w:tc>
        <w:tc>
          <w:tcPr>
            <w:tcW w:type="dxa" w:w="2160"/>
            <w:shd w:val="clear" w:color="auto" w:fill="4682B4"/>
          </w:tcPr>
          <w:p>
            <w:r>
              <w:rPr>
                <w:b/>
                <w:color w:val="FFFFFF"/>
              </w:rPr>
              <w:t>Name</w:t>
            </w:r>
          </w:p>
        </w:tc>
        <w:tc>
          <w:tcPr>
            <w:tcW w:type="dxa" w:w="2160"/>
            <w:shd w:val="clear" w:color="auto" w:fill="4682B4"/>
          </w:tcPr>
          <w:p>
            <w:r>
              <w:rPr>
                <w:b/>
                <w:color w:val="FFFFFF"/>
              </w:rPr>
              <w:t>Signature Status</w:t>
            </w:r>
          </w:p>
        </w:tc>
        <w:tc>
          <w:tcPr>
            <w:tcW w:type="dxa" w:w="2160"/>
            <w:shd w:val="clear" w:color="auto" w:fill="4682B4"/>
          </w:tcPr>
          <w:p>
            <w:r>
              <w:rPr>
                <w:b/>
                <w:color w:val="FFFFFF"/>
              </w:rPr>
              <w:t>Date</w:t>
            </w:r>
          </w:p>
        </w:tc>
      </w:tr>
      <w:tr>
        <w:tc>
          <w:tcPr>
            <w:tcW w:type="dxa" w:w="2160"/>
          </w:tcPr>
          <w:p>
            <w:r>
              <w:t>Business Owner</w:t>
            </w:r>
          </w:p>
        </w:tc>
        <w:tc>
          <w:tcPr>
            <w:tcW w:type="dxa" w:w="2160"/>
          </w:tcPr>
          <w:p>
            <w:r>
              <w:t>Dr. Marcus Vance</w:t>
            </w:r>
          </w:p>
        </w:tc>
        <w:tc>
          <w:tcPr>
            <w:tcW w:type="dxa" w:w="2160"/>
          </w:tcPr>
          <w:p>
            <w:r>
              <w:t>SIGNED (Approved)</w:t>
            </w:r>
          </w:p>
        </w:tc>
        <w:tc>
          <w:tcPr>
            <w:tcW w:type="dxa" w:w="2160"/>
          </w:tcPr>
          <w:p>
            <w:r>
              <w:t>2026-06-15</w:t>
            </w:r>
          </w:p>
        </w:tc>
      </w:tr>
      <w:tr>
        <w:tc>
          <w:tcPr>
            <w:tcW w:type="dxa" w:w="2160"/>
          </w:tcPr>
          <w:p>
            <w:r>
              <w:t>Technical Owner</w:t>
            </w:r>
          </w:p>
        </w:tc>
        <w:tc>
          <w:tcPr>
            <w:tcW w:type="dxa" w:w="2160"/>
          </w:tcPr>
          <w:p>
            <w:r>
              <w:t>Sarah Jenkins</w:t>
            </w:r>
          </w:p>
        </w:tc>
        <w:tc>
          <w:tcPr>
            <w:tcW w:type="dxa" w:w="2160"/>
          </w:tcPr>
          <w:p>
            <w:r>
              <w:t>SIGNED (Approved)</w:t>
            </w:r>
          </w:p>
        </w:tc>
        <w:tc>
          <w:tcPr>
            <w:tcW w:type="dxa" w:w="2160"/>
          </w:tcPr>
          <w:p>
            <w:r>
              <w:t>2026-06-16</w:t>
            </w:r>
          </w:p>
        </w:tc>
      </w:tr>
      <w:tr>
        <w:tc>
          <w:tcPr>
            <w:tcW w:type="dxa" w:w="2160"/>
          </w:tcPr>
          <w:p>
            <w:r>
              <w:t>QA Compliance Unit</w:t>
            </w:r>
          </w:p>
        </w:tc>
        <w:tc>
          <w:tcPr>
            <w:tcW w:type="dxa" w:w="2160"/>
          </w:tcPr>
          <w:p>
            <w:r>
              <w:t>Not Assigned</w:t>
            </w:r>
          </w:p>
        </w:tc>
        <w:tc>
          <w:tcPr>
            <w:tcW w:type="dxa" w:w="2160"/>
            <w:shd w:val="clear" w:color="auto" w:fill="FFCCCC"/>
          </w:tcPr>
          <w:p>
            <w:r>
              <w:t>MISSING - NOT APPROVED</w:t>
            </w:r>
          </w:p>
        </w:tc>
        <w:tc>
          <w:tcPr>
            <w:tcW w:type="dxa" w:w="2160"/>
          </w:tcPr>
          <w:p>
            <w:r>
              <w:t>Not found</w:t>
            </w:r>
          </w:p>
        </w:tc>
      </w:tr>
    </w:tbl>
    <w:p>
      <w:r>
        <w:br/>
        <w:t>[Notice: QA Approval section incomplete. Pending formal QA validation sign-off.]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