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pPr>
    </w:p>
    <w:p>
      <w:pPr>
        <w:spacing w:after="120"/>
        <w:jc w:val="center"/>
      </w:pPr>
      <w:r>
        <w:rPr>
          <w:b/>
          <w:i w:val="0"/>
          <w:color w:val="1F3864"/>
          <w:sz w:val="52"/>
        </w:rPr>
        <w:t>TNC (Transport Network Company) Insurance</w:t>
      </w:r>
    </w:p>
    <w:p>
      <w:pPr>
        <w:spacing w:after="120"/>
        <w:jc w:val="center"/>
      </w:pPr>
      <w:r>
        <w:rPr>
          <w:b w:val="0"/>
          <w:i w:val="0"/>
          <w:color w:val="595959"/>
          <w:sz w:val="28"/>
        </w:rPr>
        <w:t>Design Document — Version 3.0</w:t>
      </w:r>
    </w:p>
    <w:p>
      <w:pPr>
        <w:spacing w:after="120"/>
        <w:jc w:val="center"/>
      </w:pPr>
      <w:r>
        <w:rPr>
          <w:b w:val="0"/>
          <w:i/>
          <w:color w:val="595959"/>
          <w:sz w:val="22"/>
        </w:rPr>
        <w:t>Specialty commercial auto insurance for rideshare fleets — coverage and claim determination derived from driver app status</w:t>
      </w:r>
    </w:p>
    <w:p>
      <w:pPr>
        <w:spacing w:before="1200"/>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320"/>
        <w:gridCol w:w="4320"/>
      </w:tblGrid>
      <w:tr>
        <w:tc>
          <w:tcPr>
            <w:tcW w:type="dxa" w:w="2304"/>
            <w:shd w:val="clear" w:fill="EEF1F6"/>
          </w:tcPr>
          <w:p>
            <w:r>
              <w:rPr>
                <w:b/>
                <w:sz w:val="20"/>
              </w:rPr>
              <w:t>Version</w:t>
            </w:r>
          </w:p>
        </w:tc>
        <w:tc>
          <w:tcPr>
            <w:tcW w:type="dxa" w:w="5616"/>
          </w:tcPr>
          <w:p>
            <w:r>
              <w:rPr>
                <w:sz w:val="20"/>
              </w:rPr>
              <w:t>v3.0</w:t>
            </w:r>
          </w:p>
        </w:tc>
      </w:tr>
      <w:tr>
        <w:tc>
          <w:tcPr>
            <w:tcW w:type="dxa" w:w="2304"/>
            <w:shd w:val="clear" w:fill="EEF1F6"/>
          </w:tcPr>
          <w:p>
            <w:r>
              <w:rPr>
                <w:b/>
                <w:sz w:val="20"/>
              </w:rPr>
              <w:t>Date</w:t>
            </w:r>
          </w:p>
        </w:tc>
        <w:tc>
          <w:tcPr>
            <w:tcW w:type="dxa" w:w="5616"/>
          </w:tcPr>
          <w:p>
            <w:r>
              <w:rPr>
                <w:sz w:val="20"/>
              </w:rPr>
              <w:t>28 September 2026</w:t>
            </w:r>
          </w:p>
        </w:tc>
      </w:tr>
      <w:tr>
        <w:tc>
          <w:tcPr>
            <w:tcW w:type="dxa" w:w="2304"/>
            <w:shd w:val="clear" w:fill="EEF1F6"/>
          </w:tcPr>
          <w:p>
            <w:r>
              <w:rPr>
                <w:b/>
                <w:sz w:val="20"/>
              </w:rPr>
              <w:t>Basis</w:t>
            </w:r>
          </w:p>
        </w:tc>
        <w:tc>
          <w:tcPr>
            <w:tcW w:type="dxa" w:w="5616"/>
          </w:tcPr>
          <w:p>
            <w:r>
              <w:rPr>
                <w:sz w:val="20"/>
              </w:rPr>
              <w:t>v1 design + review feedback; five-service architecture restored</w:t>
            </w:r>
          </w:p>
        </w:tc>
      </w:tr>
      <w:tr>
        <w:tc>
          <w:tcPr>
            <w:tcW w:type="dxa" w:w="2304"/>
            <w:shd w:val="clear" w:fill="EEF1F6"/>
          </w:tcPr>
          <w:p>
            <w:r>
              <w:rPr>
                <w:b/>
                <w:sz w:val="20"/>
              </w:rPr>
              <w:t>Status</w:t>
            </w:r>
          </w:p>
        </w:tc>
        <w:tc>
          <w:tcPr>
            <w:tcW w:type="dxa" w:w="5616"/>
          </w:tcPr>
          <w:p>
            <w:r>
              <w:rPr>
                <w:sz w:val="20"/>
              </w:rPr>
              <w:t>Approved build target (reduced scope)</w:t>
            </w:r>
          </w:p>
        </w:tc>
      </w:tr>
      <w:tr>
        <w:tc>
          <w:tcPr>
            <w:tcW w:type="dxa" w:w="2304"/>
            <w:shd w:val="clear" w:fill="EEF1F6"/>
          </w:tcPr>
          <w:p>
            <w:r>
              <w:rPr>
                <w:b/>
                <w:sz w:val="20"/>
              </w:rPr>
              <w:t>Supersedes</w:t>
            </w:r>
          </w:p>
        </w:tc>
        <w:tc>
          <w:tcPr>
            <w:tcW w:type="dxa" w:w="5616"/>
          </w:tcPr>
          <w:p>
            <w:r>
              <w:rPr>
                <w:sz w:val="20"/>
              </w:rPr>
              <w:t>Design Doc v2.0; Review Pack v1</w:t>
            </w:r>
          </w:p>
        </w:tc>
      </w:tr>
    </w:tbl>
    <w:p>
      <w:r>
        <w:br w:type="page"/>
      </w:r>
    </w:p>
    <w:p>
      <w:pPr>
        <w:pBdr>
          <w:bottom w:val="single" w:sz="8" w:space="2" w:color="1F3864"/>
        </w:pBdr>
        <w:spacing w:after="200"/>
      </w:pPr>
      <w:r>
        <w:rPr>
          <w:b/>
          <w:color w:val="1F3864"/>
          <w:sz w:val="34"/>
        </w:rPr>
        <w:t>Table of Contents</w:t>
      </w:r>
    </w:p>
    <w:p>
      <w:r>
        <w:fldChar w:fldCharType="begin" w:dirty="true"/>
      </w:r>
      <w:r>
        <w:instrText xml:space="preserve"> TOC \o "1-2" \h \z \u </w:instrText>
      </w:r>
      <w:r>
        <w:fldChar w:fldCharType="separate"/>
      </w:r>
      <w:r>
        <w:rPr>
          <w:i/>
          <w:color w:val="888888"/>
          <w:sz w:val="18"/>
        </w:rPr>
        <w:t>Open in Microsoft Word, right-click here and choose “Update Field” to build the table of contents.</w:t>
      </w:r>
      <w:r>
        <w:fldChar w:fldCharType="end"/>
      </w:r>
    </w:p>
    <w:p>
      <w:r>
        <w:br w:type="page"/>
      </w:r>
    </w:p>
    <w:p>
      <w:pPr>
        <w:pStyle w:val="Heading1"/>
        <w:pBdr>
          <w:bottom w:val="single" w:sz="8" w:space="2" w:color="1F3864"/>
        </w:pBdr>
      </w:pPr>
      <w:r>
        <w:t>Scope Statement</w:t>
      </w:r>
    </w:p>
    <w:p>
      <w:r>
        <w:rPr>
          <w:b/>
        </w:rPr>
        <w:t>Scope statement:</w:t>
      </w:r>
      <w:r>
        <w:t xml:space="preserve"> This version was revised after the trainer review of 30 September 2026. The platform keeps four .NET 8 microservices (Auth, Customer, Quote, Insurance) behind a YARP gateway; PaymentService and its MongoDB store were removed at the trainer's direction, and premiums/payouts are simulated inline in InsuranceService (Appendix D, item D3). Cloudinary uploads are replaced by a single document-link field because the corporate development laptop cannot reach the service (item D8), and the claims information-request resubmission loop is deferred (item D9). Policy applications use straight-through binding: because the product is standardized, the pricing rules themselves act as the underwriter, and human scrutiny is concentrated on claims, where money leaves the insurer (Section 4; item D10). All training-program requirements remain satisfied: Angular with Tailwind and Vitest, .NET Core microservices with Clean Architecture per service, an API gateway, role-based navigation, two database technologies (SQLite and SQL Server), 80% unit-test coverage (xUnit, scoped to the Application and Domain layers), centralized exception handling, one external API integration (foreign-exchange rates, with a Polly-retried cached fallback), search/filter/sort, SOLID principles, continuous integration via GitHub Actions, and a documented AWS deployment plan.</w:t>
      </w:r>
    </w:p>
    <w:p>
      <w:pPr>
        <w:spacing w:before="0" w:after="80"/>
      </w:pPr>
    </w:p>
    <w:p>
      <w:pPr>
        <w:pStyle w:val="Heading1"/>
        <w:pBdr>
          <w:bottom w:val="single" w:sz="8" w:space="2" w:color="1F3864"/>
        </w:pBdr>
      </w:pPr>
      <w:r>
        <w:t>1. Abstract</w:t>
      </w:r>
    </w:p>
    <w:p>
      <w:r>
        <w:t>A digital insurance platform for TNC / rideshare fleet insurance — specialty commercial auto insurance with tiered coverage based on the driver's app status at the time of an incident. A registered company obtains a non-binding quote (with live currency conversion through an external exchange-rate API, falling back to a cached rate if unavailable), applies for a fleet policy whose premium is computed by deterministic pricing rules (straight-through binding — no manual review for a standardized product), pays the premium through a simulated payment step, and files claims with a trip event log and a supporting document link. Claims pass through an evidence-derived rules engine that offers decision support only, followed by field-level surveyor investigation and an Admin's final decision, with payout recorded on approval. Renewal premiums are experience-rated from each company's historical claims ratio, mirroring real underwriting practice.</w:t>
      </w:r>
    </w:p>
    <w:p>
      <w:r>
        <w:t>The platform is built with an Angular frontend, a YARP API gateway, and four .NET 8 microservices, each following Clean Architecture (Domain, Application, Infrastructure, API):</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468"/>
            <w:shd w:val="clear" w:fill="1F3864"/>
          </w:tcPr>
          <w:p>
            <w:pPr>
              <w:spacing w:before="30" w:after="30"/>
            </w:pPr>
            <w:r>
              <w:rPr>
                <w:b/>
                <w:color w:val="FFFFFF"/>
                <w:sz w:val="20"/>
              </w:rPr>
              <w:t>Service</w:t>
            </w:r>
          </w:p>
        </w:tc>
        <w:tc>
          <w:tcPr>
            <w:tcW w:type="dxa" w:w="918"/>
            <w:shd w:val="clear" w:fill="1F3864"/>
          </w:tcPr>
          <w:p>
            <w:pPr>
              <w:spacing w:before="30" w:after="30"/>
            </w:pPr>
            <w:r>
              <w:rPr>
                <w:b/>
                <w:color w:val="FFFFFF"/>
                <w:sz w:val="20"/>
              </w:rPr>
              <w:t>Database</w:t>
            </w:r>
          </w:p>
        </w:tc>
        <w:tc>
          <w:tcPr>
            <w:tcW w:type="dxa" w:w="6974"/>
            <w:shd w:val="clear" w:fill="1F3864"/>
          </w:tcPr>
          <w:p>
            <w:pPr>
              <w:spacing w:before="30" w:after="30"/>
            </w:pPr>
            <w:r>
              <w:rPr>
                <w:b/>
                <w:color w:val="FFFFFF"/>
                <w:sz w:val="20"/>
              </w:rPr>
              <w:t>Owns</w:t>
            </w:r>
          </w:p>
        </w:tc>
      </w:tr>
      <w:tr>
        <w:tc>
          <w:tcPr>
            <w:tcW w:type="dxa" w:w="1468"/>
          </w:tcPr>
          <w:p>
            <w:pPr>
              <w:spacing w:before="30" w:after="30"/>
            </w:pPr>
            <w:r>
              <w:rPr>
                <w:b/>
                <w:sz w:val="20"/>
              </w:rPr>
              <w:t>AuthService</w:t>
            </w:r>
          </w:p>
        </w:tc>
        <w:tc>
          <w:tcPr>
            <w:tcW w:type="dxa" w:w="918"/>
          </w:tcPr>
          <w:p>
            <w:pPr>
              <w:spacing w:before="30" w:after="30"/>
            </w:pPr>
            <w:r>
              <w:rPr>
                <w:sz w:val="20"/>
              </w:rPr>
              <w:t>SQLite</w:t>
            </w:r>
          </w:p>
        </w:tc>
        <w:tc>
          <w:tcPr>
            <w:tcW w:type="dxa" w:w="6974"/>
          </w:tcPr>
          <w:p>
            <w:pPr>
              <w:spacing w:before="30" w:after="30"/>
            </w:pPr>
            <w:r>
              <w:rPr>
                <w:sz w:val="20"/>
              </w:rPr>
              <w:t>Users, SurveyorProfiles (JWT and refresh tokens, surveyor approval gate)</w:t>
            </w:r>
          </w:p>
        </w:tc>
      </w:tr>
      <w:tr>
        <w:tc>
          <w:tcPr>
            <w:tcW w:type="dxa" w:w="1468"/>
          </w:tcPr>
          <w:p>
            <w:pPr>
              <w:spacing w:before="30" w:after="30"/>
            </w:pPr>
            <w:r>
              <w:rPr>
                <w:b/>
                <w:sz w:val="20"/>
              </w:rPr>
              <w:t>CustomerService</w:t>
            </w:r>
          </w:p>
        </w:tc>
        <w:tc>
          <w:tcPr>
            <w:tcW w:type="dxa" w:w="918"/>
          </w:tcPr>
          <w:p>
            <w:pPr>
              <w:spacing w:before="30" w:after="30"/>
            </w:pPr>
            <w:r>
              <w:rPr>
                <w:sz w:val="20"/>
              </w:rPr>
              <w:t>SQL Server</w:t>
            </w:r>
          </w:p>
        </w:tc>
        <w:tc>
          <w:tcPr>
            <w:tcW w:type="dxa" w:w="6974"/>
          </w:tcPr>
          <w:p>
            <w:pPr>
              <w:spacing w:before="30" w:after="30"/>
            </w:pPr>
            <w:r>
              <w:rPr>
                <w:sz w:val="20"/>
              </w:rPr>
              <w:t>CompanyProfiles</w:t>
            </w:r>
          </w:p>
        </w:tc>
      </w:tr>
      <w:tr>
        <w:tc>
          <w:tcPr>
            <w:tcW w:type="dxa" w:w="1468"/>
          </w:tcPr>
          <w:p>
            <w:pPr>
              <w:spacing w:before="30" w:after="30"/>
            </w:pPr>
            <w:r>
              <w:rPr>
                <w:b/>
                <w:sz w:val="20"/>
              </w:rPr>
              <w:t>QuoteService</w:t>
            </w:r>
          </w:p>
        </w:tc>
        <w:tc>
          <w:tcPr>
            <w:tcW w:type="dxa" w:w="918"/>
          </w:tcPr>
          <w:p>
            <w:pPr>
              <w:spacing w:before="30" w:after="30"/>
            </w:pPr>
            <w:r>
              <w:rPr>
                <w:sz w:val="20"/>
              </w:rPr>
              <w:t>SQL Server</w:t>
            </w:r>
          </w:p>
        </w:tc>
        <w:tc>
          <w:tcPr>
            <w:tcW w:type="dxa" w:w="6974"/>
          </w:tcPr>
          <w:p>
            <w:pPr>
              <w:spacing w:before="30" w:after="30"/>
            </w:pPr>
            <w:r>
              <w:rPr>
                <w:sz w:val="20"/>
              </w:rPr>
              <w:t>Quotes (plus the FX-rate client with Polly retry and cached fallback)</w:t>
            </w:r>
          </w:p>
        </w:tc>
      </w:tr>
      <w:tr>
        <w:tc>
          <w:tcPr>
            <w:tcW w:type="dxa" w:w="1468"/>
          </w:tcPr>
          <w:p>
            <w:pPr>
              <w:spacing w:before="30" w:after="30"/>
            </w:pPr>
            <w:r>
              <w:rPr>
                <w:b/>
                <w:sz w:val="20"/>
              </w:rPr>
              <w:t>InsuranceService</w:t>
            </w:r>
          </w:p>
        </w:tc>
        <w:tc>
          <w:tcPr>
            <w:tcW w:type="dxa" w:w="918"/>
          </w:tcPr>
          <w:p>
            <w:pPr>
              <w:spacing w:before="30" w:after="30"/>
            </w:pPr>
            <w:r>
              <w:rPr>
                <w:sz w:val="20"/>
              </w:rPr>
              <w:t>SQL Server</w:t>
            </w:r>
          </w:p>
        </w:tc>
        <w:tc>
          <w:tcPr>
            <w:tcW w:type="dxa" w:w="6974"/>
          </w:tcPr>
          <w:p>
            <w:pPr>
              <w:spacing w:before="30" w:after="30"/>
            </w:pPr>
            <w:r>
              <w:rPr>
                <w:sz w:val="20"/>
              </w:rPr>
              <w:t>Policies, Claims, TripEvents, FieldVerifications, SurveyorReports, Dashboard</w:t>
            </w:r>
          </w:p>
        </w:tc>
      </w:tr>
    </w:tbl>
    <w:p>
      <w:pPr>
        <w:spacing w:before="0" w:after="80"/>
      </w:pPr>
    </w:p>
    <w:tbl>
      <w:tblPr>
        <w:tblW w:type="auto" w:w="0"/>
        <w:jc w:val="left"/>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8640"/>
      </w:tblGrid>
      <w:tr>
        <w:tc>
          <w:tcPr>
            <w:tcW w:type="dxa" w:w="9360"/>
            <w:shd w:val="clear" w:fill="F2F2F2"/>
          </w:tcPr>
          <w:p>
            <w:pPr>
              <w:spacing w:before="0" w:after="0" w:line="240" w:lineRule="auto"/>
            </w:pPr>
            <w:r>
              <w:rPr>
                <w:rFonts w:ascii="Consolas" w:hAnsi="Consolas"/>
                <w:sz w:val="15"/>
              </w:rPr>
              <w:t>Angular SPA (:4200) ── /api/** via dev proxy ──&gt; Gateway / YARP (:5000)</w:t>
            </w:r>
          </w:p>
          <w:p>
            <w:pPr>
              <w:spacing w:before="0" w:after="0" w:line="240" w:lineRule="auto"/>
            </w:pPr>
            <w:r>
              <w:rPr>
                <w:rFonts w:ascii="Consolas" w:hAnsi="Consolas"/>
                <w:sz w:val="15"/>
              </w:rPr>
              <w:t xml:space="preserve">   │   /api/auth/** and /api/surveyors/** ──────&gt; AuthService (:5001) ──&gt; SQLite</w:t>
            </w:r>
          </w:p>
          <w:p>
            <w:pPr>
              <w:spacing w:before="0" w:after="0" w:line="240" w:lineRule="auto"/>
            </w:pPr>
            <w:r>
              <w:rPr>
                <w:rFonts w:ascii="Consolas" w:hAnsi="Consolas"/>
                <w:sz w:val="15"/>
              </w:rPr>
              <w:t xml:space="preserve">   │   /api/companies/** ───────────────────────&gt; CustomerService (:5002) ──&gt; SQL Server</w:t>
            </w:r>
          </w:p>
          <w:p>
            <w:pPr>
              <w:spacing w:before="0" w:after="0" w:line="240" w:lineRule="auto"/>
            </w:pPr>
            <w:r>
              <w:rPr>
                <w:rFonts w:ascii="Consolas" w:hAnsi="Consolas"/>
                <w:sz w:val="15"/>
              </w:rPr>
              <w:t xml:space="preserve">   │   /api/quotes/** ──────────────────────────&gt; QuoteService (:5003) ──&gt; SQL Server</w:t>
            </w:r>
          </w:p>
          <w:p>
            <w:pPr>
              <w:spacing w:before="0" w:after="0" w:line="240" w:lineRule="auto"/>
            </w:pPr>
            <w:r>
              <w:rPr>
                <w:rFonts w:ascii="Consolas" w:hAnsi="Consolas"/>
                <w:sz w:val="15"/>
              </w:rPr>
              <w:t xml:space="preserve">   │   /api/policies/**, /api/claims/**, /api/dashboard ──&gt; InsuranceService (:5004) ──&gt; SQL Server</w:t>
            </w:r>
          </w:p>
          <w:p>
            <w:pPr>
              <w:spacing w:before="0" w:after="0" w:line="240" w:lineRule="auto"/>
            </w:pPr>
            <w:r>
              <w:rPr>
                <w:rFonts w:ascii="Consolas" w:hAnsi="Consolas"/>
                <w:sz w:val="15"/>
              </w:rPr>
              <w:t xml:space="preserve">   └── QuoteService (:5003) ──&gt; open.er-api.com (live FX rates; cached fallback on failure)</w:t>
            </w:r>
          </w:p>
          <w:p>
            <w:pPr>
              <w:spacing w:before="0" w:after="0" w:line="240" w:lineRule="auto"/>
            </w:pPr>
            <w:r>
              <w:rPr>
                <w:rFonts w:ascii="Consolas" w:hAnsi="Consolas"/>
                <w:sz w:val="15"/>
              </w:rPr>
            </w:r>
          </w:p>
          <w:p>
            <w:pPr>
              <w:spacing w:before="0" w:after="0" w:line="240" w:lineRule="auto"/>
            </w:pPr>
            <w:r>
              <w:rPr>
                <w:rFonts w:ascii="Consolas" w:hAnsi="Consolas"/>
                <w:sz w:val="15"/>
              </w:rPr>
              <w:t>Inter-service calls (typed HttpClient with a shared handler that forwards the</w:t>
            </w:r>
          </w:p>
          <w:p>
            <w:pPr>
              <w:spacing w:before="0" w:after="0" w:line="240" w:lineRule="auto"/>
            </w:pPr>
            <w:r>
              <w:rPr>
                <w:rFonts w:ascii="Consolas" w:hAnsi="Consolas"/>
                <w:sz w:val="15"/>
              </w:rPr>
              <w:t>correlation ID and, where needed, the caller's token; the FX-rate client in</w:t>
            </w:r>
          </w:p>
          <w:p>
            <w:pPr>
              <w:spacing w:before="0" w:after="0" w:line="240" w:lineRule="auto"/>
            </w:pPr>
            <w:r>
              <w:rPr>
                <w:rFonts w:ascii="Consolas" w:hAnsi="Consolas"/>
                <w:sz w:val="15"/>
              </w:rPr>
              <w:t>QuoteService is wrapped in Polly retries with a cached-fallback rate):</w:t>
            </w:r>
          </w:p>
          <w:p>
            <w:pPr>
              <w:spacing w:before="0" w:after="0" w:line="240" w:lineRule="auto"/>
            </w:pPr>
            <w:r>
              <w:rPr>
                <w:rFonts w:ascii="Consolas" w:hAnsi="Consolas"/>
                <w:sz w:val="15"/>
              </w:rPr>
              <w:t xml:space="preserve">   InsuranceService ──&gt; CustomerService  (GET /api/companies/me — resolves the caller's company)</w:t>
            </w:r>
          </w:p>
          <w:p>
            <w:pPr>
              <w:spacing w:before="0" w:after="0" w:line="240" w:lineRule="auto"/>
            </w:pPr>
            <w:r>
              <w:rPr>
                <w:rFonts w:ascii="Consolas" w:hAnsi="Consolas"/>
                <w:sz w:val="15"/>
              </w:rPr>
              <w:t xml:space="preserve">   InsuranceService ──&gt; QuoteService     (GET /api/quotes/{id} — origin-quote validation; GET /api/quotes/stats — dashboard metric)</w:t>
            </w:r>
          </w:p>
        </w:tc>
      </w:tr>
    </w:tbl>
    <w:p>
      <w:pPr>
        <w:spacing w:before="0" w:after="80"/>
      </w:pPr>
    </w:p>
    <w:p>
      <w:pPr>
        <w:pStyle w:val="Heading1"/>
        <w:pBdr>
          <w:bottom w:val="single" w:sz="8" w:space="2" w:color="1F3864"/>
        </w:pBdr>
      </w:pPr>
      <w:r>
        <w:t>2. Functional Requirements</w:t>
      </w:r>
    </w:p>
    <w:p>
      <w:r>
        <w:t>Items cut from the first version are deferred rather than deleted. Each is listed in Appendix D with a restore order, and any requirement that is affected says so inline.</w:t>
      </w:r>
    </w:p>
    <w:p>
      <w:pPr>
        <w:pStyle w:val="Heading2"/>
      </w:pPr>
      <w:r>
        <w:t>FR1 — Authentication and Authorization (AuthService)</w:t>
      </w:r>
    </w:p>
    <w:p>
      <w:pPr>
        <w:pStyle w:val="ListBullet"/>
        <w:spacing w:after="60"/>
      </w:pPr>
      <w:r>
        <w:rPr>
          <w:b/>
        </w:rPr>
        <w:t>FR1.1:</w:t>
      </w:r>
      <w:r>
        <w:t xml:space="preserve"> Users register and log in through AuthService. Public sign-up creates Company-role users only — the role is never accepted from the client. Surveyor accounts are created exclusively through FR2A.1, and the Admin account is seeded from configuration. Passwords are hashed with ASP.NET Core Identity's PasswordHasher.</w:t>
      </w:r>
    </w:p>
    <w:p>
      <w:pPr>
        <w:pStyle w:val="ListBullet"/>
        <w:spacing w:after="60"/>
      </w:pPr>
      <w:r>
        <w:rPr>
          <w:b/>
        </w:rPr>
        <w:t>FR1.2:</w:t>
      </w:r>
      <w:r>
        <w:t xml:space="preserve"> A successful login issues a short-lived JWT access token (kept in memory on the client) carrying the user's ID and role (Company, Surveyor, or Admin), plus a refresh token stored in an httpOnly, Secure, SameSite=Lax cookie. JWT validation is configured in a shared extension so that role claims named "role" are honored by attribute-based role checks and can be decoded by the Angular app.</w:t>
      </w:r>
    </w:p>
    <w:p>
      <w:pPr>
        <w:pStyle w:val="ListBullet"/>
        <w:spacing w:after="60"/>
      </w:pPr>
      <w:r>
        <w:rPr>
          <w:b/>
        </w:rPr>
        <w:t>FR1.3:</w:t>
      </w:r>
      <w:r>
        <w:t xml:space="preserve"> Access to routes and API endpoints is restricted by role. The gateway validates every token, and each service validates it again and enforces role requirements at the endpoint level.</w:t>
      </w:r>
    </w:p>
    <w:p>
      <w:pPr>
        <w:pStyle w:val="ListBullet"/>
        <w:spacing w:after="60"/>
      </w:pPr>
      <w:r>
        <w:rPr>
          <w:b/>
        </w:rPr>
        <w:t>FR1.4 / FR1.5:</w:t>
      </w:r>
      <w:r>
        <w:t xml:space="preserve"> The password-reset flow is deferred — see Appendix D, item D1.</w:t>
      </w:r>
    </w:p>
    <w:p>
      <w:pPr>
        <w:pStyle w:val="Heading2"/>
      </w:pPr>
      <w:r>
        <w:t>FR2 — Company Management (CustomerService)</w:t>
      </w:r>
    </w:p>
    <w:p>
      <w:pPr>
        <w:pStyle w:val="ListBullet"/>
        <w:spacing w:after="60"/>
      </w:pPr>
      <w:r>
        <w:rPr>
          <w:b/>
        </w:rPr>
        <w:t>FR2.1:</w:t>
      </w:r>
      <w:r>
        <w:t xml:space="preserve"> A Company user creates its company profile (name, registration number, contact person, email, phone, fleet size). Only one profile may exist per user account (enforced by a unique constraint on the user ID).</w:t>
      </w:r>
    </w:p>
    <w:p>
      <w:pPr>
        <w:pStyle w:val="ListBullet"/>
        <w:spacing w:after="60"/>
      </w:pPr>
      <w:r>
        <w:rPr>
          <w:b/>
        </w:rPr>
        <w:t>FR2.2:</w:t>
      </w:r>
      <w:r>
        <w:t xml:space="preserve"> A company can view and update only its own profile; requests for another company's profile are rejected with HTTP 403.</w:t>
      </w:r>
    </w:p>
    <w:p>
      <w:pPr>
        <w:pStyle w:val="ListBullet"/>
        <w:spacing w:after="60"/>
      </w:pPr>
      <w:r>
        <w:rPr>
          <w:b/>
        </w:rPr>
        <w:t>FR2.3:</w:t>
      </w:r>
      <w:r>
        <w:t xml:space="preserve"> GET /api/companies/me returns the caller's own profile. It backs the Angular profile page and is also called server-to-server by InsuranceService to resolve the caller's company (see Section 4).</w:t>
      </w:r>
    </w:p>
    <w:p>
      <w:pPr>
        <w:pStyle w:val="Heading2"/>
      </w:pPr>
      <w:r>
        <w:t>FR2A — Surveyor Management (AuthService)</w:t>
      </w:r>
    </w:p>
    <w:p>
      <w:pPr>
        <w:pStyle w:val="ListBullet"/>
        <w:spacing w:after="60"/>
      </w:pPr>
      <w:r>
        <w:rPr>
          <w:b/>
        </w:rPr>
        <w:t>FR2A.1:</w:t>
      </w:r>
      <w:r>
        <w:t xml:space="preserve"> A surveyor self-registers in one call (email, password, name, contact info, IRDAI licence number, licence valid-until date), which creates both the user account and the surveyor profile in a single database transaction. The licence validity date must be in the future.</w:t>
      </w:r>
    </w:p>
    <w:p>
      <w:pPr>
        <w:pStyle w:val="ListBullet"/>
        <w:spacing w:after="60"/>
      </w:pPr>
      <w:r>
        <w:rPr>
          <w:b/>
        </w:rPr>
        <w:t>FR2A.2:</w:t>
      </w:r>
      <w:r>
        <w:t xml:space="preserve"> New surveyor accounts are locked to "Pending Approval" status.</w:t>
      </w:r>
    </w:p>
    <w:p>
      <w:pPr>
        <w:pStyle w:val="ListBullet"/>
        <w:spacing w:after="60"/>
      </w:pPr>
      <w:r>
        <w:rPr>
          <w:b/>
        </w:rPr>
        <w:t>FR2A.3:</w:t>
      </w:r>
      <w:r>
        <w:t xml:space="preserve"> An Admin can approve or reject pending surveyor registrations.</w:t>
      </w:r>
    </w:p>
    <w:p>
      <w:pPr>
        <w:pStyle w:val="ListBullet"/>
        <w:spacing w:after="60"/>
      </w:pPr>
      <w:r>
        <w:rPr>
          <w:b/>
        </w:rPr>
        <w:t>FR2A.4:</w:t>
      </w:r>
      <w:r>
        <w:t xml:space="preserve"> Only Approved surveyors can access the claims queue.</w:t>
      </w:r>
    </w:p>
    <w:p>
      <w:pPr>
        <w:pStyle w:val="ListBullet"/>
        <w:spacing w:after="60"/>
      </w:pPr>
      <w:r>
        <w:rPr>
          <w:b/>
        </w:rPr>
        <w:t>FR2A.5:</w:t>
      </w:r>
      <w:r>
        <w:t xml:space="preserve"> Login by a surveyor who is not yet Approved is rejected with HTTP 403 and a distinct code (SURVEYOR_PENDING_APPROVAL) so the UI can show the correct message.</w:t>
      </w:r>
    </w:p>
    <w:p>
      <w:pPr>
        <w:pStyle w:val="Heading2"/>
      </w:pPr>
      <w:r>
        <w:t>FR3 — Quote Management (QuoteService)</w:t>
      </w:r>
    </w:p>
    <w:p>
      <w:pPr>
        <w:pStyle w:val="ListBullet"/>
        <w:spacing w:after="60"/>
      </w:pPr>
      <w:r>
        <w:rPr>
          <w:b/>
        </w:rPr>
        <w:t>FR3.1:</w:t>
      </w:r>
      <w:r>
        <w:t xml:space="preserve"> A logged-in company can request a non-binding premium quote by providing fleet size, desired tier, and optional add-ons.</w:t>
      </w:r>
    </w:p>
    <w:p>
      <w:pPr>
        <w:pStyle w:val="ListBullet"/>
        <w:spacing w:after="60"/>
      </w:pPr>
      <w:r>
        <w:rPr>
          <w:b/>
        </w:rPr>
        <w:t>FR3.2:</w:t>
      </w:r>
      <w:r>
        <w:t xml:space="preserve"> The system returns the estimated premium for the requested tier together with a side-by-side estimate for the alternate tier.</w:t>
      </w:r>
    </w:p>
    <w:p>
      <w:pPr>
        <w:pStyle w:val="ListBullet"/>
        <w:spacing w:after="60"/>
      </w:pPr>
      <w:r>
        <w:rPr>
          <w:b/>
        </w:rPr>
        <w:t>FR3.3:</w:t>
      </w:r>
      <w:r>
        <w:t xml:space="preserve"> Each quote expires after 7 days (configurable); the status changes to Expired when it is read or converted after that date.</w:t>
      </w:r>
    </w:p>
    <w:p>
      <w:pPr>
        <w:pStyle w:val="ListBullet"/>
        <w:spacing w:after="60"/>
      </w:pPr>
      <w:r>
        <w:rPr>
          <w:b/>
        </w:rPr>
        <w:t>FR3.4:</w:t>
      </w:r>
      <w:r>
        <w:t xml:space="preserve"> An Active quote can be converted into a policy application; the response carries the data used to pre-fill the application, and the quote status becomes Converted. Converting an expired quote returns HTTP 410; converting the same quote twice returns HTTP 409. The policy stores the originating quote's ID as a plain reference, and the premium is always recalculated server-side from the submitted tier, add-ons, and fleet size — the prefill is display-only, so tampering with it gains nothing.</w:t>
      </w:r>
    </w:p>
    <w:p>
      <w:pPr>
        <w:pStyle w:val="ListBullet"/>
        <w:spacing w:after="60"/>
      </w:pPr>
      <w:r>
        <w:rPr>
          <w:b/>
        </w:rPr>
        <w:t>FR3.5:</w:t>
      </w:r>
      <w:r>
        <w:t xml:space="preserve"> A company can view its own quote history (paged, filterable by status).</w:t>
      </w:r>
    </w:p>
    <w:p>
      <w:pPr>
        <w:pStyle w:val="ListBullet"/>
        <w:spacing w:after="60"/>
      </w:pPr>
      <w:r>
        <w:rPr>
          <w:b/>
        </w:rPr>
        <w:t>FR3.6:</w:t>
      </w:r>
      <w:r>
        <w:t xml:space="preserve"> Each quote response also shows the estimated premium converted to USD and EUR from a live foreign-exchange rate (open.er-api.com) — the platform's external-API integration. The call is wrapped in Polly retries; on failure the service uses a cached last-known rate (configurable default) and marks the response as computed with a fallback rate.</w:t>
      </w:r>
    </w:p>
    <w:p>
      <w:pPr>
        <w:pStyle w:val="Heading2"/>
      </w:pPr>
      <w:r>
        <w:t>FR4 — Policy Management (InsuranceService)</w:t>
      </w:r>
    </w:p>
    <w:p>
      <w:pPr>
        <w:pStyle w:val="ListBullet"/>
        <w:spacing w:after="60"/>
      </w:pPr>
      <w:r>
        <w:rPr>
          <w:b/>
        </w:rPr>
        <w:t>FR4.1:</w:t>
      </w:r>
      <w:r>
        <w:t xml:space="preserve"> A company can apply for a fleet policy either from scratch or from a converted quote, choosing a coverage tier (Tier A, Period 1 only; or Tier B, full coverage) and optional add-ons (Physical Damage, Uninsured Motorist, Medical Payments, Rental Car). The request does not carry a company ID; InsuranceService resolves the caller's company as described in Section 4.</w:t>
      </w:r>
    </w:p>
    <w:p>
      <w:pPr>
        <w:pStyle w:val="ListBullet"/>
        <w:spacing w:after="60"/>
      </w:pPr>
      <w:r>
        <w:rPr>
          <w:b/>
        </w:rPr>
        <w:t>FR4.2:</w:t>
      </w:r>
      <w:r>
        <w:t xml:space="preserve"> The final premium is calculated server-side from the tier, fleet size, and selected add-ons.</w:t>
      </w:r>
    </w:p>
    <w:p>
      <w:pPr>
        <w:pStyle w:val="ListBullet"/>
        <w:spacing w:after="60"/>
      </w:pPr>
      <w:r>
        <w:rPr>
          <w:b/>
        </w:rPr>
        <w:t>FR4.3:</w:t>
      </w:r>
      <w:r>
        <w:t xml:space="preserve"> New applications start in Pending status. There is no manual admin approval step on applications: the product is standardized (fixed tiers, fixed limits, server-computed premium), so the pricing rules themselves act as the underwriter — straight-through binding. Human review is concentrated on claims, where money leaves the insurer, mirroring the licensed-surveyor mandate (Section 64UM of the Insurance Act) that applies to claim settlement rather than policy issuance.</w:t>
      </w:r>
    </w:p>
    <w:p>
      <w:pPr>
        <w:pStyle w:val="ListBullet"/>
        <w:spacing w:after="60"/>
      </w:pPr>
      <w:r>
        <w:rPr>
          <w:b/>
        </w:rPr>
        <w:t>FR4.4:</w:t>
      </w:r>
      <w:r>
        <w:t xml:space="preserve"> A policy becomes Active only after a successful simulated premium payment (POST /api/policies/{id}/pay; the simulation always succeeds, per the trainer decision of 30-Sep-2026, and the company sees a success confirmation immediately). On success the start date is set to the current instant and the end date to start + 365 days.</w:t>
      </w:r>
    </w:p>
    <w:p>
      <w:pPr>
        <w:pStyle w:val="ListBullet"/>
        <w:spacing w:after="60"/>
      </w:pPr>
      <w:r>
        <w:rPr>
          <w:b/>
        </w:rPr>
        <w:t>FR4.5:</w:t>
      </w:r>
      <w:r>
        <w:t xml:space="preserve"> A company can cancel a policy only while it is still Pending — attempts on any other status return HTTP 409. Cancelling a pending renewal is the standard way to decline its adjusted premium.</w:t>
      </w:r>
    </w:p>
    <w:p>
      <w:pPr>
        <w:pStyle w:val="ListBullet"/>
        <w:spacing w:after="60"/>
      </w:pPr>
      <w:r>
        <w:rPr>
          <w:b/>
        </w:rPr>
        <w:t>FR4.6:</w:t>
      </w:r>
      <w:r>
        <w:t xml:space="preserve"> A company can view its own policies and their details (the caller's company is resolved per Section 4 and compared to the policy's stored company ID).</w:t>
      </w:r>
    </w:p>
    <w:p>
      <w:pPr>
        <w:pStyle w:val="ListBullet"/>
        <w:spacing w:after="60"/>
      </w:pPr>
      <w:r>
        <w:rPr>
          <w:b/>
        </w:rPr>
        <w:t>FR4.7 — Renewal.</w:t>
      </w:r>
      <w:r>
        <w:t xml:space="preserve"> A company with an Active policy inside the renewal window (30 days before the end date, configurable) can renew through a single POST /api/policies/{id}/renew call. The server prices the renewal with the claims-ratio bands from Section 3 and creates a new Pending policy linked (renewed-from) to the policy it renews; only one pending renewal may exist per parent policy — further attempts return HTTP 409. The company then either pays (accepting the adjusted premium; on activation the renewal starts the day after the old policy ends, and the old policy becomes Expired) or cancels the pending renewal to decline. A claims ratio above 100% leaves the premium unadjusted and marks the renewal "Review Required" — an informational flag surfaced on the admin dashboard; actioning flagged renewals is deferred (item D10).</w:t>
      </w:r>
    </w:p>
    <w:p>
      <w:pPr>
        <w:pStyle w:val="Heading2"/>
      </w:pPr>
      <w:r>
        <w:t>FR5 — Claims Management (InsuranceService)</w:t>
      </w:r>
    </w:p>
    <w:p>
      <w:pPr>
        <w:pStyle w:val="ListBullet"/>
        <w:spacing w:after="60"/>
      </w:pPr>
      <w:r>
        <w:rPr>
          <w:b/>
        </w:rPr>
        <w:t>FR5.1:</w:t>
      </w:r>
      <w:r>
        <w:t xml:space="preserve"> A company files a claim against one of its own Active policies (ownership verified per Section 4), supplying driver details (name, licence number), passenger details, vehicle number, incident date and time, incident location, description, claimed amount, claim type (Third-Party Liability, Own Vehicle Damage, Uninsured Motorist, Medical Expense, Rental Car), and a single document link (for example a shared Drive folder holding the FIR copy, driving-licence copy, and damage photos). The incident location is immutable once the claim is submitted and is cross-checked against the FIR during investigation. (Real file uploads are deferred — item D8.)</w:t>
      </w:r>
    </w:p>
    <w:p>
      <w:pPr>
        <w:pStyle w:val="ListBullet"/>
        <w:spacing w:after="60"/>
      </w:pPr>
      <w:r>
        <w:rPr>
          <w:b/>
        </w:rPr>
        <w:t>FR5.2:</w:t>
      </w:r>
      <w:r>
        <w:t xml:space="preserve"> The claim must be accompanied by a trip event log. Either the company submits the complete sequence of timestamped events (AppOnline, RideAccepted, PassengerPickedUp, RideCompleted/AppOffline), or it declares that the app was never turned on for that trip, in which case no event validation runs and the claim is classified as App Off.</w:t>
      </w:r>
    </w:p>
    <w:p>
      <w:pPr>
        <w:pStyle w:val="ListBullet"/>
        <w:spacing w:after="60"/>
      </w:pPr>
      <w:r>
        <w:rPr>
          <w:b/>
        </w:rPr>
        <w:t>FR5.3:</w:t>
      </w:r>
      <w:r>
        <w:t xml:space="preserve"> The event log is validated for chronological sequence; out-of- order submissions are rejected with HTTP 400.</w:t>
      </w:r>
    </w:p>
    <w:p>
      <w:pPr>
        <w:pStyle w:val="ListBullet"/>
        <w:spacing w:after="60"/>
      </w:pPr>
      <w:r>
        <w:rPr>
          <w:b/>
        </w:rPr>
        <w:t>FR5.4:</w:t>
      </w:r>
      <w:r>
        <w:t xml:space="preserve"> The event log is validated for timing plausibility; implausible gaps are flagged for mandatory review rather than rejected outright.</w:t>
      </w:r>
    </w:p>
    <w:p>
      <w:pPr>
        <w:pStyle w:val="ListBullet"/>
        <w:spacing w:after="60"/>
      </w:pPr>
      <w:r>
        <w:rPr>
          <w:b/>
        </w:rPr>
        <w:t>FR5.5:</w:t>
      </w:r>
      <w:r>
        <w:t xml:space="preserve"> The system derives the applicable coverage period by comparing the incident time against the event log, instead of accepting a period selected by the company.</w:t>
      </w:r>
    </w:p>
    <w:p>
      <w:pPr>
        <w:pStyle w:val="ListBullet"/>
        <w:spacing w:after="60"/>
      </w:pPr>
      <w:r>
        <w:rPr>
          <w:b/>
        </w:rPr>
        <w:t>FR5.6:</w:t>
      </w:r>
      <w:r>
        <w:t xml:space="preserve"> If the incident time falls within BoundaryFlagMinutes (default 2, configurable) of any period boundary event (RideAccepted, PassengerPickedUp, or RideCompleted), the claim is flagged for mandatory review.</w:t>
      </w:r>
    </w:p>
    <w:p>
      <w:pPr>
        <w:pStyle w:val="ListBullet"/>
        <w:spacing w:after="60"/>
      </w:pPr>
      <w:r>
        <w:rPr>
          <w:b/>
        </w:rPr>
        <w:t>FR5.7:</w:t>
      </w:r>
      <w:r>
        <w:t xml:space="preserve"> A rules engine produces a preliminary coverage determination for each claim, following the precedence rules in Section 3. It is presented as decision support, not a final outcome.</w:t>
      </w:r>
    </w:p>
    <w:p>
      <w:pPr>
        <w:pStyle w:val="ListBullet"/>
        <w:spacing w:after="60"/>
      </w:pPr>
      <w:r>
        <w:rPr>
          <w:b/>
        </w:rPr>
        <w:t>FR5.8:</w:t>
      </w:r>
      <w:r>
        <w:t xml:space="preserve"> Filing against a policy that is not Active, or for an incident date outside the policy term, is rejected at intake with HTTP 409.</w:t>
      </w:r>
    </w:p>
    <w:p>
      <w:pPr>
        <w:pStyle w:val="ListBullet"/>
        <w:spacing w:after="60"/>
      </w:pPr>
      <w:r>
        <w:rPr>
          <w:b/>
        </w:rPr>
        <w:t>FR5.9:</w:t>
      </w:r>
      <w:r>
        <w:t xml:space="preserve"> A submitted claim enters an open queue visible to all Approved surveyors; any surveyor may pick up an unassigned claim. Pickup is atomic — implemented as an existence check followed by a single conditional update that succeeds only while the status is still AwaitingSurveyorPickup. A missing claim returns HTTP 404; a claim that was just assigned returns HTTP 409.</w:t>
      </w:r>
    </w:p>
    <w:p>
      <w:pPr>
        <w:pStyle w:val="ListBullet"/>
        <w:spacing w:after="60"/>
      </w:pPr>
      <w:r>
        <w:rPr>
          <w:b/>
        </w:rPr>
        <w:t>FR5.10:</w:t>
      </w:r>
      <w:r>
        <w:t xml:space="preserve"> The assigned surveyor reviews each evidentiary field independently (trip event log, driver information, passenger information, documents) and marks it Verified or Suspicious, with an optional note. At pickup, all four field-verification records are created in Pending state, so "no pending fields" can only be true after genuine review.</w:t>
      </w:r>
    </w:p>
    <w:p>
      <w:pPr>
        <w:pStyle w:val="ListBullet"/>
        <w:spacing w:after="60"/>
      </w:pPr>
      <w:r>
        <w:rPr>
          <w:b/>
        </w:rPr>
        <w:t>FR5.11:</w:t>
      </w:r>
      <w:r>
        <w:t xml:space="preserve"> A Suspicious verdict does not block the claim; it is recorded as a negative signal in the surveyor's report.</w:t>
      </w:r>
    </w:p>
    <w:p>
      <w:pPr>
        <w:pStyle w:val="ListBullet"/>
        <w:spacing w:after="60"/>
      </w:pPr>
      <w:r>
        <w:rPr>
          <w:b/>
        </w:rPr>
        <w:t>FR5.12:</w:t>
      </w:r>
      <w:r>
        <w:t xml:space="preserve"> The information-request resubmission loop (per-field PATCH with a strict mutability whitelist) is deferred — see Appendix D, item D9. Claim fields are verified only from the original submission.</w:t>
      </w:r>
    </w:p>
    <w:p>
      <w:pPr>
        <w:pStyle w:val="ListBullet"/>
        <w:spacing w:after="60"/>
      </w:pPr>
      <w:r>
        <w:rPr>
          <w:b/>
        </w:rPr>
        <w:t>FR5.13:</w:t>
      </w:r>
      <w:r>
        <w:t xml:space="preserve"> The surveyor submits a final report (overall outcome, recommendation, recommended payout amount, notes). Submission is rejected with HTTP 409 while any field-verification record is still Pending. Each claim can have only one report.</w:t>
      </w:r>
    </w:p>
    <w:p>
      <w:pPr>
        <w:pStyle w:val="ListBullet"/>
        <w:spacing w:after="60"/>
      </w:pPr>
      <w:r>
        <w:rPr>
          <w:b/>
        </w:rPr>
        <w:t>FR5.14:</w:t>
      </w:r>
      <w:r>
        <w:t xml:space="preserve"> The Admin's review screen presents both the rules engine's preliminary determination and the surveyor's full report.</w:t>
      </w:r>
    </w:p>
    <w:p>
      <w:pPr>
        <w:pStyle w:val="ListBullet"/>
        <w:spacing w:after="60"/>
      </w:pPr>
      <w:r>
        <w:rPr>
          <w:b/>
        </w:rPr>
        <w:t>FR5.15:</w:t>
      </w:r>
      <w:r>
        <w:t xml:space="preserve"> The Admin approves or rejects the claim. An override note is mandatory whenever the Admin's decision differs from the surveyor's recommendation.</w:t>
      </w:r>
    </w:p>
    <w:p>
      <w:pPr>
        <w:pStyle w:val="ListBullet"/>
        <w:spacing w:after="60"/>
      </w:pPr>
      <w:r>
        <w:rPr>
          <w:b/>
        </w:rPr>
        <w:t>FR5.16:</w:t>
      </w:r>
      <w:r>
        <w:t xml:space="preserve"> The trip event log, the incident location, and the surveyor report are immutable once submitted.</w:t>
      </w:r>
    </w:p>
    <w:p>
      <w:pPr>
        <w:pStyle w:val="ListBullet"/>
        <w:spacing w:after="60"/>
      </w:pPr>
      <w:r>
        <w:rPr>
          <w:b/>
        </w:rPr>
        <w:t>FR5.17:</w:t>
      </w:r>
      <w:r>
        <w:t xml:space="preserve"> A company can view the full status, history, and outcome of its claims, including the surveyor's per-field notes.</w:t>
      </w:r>
    </w:p>
    <w:p>
      <w:pPr>
        <w:pStyle w:val="Heading2"/>
      </w:pPr>
      <w:r>
        <w:t>FR5 — Claim status state machine</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145"/>
            <w:shd w:val="clear" w:fill="1F3864"/>
          </w:tcPr>
          <w:p>
            <w:pPr>
              <w:spacing w:before="30" w:after="30"/>
            </w:pPr>
            <w:r>
              <w:rPr>
                <w:b/>
                <w:color w:val="FFFFFF"/>
                <w:sz w:val="20"/>
              </w:rPr>
              <w:t>Status</w:t>
            </w:r>
          </w:p>
        </w:tc>
        <w:tc>
          <w:tcPr>
            <w:tcW w:type="dxa" w:w="5825"/>
            <w:shd w:val="clear" w:fill="1F3864"/>
          </w:tcPr>
          <w:p>
            <w:pPr>
              <w:spacing w:before="30" w:after="30"/>
            </w:pPr>
            <w:r>
              <w:rPr>
                <w:b/>
                <w:color w:val="FFFFFF"/>
                <w:sz w:val="20"/>
              </w:rPr>
              <w:t>Entered when</w:t>
            </w:r>
          </w:p>
        </w:tc>
        <w:tc>
          <w:tcPr>
            <w:tcW w:type="dxa" w:w="2390"/>
            <w:shd w:val="clear" w:fill="1F3864"/>
          </w:tcPr>
          <w:p>
            <w:pPr>
              <w:spacing w:before="30" w:after="30"/>
            </w:pPr>
            <w:r>
              <w:rPr>
                <w:b/>
                <w:color w:val="FFFFFF"/>
                <w:sz w:val="20"/>
              </w:rPr>
              <w:t>Exited when</w:t>
            </w:r>
          </w:p>
        </w:tc>
      </w:tr>
      <w:tr>
        <w:tc>
          <w:tcPr>
            <w:tcW w:type="dxa" w:w="1145"/>
          </w:tcPr>
          <w:p>
            <w:pPr>
              <w:spacing w:before="30" w:after="30"/>
            </w:pPr>
            <w:r>
              <w:rPr>
                <w:sz w:val="20"/>
              </w:rPr>
              <w:t>Submitted</w:t>
            </w:r>
          </w:p>
        </w:tc>
        <w:tc>
          <w:tcPr>
            <w:tcW w:type="dxa" w:w="5825"/>
          </w:tcPr>
          <w:p>
            <w:pPr>
              <w:spacing w:before="30" w:after="30"/>
            </w:pPr>
            <w:r>
              <w:rPr>
                <w:sz w:val="20"/>
              </w:rPr>
              <w:t>Company submits the claim</w:t>
            </w:r>
          </w:p>
        </w:tc>
        <w:tc>
          <w:tcPr>
            <w:tcW w:type="dxa" w:w="2390"/>
          </w:tcPr>
          <w:p>
            <w:pPr>
              <w:spacing w:before="30" w:after="30"/>
            </w:pPr>
            <w:r>
              <w:rPr>
                <w:sz w:val="20"/>
              </w:rPr>
              <w:t>In the same request, after the rules engine runs</w:t>
            </w:r>
          </w:p>
        </w:tc>
      </w:tr>
      <w:tr>
        <w:tc>
          <w:tcPr>
            <w:tcW w:type="dxa" w:w="1145"/>
          </w:tcPr>
          <w:p>
            <w:pPr>
              <w:spacing w:before="30" w:after="30"/>
            </w:pPr>
            <w:r>
              <w:rPr>
                <w:sz w:val="20"/>
              </w:rPr>
              <w:t>AwaitingSurveyorPickup</w:t>
            </w:r>
          </w:p>
        </w:tc>
        <w:tc>
          <w:tcPr>
            <w:tcW w:type="dxa" w:w="5825"/>
          </w:tcPr>
          <w:p>
            <w:pPr>
              <w:spacing w:before="30" w:after="30"/>
            </w:pPr>
            <w:r>
              <w:rPr>
                <w:sz w:val="20"/>
              </w:rPr>
              <w:t>Rules engine finishes</w:t>
            </w:r>
          </w:p>
        </w:tc>
        <w:tc>
          <w:tcPr>
            <w:tcW w:type="dxa" w:w="2390"/>
          </w:tcPr>
          <w:p>
            <w:pPr>
              <w:spacing w:before="30" w:after="30"/>
            </w:pPr>
            <w:r>
              <w:rPr>
                <w:sz w:val="20"/>
              </w:rPr>
              <w:t>A surveyor picks the claim up (atomic)</w:t>
            </w:r>
          </w:p>
        </w:tc>
      </w:tr>
      <w:tr>
        <w:tc>
          <w:tcPr>
            <w:tcW w:type="dxa" w:w="1145"/>
          </w:tcPr>
          <w:p>
            <w:pPr>
              <w:spacing w:before="30" w:after="30"/>
            </w:pPr>
            <w:r>
              <w:rPr>
                <w:sz w:val="20"/>
              </w:rPr>
              <w:t>UnderInvestigation</w:t>
            </w:r>
          </w:p>
        </w:tc>
        <w:tc>
          <w:tcPr>
            <w:tcW w:type="dxa" w:w="5825"/>
          </w:tcPr>
          <w:p>
            <w:pPr>
              <w:spacing w:before="30" w:after="30"/>
            </w:pPr>
            <w:r>
              <w:rPr>
                <w:sz w:val="20"/>
              </w:rPr>
              <w:t>Pickup succeeds (four Pending verification records are created)</w:t>
            </w:r>
          </w:p>
        </w:tc>
        <w:tc>
          <w:tcPr>
            <w:tcW w:type="dxa" w:w="2390"/>
          </w:tcPr>
          <w:p>
            <w:pPr>
              <w:spacing w:before="30" w:after="30"/>
            </w:pPr>
            <w:r>
              <w:rPr>
                <w:sz w:val="20"/>
              </w:rPr>
              <w:t>Report submitted</w:t>
            </w:r>
          </w:p>
        </w:tc>
      </w:tr>
      <w:tr>
        <w:tc>
          <w:tcPr>
            <w:tcW w:type="dxa" w:w="1145"/>
          </w:tcPr>
          <w:p>
            <w:pPr>
              <w:spacing w:before="30" w:after="30"/>
            </w:pPr>
            <w:r>
              <w:rPr>
                <w:sz w:val="20"/>
              </w:rPr>
              <w:t>SurveyorReportSubmitted</w:t>
            </w:r>
          </w:p>
        </w:tc>
        <w:tc>
          <w:tcPr>
            <w:tcW w:type="dxa" w:w="5825"/>
          </w:tcPr>
          <w:p>
            <w:pPr>
              <w:spacing w:before="30" w:after="30"/>
            </w:pPr>
            <w:r>
              <w:rPr>
                <w:sz w:val="20"/>
              </w:rPr>
              <w:t>Report accepted (no Pending verification records remain)</w:t>
            </w:r>
          </w:p>
        </w:tc>
        <w:tc>
          <w:tcPr>
            <w:tcW w:type="dxa" w:w="2390"/>
          </w:tcPr>
          <w:p>
            <w:pPr>
              <w:spacing w:before="30" w:after="30"/>
            </w:pPr>
            <w:r>
              <w:rPr>
                <w:sz w:val="20"/>
              </w:rPr>
              <w:t>Admin makes the final decision</w:t>
            </w:r>
          </w:p>
        </w:tc>
      </w:tr>
      <w:tr>
        <w:tc>
          <w:tcPr>
            <w:tcW w:type="dxa" w:w="1145"/>
          </w:tcPr>
          <w:p>
            <w:pPr>
              <w:spacing w:before="30" w:after="30"/>
            </w:pPr>
            <w:r>
              <w:rPr>
                <w:sz w:val="20"/>
              </w:rPr>
              <w:t>Paid</w:t>
            </w:r>
          </w:p>
        </w:tc>
        <w:tc>
          <w:tcPr>
            <w:tcW w:type="dxa" w:w="5825"/>
          </w:tcPr>
          <w:p>
            <w:pPr>
              <w:spacing w:before="30" w:after="30"/>
            </w:pPr>
            <w:r>
              <w:rPr>
                <w:sz w:val="20"/>
              </w:rPr>
              <w:t>Admin approves — the payout is simulated in the same request (deterministic success) and the final amount is recorded</w:t>
            </w:r>
          </w:p>
        </w:tc>
        <w:tc>
          <w:tcPr>
            <w:tcW w:type="dxa" w:w="2390"/>
          </w:tcPr>
          <w:p>
            <w:pPr>
              <w:spacing w:before="30" w:after="30"/>
            </w:pPr>
            <w:r>
              <w:rPr>
                <w:sz w:val="20"/>
              </w:rPr>
              <w:t>Terminal</w:t>
            </w:r>
          </w:p>
        </w:tc>
      </w:tr>
      <w:tr>
        <w:tc>
          <w:tcPr>
            <w:tcW w:type="dxa" w:w="1145"/>
          </w:tcPr>
          <w:p>
            <w:pPr>
              <w:spacing w:before="30" w:after="30"/>
            </w:pPr>
            <w:r>
              <w:rPr>
                <w:sz w:val="20"/>
              </w:rPr>
              <w:t>Rejected</w:t>
            </w:r>
          </w:p>
        </w:tc>
        <w:tc>
          <w:tcPr>
            <w:tcW w:type="dxa" w:w="5825"/>
          </w:tcPr>
          <w:p>
            <w:pPr>
              <w:spacing w:before="30" w:after="30"/>
            </w:pPr>
            <w:r>
              <w:rPr>
                <w:sz w:val="20"/>
              </w:rPr>
              <w:t>Admin rejects</w:t>
            </w:r>
          </w:p>
        </w:tc>
        <w:tc>
          <w:tcPr>
            <w:tcW w:type="dxa" w:w="2390"/>
          </w:tcPr>
          <w:p>
            <w:pPr>
              <w:spacing w:before="30" w:after="30"/>
            </w:pPr>
            <w:r>
              <w:rPr>
                <w:sz w:val="20"/>
              </w:rPr>
              <w:t>Terminal</w:t>
            </w:r>
          </w:p>
        </w:tc>
      </w:tr>
    </w:tbl>
    <w:p>
      <w:pPr>
        <w:spacing w:before="0" w:after="80"/>
      </w:pPr>
    </w:p>
    <w:p>
      <w:pPr>
        <w:pStyle w:val="Heading2"/>
      </w:pPr>
      <w:r>
        <w:t>FR6 — Simulated Payments (inline in InsuranceService)</w:t>
      </w:r>
    </w:p>
    <w:p>
      <w:pPr>
        <w:pStyle w:val="ListBullet"/>
        <w:spacing w:after="60"/>
      </w:pPr>
      <w:r>
        <w:rPr>
          <w:b/>
        </w:rPr>
        <w:t>FR6.1:</w:t>
      </w:r>
      <w:r>
        <w:t xml:space="preserve"> PaymentService and its MongoDB store were removed at the trainer's direction (Appendix D, item D3). Premium payment is a simulated, deterministic step inside InsuranceService (POST /api/policies/{id}/pay) that always succeeds and immediately confirms to the company; the claim payout is recorded in the same request as the Admin's approval, moving the claim to Paid with the final amount.</w:t>
      </w:r>
    </w:p>
    <w:p>
      <w:pPr>
        <w:pStyle w:val="ListBullet"/>
        <w:spacing w:after="60"/>
      </w:pPr>
      <w:r>
        <w:rPr>
          <w:b/>
        </w:rPr>
        <w:t>FR6.2:</w:t>
      </w:r>
      <w:r>
        <w:t xml:space="preserve"> No payment-transaction ledger is persisted in this iteration; premium and payout figures are visible on the policy and claim records themselves (premium, final payout amount, activation dates).</w:t>
      </w:r>
    </w:p>
    <w:p>
      <w:pPr>
        <w:pStyle w:val="Heading2"/>
      </w:pPr>
      <w:r>
        <w:t>FR7 — Admin Dashboard (InsuranceService)</w:t>
      </w:r>
    </w:p>
    <w:p>
      <w:pPr>
        <w:pStyle w:val="ListBullet"/>
        <w:spacing w:after="60"/>
      </w:pPr>
      <w:r>
        <w:rPr>
          <w:b/>
        </w:rPr>
        <w:t>FR7.1:</w:t>
      </w:r>
      <w:r>
        <w:t xml:space="preserve"> The Admin dashboard aggregates five metrics inside InsuranceService: total active policies, total claims this period (calendar month), total payout amount (the final amounts of claims that became Paid this period), the approval-to-rejection ratio among claims decided this period (reported as null when there are zero rejections rather than causing an error), and the quote-to-policy conversion rate (converted quotes divided by all quotes). The first four are computed locally from the Insurance database; the conversion rate comes from GET /api/quotes/stats on QuoteService, called with the Admin's JWT forwarded by the shared handler. Renewal applications flagged "Review Required" also appear as an attention list. A sixth metric (pending surveyor registrations) is deferred (item D2) because the Admin already sees those accounts on the Approvals page.</w:t>
      </w:r>
    </w:p>
    <w:p>
      <w:pPr>
        <w:pStyle w:val="Heading2"/>
      </w:pPr>
      <w:r>
        <w:t>FR8 — System Reliability</w:t>
      </w:r>
    </w:p>
    <w:p>
      <w:pPr>
        <w:pStyle w:val="ListBullet"/>
        <w:spacing w:after="60"/>
      </w:pPr>
      <w:r>
        <w:rPr>
          <w:b/>
        </w:rPr>
        <w:t>FR8.1:</w:t>
      </w:r>
      <w:r>
        <w:t xml:space="preserve"> Every service, including the gateway, exposes a /health endpoint.</w:t>
      </w:r>
    </w:p>
    <w:p>
      <w:pPr>
        <w:pStyle w:val="ListBullet"/>
        <w:spacing w:after="60"/>
      </w:pPr>
      <w:r>
        <w:rPr>
          <w:b/>
        </w:rPr>
        <w:t>FR8.2:</w:t>
      </w:r>
      <w:r>
        <w:t xml:space="preserve"> The FX-rate call from QuoteService to the external exchange-rate API uses Polly retry with exponential backoff (three attempts), falling back to a cached last-known rate when retries are exhausted (FR3.6). The retry path is proven by a unit test (a mocked handler fails twice, succeeds on the third, and after exhaustion the fallback rate is returned).</w:t>
      </w:r>
    </w:p>
    <w:p>
      <w:pPr>
        <w:pStyle w:val="ListBullet"/>
        <w:spacing w:after="60"/>
      </w:pPr>
      <w:r>
        <w:rPr>
          <w:b/>
        </w:rPr>
        <w:t>FR8.3:</w:t>
      </w:r>
      <w:r>
        <w:t xml:space="preserve"> The gateway generates or accepts an X-Correlation-ID header on every request, echoes it on the response, and includes it in log scopes. A shared handler forwards the header (and the Authorization header where needed) on every service-to-service call.</w:t>
      </w:r>
    </w:p>
    <w:p>
      <w:pPr>
        <w:pStyle w:val="ListBullet"/>
        <w:spacing w:after="60"/>
      </w:pPr>
      <w:r>
        <w:rPr>
          <w:b/>
        </w:rPr>
        <w:t>FR8.4:</w:t>
      </w:r>
      <w:r>
        <w:t xml:space="preserve"> Each service implements centralized exception handling middleware that returns a standardized error response containing the correlation ID, status code, message, optional details, and timestamp.</w:t>
      </w:r>
    </w:p>
    <w:p>
      <w:pPr>
        <w:pStyle w:val="Heading2"/>
      </w:pPr>
      <w:r>
        <w:t>FR9 — Search, Filter and Sort</w:t>
      </w:r>
    </w:p>
    <w:p>
      <w:r>
        <w:t>Sorting is limited to one field per list (additional fields are deferred, item D7); filtering and search are unchanged.</w:t>
      </w:r>
    </w:p>
    <w:p>
      <w:pPr>
        <w:pStyle w:val="ListBullet"/>
        <w:spacing w:after="60"/>
      </w:pPr>
      <w:r>
        <w:rPr>
          <w:b/>
        </w:rPr>
        <w:t>FR9.1:</w:t>
      </w:r>
      <w:r>
        <w:t xml:space="preserve"> The Admin can filter the policy list by status and tier, and sort it by creation date (ascending or descending). Searching and sorting by company name are deferred (item D4).</w:t>
      </w:r>
    </w:p>
    <w:p>
      <w:pPr>
        <w:pStyle w:val="ListBullet"/>
        <w:spacing w:after="60"/>
      </w:pPr>
      <w:r>
        <w:rPr>
          <w:b/>
        </w:rPr>
        <w:t>FR9.2:</w:t>
      </w:r>
      <w:r>
        <w:t xml:space="preserve"> The Admin can search the claims list by claim ID or vehicle number, filter it by status, claim type, and flagged status, and sort it by incident date.</w:t>
      </w:r>
    </w:p>
    <w:p>
      <w:pPr>
        <w:pStyle w:val="ListBullet"/>
        <w:spacing w:after="60"/>
      </w:pPr>
      <w:r>
        <w:rPr>
          <w:b/>
        </w:rPr>
        <w:t>FR9.3:</w:t>
      </w:r>
      <w:r>
        <w:t xml:space="preserve"> A Surveyor can filter the claims queue by incident-date range and flagged status, and can view the list of claims assigned to them.</w:t>
      </w:r>
    </w:p>
    <w:p>
      <w:pPr>
        <w:pStyle w:val="ListBullet"/>
        <w:spacing w:after="60"/>
      </w:pPr>
      <w:r>
        <w:rPr>
          <w:b/>
        </w:rPr>
        <w:t>FR9.4:</w:t>
      </w:r>
      <w:r>
        <w:t xml:space="preserve"> A Company can filter its own quotes, policies, and claims by status and date.</w:t>
      </w:r>
    </w:p>
    <w:p>
      <w:pPr>
        <w:pStyle w:val="ListBullet"/>
        <w:spacing w:after="60"/>
      </w:pPr>
      <w:r>
        <w:t>Pagination applies everywhere: a page number (default 1) and page size (default 10, maximum 50, enforced by a shared helper).</w:t>
      </w:r>
    </w:p>
    <w:p>
      <w:pPr>
        <w:pStyle w:val="Heading1"/>
        <w:pBdr>
          <w:bottom w:val="single" w:sz="8" w:space="2" w:color="1F3864"/>
        </w:pBdr>
      </w:pPr>
      <w:r>
        <w:t>3. Business Rules and Configurable Parameters</w:t>
      </w:r>
    </w:p>
    <w:p>
      <w:r>
        <w:rPr>
          <w:b/>
        </w:rPr>
        <w:t>Premium calculation.</w:t>
      </w:r>
      <w:r>
        <w:t xml:space="preserve"> Base premium = fleet size × ₹15,000 per vehicle per year × tier multiplier (Tier A = 1.0, Tier B = 1.6). Add-on surcharge = base premium × sum of the selected add-on rates (Physical Damage 12%, Uninsured Motorist 5%, Medical Payments 6%, Rental Car 3%). The calculation exists only on the server — as a pure function in the Domain layer of QuoteService (for estimates) and InsuranceService (for billing). The Angular app never computes premiums; it displays server-calculated figures.</w:t>
      </w:r>
    </w:p>
    <w:p>
      <w:r>
        <w:rPr>
          <w:b/>
        </w:rPr>
        <w:t>Coverage limits.</w:t>
      </w:r>
      <w:r>
        <w:t xml:space="preserve"> Period 1: payout = min(claimed amount, ₹10,00,000) in both tiers. Periods 2 and 3: payout = min(claimed amount, ₹1,00,00,000), available only in Tier B. App Off claims are rejected.</w:t>
      </w:r>
    </w:p>
    <w:p>
      <w:r>
        <w:rPr>
          <w:b/>
        </w:rPr>
        <w:t>Claim-type to add-on mapping.</w:t>
      </w:r>
      <w:r>
        <w:t xml:space="preserve"> Third-Party Liability is base coverage (always available). Own Vehicle Damage requires the Physical Damage add-on. Uninsured Motorist claims require the Uninsured Motorist add-on. Medical Expense claims require Medical Payments. Rental Car claims require the Rental Car add-on.</w:t>
      </w:r>
    </w:p>
    <w:p>
      <w:r>
        <w:rPr>
          <w:b/>
        </w:rPr>
        <w:t>Rules-engine precedence (evaluated in order; the first matching rule wins):</w:t>
      </w:r>
    </w:p>
    <w:p>
      <w:pPr>
        <w:spacing w:after="60"/>
        <w:ind w:left="432"/>
      </w:pPr>
      <w:r>
        <w:rPr>
          <w:b/>
        </w:rPr>
        <w:t xml:space="preserve">1. </w:t>
      </w:r>
      <w:r>
        <w:t>If the policy is not Active, or the incident date falls outside the policy term, the claim is rejected at intake (HTTP 409).</w:t>
      </w:r>
    </w:p>
    <w:p>
      <w:pPr>
        <w:spacing w:after="60"/>
        <w:ind w:left="432"/>
      </w:pPr>
      <w:r>
        <w:rPr>
          <w:b/>
        </w:rPr>
        <w:t xml:space="preserve">2. </w:t>
      </w:r>
      <w:r>
        <w:t>Otherwise, if the derived period is App Off, the preliminary decision is Reject, with the reason "App not in use".</w:t>
      </w:r>
    </w:p>
    <w:p>
      <w:pPr>
        <w:spacing w:after="60"/>
        <w:ind w:left="432"/>
      </w:pPr>
      <w:r>
        <w:rPr>
          <w:b/>
        </w:rPr>
        <w:t xml:space="preserve">3. </w:t>
      </w:r>
      <w:r>
        <w:t>Otherwise, if the derived period is Period 2 or 3 and the policy is Tier A, the decision is Reject, with the reason "Period not covered".</w:t>
      </w:r>
    </w:p>
    <w:p>
      <w:pPr>
        <w:spacing w:after="60"/>
        <w:ind w:left="432"/>
      </w:pPr>
      <w:r>
        <w:rPr>
          <w:b/>
        </w:rPr>
        <w:t xml:space="preserve">4. </w:t>
      </w:r>
      <w:r>
        <w:t>Otherwise, if the claim type requires an add-on that the policy does not include, the decision is Reject, with the reason "Coverage not purchased".</w:t>
      </w:r>
    </w:p>
    <w:p>
      <w:pPr>
        <w:spacing w:after="60"/>
        <w:ind w:left="432"/>
      </w:pPr>
      <w:r>
        <w:rPr>
          <w:b/>
        </w:rPr>
        <w:t xml:space="preserve">5. </w:t>
      </w:r>
      <w:r>
        <w:t>Otherwise the decision is Approve, with a preliminary amount of min(claimed amount, the period limit).</w:t>
      </w:r>
    </w:p>
    <w:p>
      <w:r>
        <w:rPr>
          <w:b/>
        </w:rPr>
        <w:t>Period derivation.</w:t>
      </w:r>
      <w:r>
        <w:t xml:space="preserve"> Incident between AppOnline and RideAccepted = Period 1; between RideAccepted and PassengerPickedUp = Period 2; between PassengerPickedUp and RideCompleted = Period 3; in all other cases the claim is App Off.</w:t>
      </w:r>
    </w:p>
    <w:p>
      <w:r>
        <w:rPr>
          <w:b/>
        </w:rPr>
        <w:t>Trip-log plausibility flags.</w:t>
      </w:r>
      <w:r>
        <w:t xml:space="preserve"> AppOnline to RideAccepted exceeds 4 hours; RideAccepted to PassengerPickedUp is under 1 minute or over 60 minutes; PassengerPickedUp to RideCompleted is under 2 minutes or over 6 hours; plus the boundary-timing flag defined in FR5.6.</w:t>
      </w:r>
    </w:p>
    <w:p>
      <w:r>
        <w:rPr>
          <w:b/>
        </w:rPr>
        <w:t>Renewal adjustments.</w:t>
      </w:r>
      <w:r>
        <w:t xml:space="preserve"> The renewal window is 30 days before the policy end date (configurable; set to 365 days for the demo). Claims ratio = total paid amount of Paid claims on the policy ÷ policy premium. Adjustment bands: below 30% — a 10% discount; 30% to 70% — no change; 70% to 100% — a 15% surcharge; above 100% — the application is flagged "Review Required", the premium stays unadjusted, and an Admin note is mandatory at decision time.</w:t>
      </w:r>
    </w:p>
    <w:p>
      <w:r>
        <w:rPr>
          <w:b/>
        </w:rPr>
        <w:t>Time limits.</w:t>
      </w:r>
      <w:r>
        <w:t xml:space="preserve"> Policy term: 365 days. Quote expiry: 7 days. Access-token lifetime: 15 minutes (60 minutes in the demo configuration). Refresh-token lifetime: 7 days. Page size: default 10, maximum 50.</w:t>
      </w:r>
    </w:p>
    <w:p>
      <w:r>
        <w:rPr>
          <w:b/>
        </w:rPr>
        <w:t>Exchange rates.</w:t>
      </w:r>
      <w:r>
        <w:t xml:space="preserve"> Currency: INR, displayed at quote time alongside USD and EUR conversions. The live rate is fetched from the external FX API with Polly retries; the fallback is a configurable default (for example, ₹83.5 per USD), which is refreshed after every successful call so it stays close to live.</w:t>
      </w:r>
    </w:p>
    <w:p>
      <w:r>
        <w:rPr>
          <w:b/>
        </w:rPr>
        <w:t>Time handling.</w:t>
      </w:r>
      <w:r>
        <w:t xml:space="preserve"> All timestamps are stored and compared in UTC. The SQLite-backed Auth database uses UTC DateTime values, because EF Core's SQLite provider handles DateTimeOffset poorly in comparisons and sorting; all other services use DateTimeOffset. Policy start and end dates are inclusive at both ends.</w:t>
      </w:r>
    </w:p>
    <w:p>
      <w:pPr>
        <w:pStyle w:val="Heading1"/>
        <w:pBdr>
          <w:bottom w:val="single" w:sz="8" w:space="2" w:color="1F3864"/>
        </w:pBdr>
      </w:pPr>
      <w:r>
        <w:t>4. Data Ownership and Cross-Service Rules</w:t>
      </w:r>
    </w:p>
    <w:p>
      <w:pPr>
        <w:pStyle w:val="ListBullet"/>
        <w:spacing w:after="60"/>
      </w:pPr>
      <w:r>
        <w:t>Each service owns and persists its own data (database-per-service). Foreign key constraints exist only inside a service's database; cross-service references are logical and validated at the application level.</w:t>
      </w:r>
    </w:p>
    <w:p>
      <w:pPr>
        <w:pStyle w:val="ListBullet"/>
        <w:spacing w:after="60"/>
      </w:pPr>
      <w:r>
        <w:rPr>
          <w:b/>
        </w:rPr>
        <w:t>Ownership resolution pattern.</w:t>
      </w:r>
      <w:r>
        <w:t xml:space="preserve"> When InsuranceService needs the caller's company (for policy applications, policy lists, and claim filing), a single Application-layer helper calls GET /api/companies/me on CustomerService with the caller's JWT forwarded by the shared handler. A successful response yields the company ID; a 404 means the user has not created a company profile yet, which surfaces to the client as HTTP 400 with instructions. The resolved company is then compared locally against the company stored on the policy. The client is never trusted to supply a company ID.</w:t>
      </w:r>
    </w:p>
    <w:p>
      <w:pPr>
        <w:pStyle w:val="ListBullet"/>
        <w:spacing w:after="60"/>
      </w:pPr>
      <w:r>
        <w:t>All service-to-service calls use typed HTTP clients registered with the shared forwarding handler (correlation ID, and Authorization where needed). Polly retries apply to the external FX-rate call in QuoteService (FR3.6), with a cached-fallback rate after retries are exhausted.</w:t>
      </w:r>
    </w:p>
    <w:p>
      <w:pPr>
        <w:pStyle w:val="ListBullet"/>
        <w:spacing w:after="60"/>
      </w:pPr>
      <w:r>
        <w:t>There is no event bus and no distributed transaction anywhere in the system.</w:t>
      </w:r>
    </w:p>
    <w:p>
      <w:pPr>
        <w:pStyle w:val="Heading1"/>
        <w:pBdr>
          <w:bottom w:val="single" w:sz="8" w:space="2" w:color="1F3864"/>
        </w:pBdr>
      </w:pPr>
      <w:r>
        <w:t>5. Data Model Overview (per service)</w:t>
      </w:r>
    </w:p>
    <w:p>
      <w:r>
        <w:rPr>
          <w:b/>
        </w:rPr>
        <w:t>Auth database (SQLite).</w:t>
      </w:r>
      <w:r>
        <w:t xml:space="preserve"> User (ID, email, password hash, refresh token, refresh-token expiry; the user's role is stored in ASP.NET Core Identity's standard role tables and minted into the JWT at login). SurveyorProfile (ID, user ID — unique, name, contact info, IRDAI licence number, licence valid-until date, status, rejection reason).</w:t>
      </w:r>
    </w:p>
    <w:p>
      <w:r>
        <w:rPr>
          <w:b/>
        </w:rPr>
        <w:t>Customer database (SQL Server).</w:t>
      </w:r>
      <w:r>
        <w:t xml:space="preserve"> CompanyProfile (ID, user ID — unique, name, registration number, contact person, email, phone, fleet size).</w:t>
      </w:r>
    </w:p>
    <w:p>
      <w:r>
        <w:rPr>
          <w:b/>
        </w:rPr>
        <w:t>Quote database (SQL Server).</w:t>
      </w:r>
      <w:r>
        <w:t xml:space="preserve"> Quote (ID, company ID, fleet size, tier, add-ons, estimated premium, status, expiry date, created date).</w:t>
      </w:r>
    </w:p>
    <w:p>
      <w:r>
        <w:rPr>
          <w:b/>
        </w:rPr>
        <w:t>Insurance database (SQL Server).</w:t>
      </w:r>
      <w:r>
        <w:t xml:space="preserve"> Policy (ID, policy number — human readable, company ID, originating quote ID — optional, tier, add-ons, fleet size, premium, status, start date, end date, renewed-from policy ID — optional, review-required flag). Claim (ID, claim number — human readable, policy ID, driver name, driver licence number, vehicle number, passenger name, passenger contact, incident date/time, incident location — immutable, description, claimed amount, claim type, document link, app-off flag, derived period, preliminary decision, preliminary amount, flagged flag, flag reason, status, assigned surveyor ID — optional, final payout amount — optional, created date). TripEvent (ID, claim ID, event type, timestamp). FieldVerification (ID, claim ID, field name, status, note). SurveyorReport (ID, claim ID — unique, overall outcome, recommendation, recommended amount, notes, submitted date).</w:t>
      </w:r>
    </w:p>
    <w:p>
      <w:pPr>
        <w:pStyle w:val="Heading1"/>
        <w:pBdr>
          <w:bottom w:val="single" w:sz="8" w:space="2" w:color="1F3864"/>
        </w:pBdr>
      </w:pPr>
      <w:r>
        <w:t>6. API Documentation</w:t>
      </w:r>
    </w:p>
    <w:p>
      <w:r>
        <w:t>All errors use the standardized error shape described in FR8.4. Unless marked Public, every endpoint requires a valid JWT, and role restrictions apply as noted.</w:t>
      </w:r>
    </w:p>
    <w:p>
      <w:pPr>
        <w:pStyle w:val="Heading2"/>
      </w:pPr>
      <w:r>
        <w:t>6.1 AuthService (port 5001)</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3368"/>
            <w:shd w:val="clear" w:fill="1F3864"/>
          </w:tcPr>
          <w:p>
            <w:pPr>
              <w:spacing w:before="30" w:after="30"/>
            </w:pPr>
            <w:r>
              <w:rPr>
                <w:b/>
                <w:color w:val="FFFFFF"/>
                <w:sz w:val="20"/>
              </w:rPr>
              <w:t>Endpoint</w:t>
            </w:r>
          </w:p>
        </w:tc>
        <w:tc>
          <w:tcPr>
            <w:tcW w:type="dxa" w:w="486"/>
            <w:shd w:val="clear" w:fill="1F3864"/>
          </w:tcPr>
          <w:p>
            <w:pPr>
              <w:spacing w:before="30" w:after="30"/>
            </w:pPr>
            <w:r>
              <w:rPr>
                <w:b/>
                <w:color w:val="FFFFFF"/>
                <w:sz w:val="20"/>
              </w:rPr>
              <w:t>Access</w:t>
            </w:r>
          </w:p>
        </w:tc>
        <w:tc>
          <w:tcPr>
            <w:tcW w:type="dxa" w:w="5506"/>
            <w:shd w:val="clear" w:fill="1F3864"/>
          </w:tcPr>
          <w:p>
            <w:pPr>
              <w:spacing w:before="30" w:after="30"/>
            </w:pPr>
            <w:r>
              <w:rPr>
                <w:b/>
                <w:color w:val="FFFFFF"/>
                <w:sz w:val="20"/>
              </w:rPr>
              <w:t>Notes</w:t>
            </w:r>
          </w:p>
        </w:tc>
      </w:tr>
      <w:tr>
        <w:tc>
          <w:tcPr>
            <w:tcW w:type="dxa" w:w="3368"/>
          </w:tcPr>
          <w:p>
            <w:pPr>
              <w:spacing w:before="30" w:after="30"/>
            </w:pPr>
            <w:r>
              <w:rPr>
                <w:sz w:val="20"/>
              </w:rPr>
              <w:t xml:space="preserve">POST /api/auth/register </w:t>
            </w:r>
            <w:r>
              <w:rPr>
                <w:rFonts w:ascii="Consolas" w:hAnsi="Consolas"/>
                <w:sz w:val="17"/>
                <w:shd w:val="clear" w:fill="EDEDED"/>
              </w:rPr>
              <w:t>{email, password}</w:t>
            </w:r>
          </w:p>
        </w:tc>
        <w:tc>
          <w:tcPr>
            <w:tcW w:type="dxa" w:w="486"/>
          </w:tcPr>
          <w:p>
            <w:pPr>
              <w:spacing w:before="30" w:after="30"/>
            </w:pPr>
            <w:r>
              <w:rPr>
                <w:sz w:val="20"/>
              </w:rPr>
              <w:t>Public</w:t>
            </w:r>
          </w:p>
        </w:tc>
        <w:tc>
          <w:tcPr>
            <w:tcW w:type="dxa" w:w="5506"/>
          </w:tcPr>
          <w:p>
            <w:pPr>
              <w:spacing w:before="30" w:after="30"/>
            </w:pPr>
            <w:r>
              <w:rPr>
                <w:sz w:val="20"/>
              </w:rPr>
              <w:t>Creates a Company-role user only; the role is not settable by the client</w:t>
            </w:r>
          </w:p>
        </w:tc>
      </w:tr>
      <w:tr>
        <w:tc>
          <w:tcPr>
            <w:tcW w:type="dxa" w:w="3368"/>
          </w:tcPr>
          <w:p>
            <w:pPr>
              <w:spacing w:before="30" w:after="30"/>
            </w:pPr>
            <w:r>
              <w:rPr>
                <w:sz w:val="20"/>
              </w:rPr>
              <w:t>POST /api/auth/login</w:t>
            </w:r>
          </w:p>
        </w:tc>
        <w:tc>
          <w:tcPr>
            <w:tcW w:type="dxa" w:w="486"/>
          </w:tcPr>
          <w:p>
            <w:pPr>
              <w:spacing w:before="30" w:after="30"/>
            </w:pPr>
            <w:r>
              <w:rPr>
                <w:sz w:val="20"/>
              </w:rPr>
              <w:t>Public</w:t>
            </w:r>
          </w:p>
        </w:tc>
        <w:tc>
          <w:tcPr>
            <w:tcW w:type="dxa" w:w="5506"/>
          </w:tcPr>
          <w:p>
            <w:pPr>
              <w:spacing w:before="30" w:after="30"/>
            </w:pPr>
            <w:r>
              <w:rPr>
                <w:sz w:val="20"/>
              </w:rPr>
              <w:t>Issues the access token (user ID and role claims) and sets the httpOnly refresh cookie; surveyor login returns 403 SURVEYOR_PENDING_APPROVAL until the account is approved</w:t>
            </w:r>
          </w:p>
        </w:tc>
      </w:tr>
      <w:tr>
        <w:tc>
          <w:tcPr>
            <w:tcW w:type="dxa" w:w="3368"/>
          </w:tcPr>
          <w:p>
            <w:pPr>
              <w:spacing w:before="30" w:after="30"/>
            </w:pPr>
            <w:r>
              <w:rPr>
                <w:sz w:val="20"/>
              </w:rPr>
              <w:t>POST /api/auth/refresh</w:t>
            </w:r>
          </w:p>
        </w:tc>
        <w:tc>
          <w:tcPr>
            <w:tcW w:type="dxa" w:w="486"/>
          </w:tcPr>
          <w:p>
            <w:pPr>
              <w:spacing w:before="30" w:after="30"/>
            </w:pPr>
            <w:r>
              <w:rPr>
                <w:sz w:val="20"/>
              </w:rPr>
              <w:t>Public (cookie)</w:t>
            </w:r>
          </w:p>
        </w:tc>
        <w:tc>
          <w:tcPr>
            <w:tcW w:type="dxa" w:w="5506"/>
          </w:tcPr>
          <w:p>
            <w:pPr>
              <w:spacing w:before="30" w:after="30"/>
            </w:pPr>
            <w:r>
              <w:rPr>
                <w:sz w:val="20"/>
              </w:rPr>
              <w:t>Rotates the token pair</w:t>
            </w:r>
          </w:p>
        </w:tc>
      </w:tr>
      <w:tr>
        <w:tc>
          <w:tcPr>
            <w:tcW w:type="dxa" w:w="3368"/>
          </w:tcPr>
          <w:p>
            <w:pPr>
              <w:spacing w:before="30" w:after="30"/>
            </w:pPr>
            <w:r>
              <w:rPr>
                <w:sz w:val="20"/>
              </w:rPr>
              <w:t>POST /api/auth/logout</w:t>
            </w:r>
          </w:p>
        </w:tc>
        <w:tc>
          <w:tcPr>
            <w:tcW w:type="dxa" w:w="486"/>
          </w:tcPr>
          <w:p>
            <w:pPr>
              <w:spacing w:before="30" w:after="30"/>
            </w:pPr>
            <w:r>
              <w:rPr>
                <w:sz w:val="20"/>
              </w:rPr>
              <w:t>Cookie</w:t>
            </w:r>
          </w:p>
        </w:tc>
        <w:tc>
          <w:tcPr>
            <w:tcW w:type="dxa" w:w="5506"/>
          </w:tcPr>
          <w:p>
            <w:pPr>
              <w:spacing w:before="30" w:after="30"/>
            </w:pPr>
            <w:r>
              <w:rPr>
                <w:sz w:val="20"/>
              </w:rPr>
              <w:t>Invalidates the refresh token</w:t>
            </w:r>
          </w:p>
        </w:tc>
      </w:tr>
      <w:tr>
        <w:tc>
          <w:tcPr>
            <w:tcW w:type="dxa" w:w="3368"/>
          </w:tcPr>
          <w:p>
            <w:pPr>
              <w:spacing w:before="30" w:after="30"/>
            </w:pPr>
            <w:r>
              <w:rPr>
                <w:sz w:val="20"/>
              </w:rPr>
              <w:t xml:space="preserve">POST /api/surveyors/register </w:t>
            </w:r>
            <w:r>
              <w:rPr>
                <w:rFonts w:ascii="Consolas" w:hAnsi="Consolas"/>
                <w:sz w:val="17"/>
                <w:shd w:val="clear" w:fill="EDEDED"/>
              </w:rPr>
              <w:t>{email, password, name, contactInfo, irdaiLicenseNumber, licenseValidUntil}</w:t>
            </w:r>
          </w:p>
        </w:tc>
        <w:tc>
          <w:tcPr>
            <w:tcW w:type="dxa" w:w="486"/>
          </w:tcPr>
          <w:p>
            <w:pPr>
              <w:spacing w:before="30" w:after="30"/>
            </w:pPr>
            <w:r>
              <w:rPr>
                <w:sz w:val="20"/>
              </w:rPr>
              <w:t>Public</w:t>
            </w:r>
          </w:p>
        </w:tc>
        <w:tc>
          <w:tcPr>
            <w:tcW w:type="dxa" w:w="5506"/>
          </w:tcPr>
          <w:p>
            <w:pPr>
              <w:spacing w:before="30" w:after="30"/>
            </w:pPr>
            <w:r>
              <w:rPr>
                <w:sz w:val="20"/>
              </w:rPr>
              <w:t>Creates the user and the pending-approval surveyor profile in one transaction; 400 if the licence validity date is not in the future</w:t>
            </w:r>
          </w:p>
        </w:tc>
      </w:tr>
      <w:tr>
        <w:tc>
          <w:tcPr>
            <w:tcW w:type="dxa" w:w="3368"/>
          </w:tcPr>
          <w:p>
            <w:pPr>
              <w:spacing w:before="30" w:after="30"/>
            </w:pPr>
            <w:r>
              <w:rPr>
                <w:sz w:val="20"/>
              </w:rPr>
              <w:t>GET /api/surveyors/pending</w:t>
            </w:r>
          </w:p>
        </w:tc>
        <w:tc>
          <w:tcPr>
            <w:tcW w:type="dxa" w:w="486"/>
          </w:tcPr>
          <w:p>
            <w:pPr>
              <w:spacing w:before="30" w:after="30"/>
            </w:pPr>
            <w:r>
              <w:rPr>
                <w:sz w:val="20"/>
              </w:rPr>
              <w:t>Admin</w:t>
            </w:r>
          </w:p>
        </w:tc>
        <w:tc>
          <w:tcPr>
            <w:tcW w:type="dxa" w:w="5506"/>
          </w:tcPr>
          <w:p>
            <w:pPr>
              <w:spacing w:before="30" w:after="30"/>
            </w:pPr>
            <w:r>
              <w:rPr>
                <w:sz w:val="20"/>
              </w:rPr>
              <w:t>Lists accounts awaiting approval</w:t>
            </w:r>
          </w:p>
        </w:tc>
      </w:tr>
      <w:tr>
        <w:tc>
          <w:tcPr>
            <w:tcW w:type="dxa" w:w="3368"/>
          </w:tcPr>
          <w:p>
            <w:pPr>
              <w:spacing w:before="30" w:after="30"/>
            </w:pPr>
            <w:r>
              <w:rPr>
                <w:sz w:val="20"/>
              </w:rPr>
              <w:t>POST /api/surveyors/{id}/approve</w:t>
            </w:r>
          </w:p>
        </w:tc>
        <w:tc>
          <w:tcPr>
            <w:tcW w:type="dxa" w:w="486"/>
          </w:tcPr>
          <w:p>
            <w:pPr>
              <w:spacing w:before="30" w:after="30"/>
            </w:pPr>
            <w:r>
              <w:rPr>
                <w:sz w:val="20"/>
              </w:rPr>
              <w:t>Admin</w:t>
            </w:r>
          </w:p>
        </w:tc>
        <w:tc>
          <w:tcPr>
            <w:tcW w:type="dxa" w:w="5506"/>
          </w:tcPr>
          <w:p>
            <w:pPr>
              <w:spacing w:before="30" w:after="30"/>
            </w:pPr>
            <w:r>
              <w:rPr>
                <w:sz w:val="20"/>
              </w:rPr>
              <w:t>Approves the account</w:t>
            </w:r>
          </w:p>
        </w:tc>
      </w:tr>
      <w:tr>
        <w:tc>
          <w:tcPr>
            <w:tcW w:type="dxa" w:w="3368"/>
          </w:tcPr>
          <w:p>
            <w:pPr>
              <w:spacing w:before="30" w:after="30"/>
            </w:pPr>
            <w:r>
              <w:rPr>
                <w:sz w:val="20"/>
              </w:rPr>
              <w:t xml:space="preserve">POST /api/surveyors/{id}/reject </w:t>
            </w:r>
            <w:r>
              <w:rPr>
                <w:rFonts w:ascii="Consolas" w:hAnsi="Consolas"/>
                <w:sz w:val="17"/>
                <w:shd w:val="clear" w:fill="EDEDED"/>
              </w:rPr>
              <w:t>{reason}</w:t>
            </w:r>
          </w:p>
        </w:tc>
        <w:tc>
          <w:tcPr>
            <w:tcW w:type="dxa" w:w="486"/>
          </w:tcPr>
          <w:p>
            <w:pPr>
              <w:spacing w:before="30" w:after="30"/>
            </w:pPr>
            <w:r>
              <w:rPr>
                <w:sz w:val="20"/>
              </w:rPr>
              <w:t>Admin</w:t>
            </w:r>
          </w:p>
        </w:tc>
        <w:tc>
          <w:tcPr>
            <w:tcW w:type="dxa" w:w="5506"/>
          </w:tcPr>
          <w:p>
            <w:pPr>
              <w:spacing w:before="30" w:after="30"/>
            </w:pPr>
            <w:r>
              <w:rPr>
                <w:sz w:val="20"/>
              </w:rPr>
              <w:t>Rejects the account</w:t>
            </w:r>
          </w:p>
        </w:tc>
      </w:tr>
    </w:tbl>
    <w:p>
      <w:pPr>
        <w:spacing w:before="0" w:after="80"/>
      </w:pPr>
    </w:p>
    <w:p>
      <w:pPr>
        <w:pStyle w:val="Heading2"/>
      </w:pPr>
      <w:r>
        <w:t>6.2 CustomerService (port 5002)</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3896"/>
            <w:shd w:val="clear" w:fill="1F3864"/>
          </w:tcPr>
          <w:p>
            <w:pPr>
              <w:spacing w:before="30" w:after="30"/>
            </w:pPr>
            <w:r>
              <w:rPr>
                <w:b/>
                <w:color w:val="FFFFFF"/>
                <w:sz w:val="20"/>
              </w:rPr>
              <w:t>Endpoint</w:t>
            </w:r>
          </w:p>
        </w:tc>
        <w:tc>
          <w:tcPr>
            <w:tcW w:type="dxa" w:w="618"/>
            <w:shd w:val="clear" w:fill="1F3864"/>
          </w:tcPr>
          <w:p>
            <w:pPr>
              <w:spacing w:before="30" w:after="30"/>
            </w:pPr>
            <w:r>
              <w:rPr>
                <w:b/>
                <w:color w:val="FFFFFF"/>
                <w:sz w:val="20"/>
              </w:rPr>
              <w:t>Access</w:t>
            </w:r>
          </w:p>
        </w:tc>
        <w:tc>
          <w:tcPr>
            <w:tcW w:type="dxa" w:w="4846"/>
            <w:shd w:val="clear" w:fill="1F3864"/>
          </w:tcPr>
          <w:p>
            <w:pPr>
              <w:spacing w:before="30" w:after="30"/>
            </w:pPr>
            <w:r>
              <w:rPr>
                <w:b/>
                <w:color w:val="FFFFFF"/>
                <w:sz w:val="20"/>
              </w:rPr>
              <w:t>Notes</w:t>
            </w:r>
          </w:p>
        </w:tc>
      </w:tr>
      <w:tr>
        <w:tc>
          <w:tcPr>
            <w:tcW w:type="dxa" w:w="3896"/>
          </w:tcPr>
          <w:p>
            <w:pPr>
              <w:spacing w:before="30" w:after="30"/>
            </w:pPr>
            <w:r>
              <w:rPr>
                <w:sz w:val="20"/>
              </w:rPr>
              <w:t xml:space="preserve">POST /api/companies </w:t>
            </w:r>
            <w:r>
              <w:rPr>
                <w:rFonts w:ascii="Consolas" w:hAnsi="Consolas"/>
                <w:sz w:val="17"/>
                <w:shd w:val="clear" w:fill="EDEDED"/>
              </w:rPr>
              <w:t>{name, registrationNo, contactPerson, email, phone, fleetSize}</w:t>
            </w:r>
          </w:p>
        </w:tc>
        <w:tc>
          <w:tcPr>
            <w:tcW w:type="dxa" w:w="618"/>
          </w:tcPr>
          <w:p>
            <w:pPr>
              <w:spacing w:before="30" w:after="30"/>
            </w:pPr>
            <w:r>
              <w:rPr>
                <w:sz w:val="20"/>
              </w:rPr>
              <w:t>Company</w:t>
            </w:r>
          </w:p>
        </w:tc>
        <w:tc>
          <w:tcPr>
            <w:tcW w:type="dxa" w:w="4846"/>
          </w:tcPr>
          <w:p>
            <w:pPr>
              <w:spacing w:before="30" w:after="30"/>
            </w:pPr>
            <w:r>
              <w:rPr>
                <w:sz w:val="20"/>
              </w:rPr>
              <w:t>Creates the company profile for the caller (one per user)</w:t>
            </w:r>
          </w:p>
        </w:tc>
      </w:tr>
      <w:tr>
        <w:tc>
          <w:tcPr>
            <w:tcW w:type="dxa" w:w="3896"/>
          </w:tcPr>
          <w:p>
            <w:pPr>
              <w:spacing w:before="30" w:after="30"/>
            </w:pPr>
            <w:r>
              <w:rPr>
                <w:sz w:val="20"/>
              </w:rPr>
              <w:t>GET /api/companies/{id}</w:t>
            </w:r>
          </w:p>
        </w:tc>
        <w:tc>
          <w:tcPr>
            <w:tcW w:type="dxa" w:w="618"/>
          </w:tcPr>
          <w:p>
            <w:pPr>
              <w:spacing w:before="30" w:after="30"/>
            </w:pPr>
            <w:r>
              <w:rPr>
                <w:sz w:val="20"/>
              </w:rPr>
              <w:t>Company (own)</w:t>
            </w:r>
          </w:p>
        </w:tc>
        <w:tc>
          <w:tcPr>
            <w:tcW w:type="dxa" w:w="4846"/>
          </w:tcPr>
          <w:p>
            <w:pPr>
              <w:spacing w:before="30" w:after="30"/>
            </w:pPr>
            <w:r>
              <w:rPr>
                <w:sz w:val="20"/>
              </w:rPr>
              <w:t>Returns the profile; 403 for other companies</w:t>
            </w:r>
          </w:p>
        </w:tc>
      </w:tr>
      <w:tr>
        <w:tc>
          <w:tcPr>
            <w:tcW w:type="dxa" w:w="3896"/>
          </w:tcPr>
          <w:p>
            <w:pPr>
              <w:spacing w:before="30" w:after="30"/>
            </w:pPr>
            <w:r>
              <w:rPr>
                <w:sz w:val="20"/>
              </w:rPr>
              <w:t>PUT /api/companies/{id}</w:t>
            </w:r>
          </w:p>
        </w:tc>
        <w:tc>
          <w:tcPr>
            <w:tcW w:type="dxa" w:w="618"/>
          </w:tcPr>
          <w:p>
            <w:pPr>
              <w:spacing w:before="30" w:after="30"/>
            </w:pPr>
            <w:r>
              <w:rPr>
                <w:sz w:val="20"/>
              </w:rPr>
              <w:t>Company (own)</w:t>
            </w:r>
          </w:p>
        </w:tc>
        <w:tc>
          <w:tcPr>
            <w:tcW w:type="dxa" w:w="4846"/>
          </w:tcPr>
          <w:p>
            <w:pPr>
              <w:spacing w:before="30" w:after="30"/>
            </w:pPr>
            <w:r>
              <w:rPr>
                <w:sz w:val="20"/>
              </w:rPr>
              <w:t>Updates mutable profile fields</w:t>
            </w:r>
          </w:p>
        </w:tc>
      </w:tr>
      <w:tr>
        <w:tc>
          <w:tcPr>
            <w:tcW w:type="dxa" w:w="3896"/>
          </w:tcPr>
          <w:p>
            <w:pPr>
              <w:spacing w:before="30" w:after="30"/>
            </w:pPr>
            <w:r>
              <w:rPr>
                <w:sz w:val="20"/>
              </w:rPr>
              <w:t>GET /api/companies/me</w:t>
            </w:r>
          </w:p>
        </w:tc>
        <w:tc>
          <w:tcPr>
            <w:tcW w:type="dxa" w:w="618"/>
          </w:tcPr>
          <w:p>
            <w:pPr>
              <w:spacing w:before="30" w:after="30"/>
            </w:pPr>
            <w:r>
              <w:rPr>
                <w:sz w:val="20"/>
              </w:rPr>
              <w:t>Company</w:t>
            </w:r>
          </w:p>
        </w:tc>
        <w:tc>
          <w:tcPr>
            <w:tcW w:type="dxa" w:w="4846"/>
          </w:tcPr>
          <w:p>
            <w:pPr>
              <w:spacing w:before="30" w:after="30"/>
            </w:pPr>
            <w:r>
              <w:rPr>
                <w:sz w:val="20"/>
              </w:rPr>
              <w:t>Returns the caller's own profile; also called by InsuranceService for ownership resolution (Section 4)</w:t>
            </w:r>
          </w:p>
        </w:tc>
      </w:tr>
    </w:tbl>
    <w:p>
      <w:pPr>
        <w:spacing w:before="0" w:after="80"/>
      </w:pPr>
    </w:p>
    <w:p>
      <w:pPr>
        <w:pStyle w:val="Heading2"/>
      </w:pPr>
      <w:r>
        <w:t>6.3 QuoteService (port 5003)</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2869"/>
            <w:shd w:val="clear" w:fill="1F3864"/>
          </w:tcPr>
          <w:p>
            <w:pPr>
              <w:spacing w:before="30" w:after="30"/>
            </w:pPr>
            <w:r>
              <w:rPr>
                <w:b/>
                <w:color w:val="FFFFFF"/>
                <w:sz w:val="20"/>
              </w:rPr>
              <w:t>Endpoint</w:t>
            </w:r>
          </w:p>
        </w:tc>
        <w:tc>
          <w:tcPr>
            <w:tcW w:type="dxa" w:w="888"/>
            <w:shd w:val="clear" w:fill="1F3864"/>
          </w:tcPr>
          <w:p>
            <w:pPr>
              <w:spacing w:before="30" w:after="30"/>
            </w:pPr>
            <w:r>
              <w:rPr>
                <w:b/>
                <w:color w:val="FFFFFF"/>
                <w:sz w:val="20"/>
              </w:rPr>
              <w:t>Access</w:t>
            </w:r>
          </w:p>
        </w:tc>
        <w:tc>
          <w:tcPr>
            <w:tcW w:type="dxa" w:w="5602"/>
            <w:shd w:val="clear" w:fill="1F3864"/>
          </w:tcPr>
          <w:p>
            <w:pPr>
              <w:spacing w:before="30" w:after="30"/>
            </w:pPr>
            <w:r>
              <w:rPr>
                <w:b/>
                <w:color w:val="FFFFFF"/>
                <w:sz w:val="20"/>
              </w:rPr>
              <w:t>Notes</w:t>
            </w:r>
          </w:p>
        </w:tc>
      </w:tr>
      <w:tr>
        <w:tc>
          <w:tcPr>
            <w:tcW w:type="dxa" w:w="2869"/>
          </w:tcPr>
          <w:p>
            <w:pPr>
              <w:spacing w:before="30" w:after="30"/>
            </w:pPr>
            <w:r>
              <w:rPr>
                <w:sz w:val="20"/>
              </w:rPr>
              <w:t xml:space="preserve">POST /api/quotes </w:t>
            </w:r>
            <w:r>
              <w:rPr>
                <w:rFonts w:ascii="Consolas" w:hAnsi="Consolas"/>
                <w:sz w:val="17"/>
                <w:shd w:val="clear" w:fill="EDEDED"/>
              </w:rPr>
              <w:t>{fleetSize, tier, addOns}</w:t>
            </w:r>
          </w:p>
        </w:tc>
        <w:tc>
          <w:tcPr>
            <w:tcW w:type="dxa" w:w="888"/>
          </w:tcPr>
          <w:p>
            <w:pPr>
              <w:spacing w:before="30" w:after="30"/>
            </w:pPr>
            <w:r>
              <w:rPr>
                <w:sz w:val="20"/>
              </w:rPr>
              <w:t>Company</w:t>
            </w:r>
          </w:p>
        </w:tc>
        <w:tc>
          <w:tcPr>
            <w:tcW w:type="dxa" w:w="5602"/>
          </w:tcPr>
          <w:p>
            <w:pPr>
              <w:spacing w:before="30" w:after="30"/>
            </w:pPr>
            <w:r>
              <w:rPr>
                <w:sz w:val="20"/>
              </w:rPr>
              <w:t>Returns estimates for both tiers side by side; company taken from the token</w:t>
            </w:r>
          </w:p>
        </w:tc>
      </w:tr>
      <w:tr>
        <w:tc>
          <w:tcPr>
            <w:tcW w:type="dxa" w:w="2869"/>
          </w:tcPr>
          <w:p>
            <w:pPr>
              <w:spacing w:before="30" w:after="30"/>
            </w:pPr>
            <w:r>
              <w:rPr>
                <w:sz w:val="20"/>
              </w:rPr>
              <w:t>GET /api/quotes/{id}</w:t>
            </w:r>
          </w:p>
        </w:tc>
        <w:tc>
          <w:tcPr>
            <w:tcW w:type="dxa" w:w="888"/>
          </w:tcPr>
          <w:p>
            <w:pPr>
              <w:spacing w:before="30" w:after="30"/>
            </w:pPr>
            <w:r>
              <w:rPr>
                <w:sz w:val="20"/>
              </w:rPr>
              <w:t>Company (own)</w:t>
            </w:r>
          </w:p>
        </w:tc>
        <w:tc>
          <w:tcPr>
            <w:tcW w:type="dxa" w:w="5602"/>
          </w:tcPr>
          <w:p>
            <w:pPr>
              <w:spacing w:before="30" w:after="30"/>
            </w:pPr>
            <w:r>
              <w:rPr>
                <w:sz w:val="20"/>
              </w:rPr>
              <w:t>Single quote; status flips to Expired lazily on read</w:t>
            </w:r>
          </w:p>
        </w:tc>
      </w:tr>
      <w:tr>
        <w:tc>
          <w:tcPr>
            <w:tcW w:type="dxa" w:w="2869"/>
          </w:tcPr>
          <w:p>
            <w:pPr>
              <w:spacing w:before="30" w:after="30"/>
            </w:pPr>
            <w:r>
              <w:rPr>
                <w:sz w:val="20"/>
              </w:rPr>
              <w:t>GET /api/quotes/company</w:t>
            </w:r>
          </w:p>
        </w:tc>
        <w:tc>
          <w:tcPr>
            <w:tcW w:type="dxa" w:w="888"/>
          </w:tcPr>
          <w:p>
            <w:pPr>
              <w:spacing w:before="30" w:after="30"/>
            </w:pPr>
            <w:r>
              <w:rPr>
                <w:sz w:val="20"/>
              </w:rPr>
              <w:t>Company (own)</w:t>
            </w:r>
          </w:p>
        </w:tc>
        <w:tc>
          <w:tcPr>
            <w:tcW w:type="dxa" w:w="5602"/>
          </w:tcPr>
          <w:p>
            <w:pPr>
              <w:spacing w:before="30" w:after="30"/>
            </w:pPr>
            <w:r>
              <w:rPr>
                <w:sz w:val="20"/>
              </w:rPr>
              <w:t>Quote history (status filter, paging)</w:t>
            </w:r>
          </w:p>
        </w:tc>
      </w:tr>
      <w:tr>
        <w:tc>
          <w:tcPr>
            <w:tcW w:type="dxa" w:w="2869"/>
          </w:tcPr>
          <w:p>
            <w:pPr>
              <w:spacing w:before="30" w:after="30"/>
            </w:pPr>
            <w:r>
              <w:rPr>
                <w:sz w:val="20"/>
              </w:rPr>
              <w:t>POST /api/quotes/{id}/convert</w:t>
            </w:r>
          </w:p>
        </w:tc>
        <w:tc>
          <w:tcPr>
            <w:tcW w:type="dxa" w:w="888"/>
          </w:tcPr>
          <w:p>
            <w:pPr>
              <w:spacing w:before="30" w:after="30"/>
            </w:pPr>
            <w:r>
              <w:rPr>
                <w:sz w:val="20"/>
              </w:rPr>
              <w:t>Company (own)</w:t>
            </w:r>
          </w:p>
        </w:tc>
        <w:tc>
          <w:tcPr>
            <w:tcW w:type="dxa" w:w="5602"/>
          </w:tcPr>
          <w:p>
            <w:pPr>
              <w:spacing w:before="30" w:after="30"/>
            </w:pPr>
            <w:r>
              <w:rPr>
                <w:sz w:val="20"/>
              </w:rPr>
              <w:t>Active quotes only; 410 if expired, 409 if already converted; returns prefill data</w:t>
            </w:r>
          </w:p>
        </w:tc>
      </w:tr>
      <w:tr>
        <w:tc>
          <w:tcPr>
            <w:tcW w:type="dxa" w:w="2869"/>
          </w:tcPr>
          <w:p>
            <w:pPr>
              <w:spacing w:before="30" w:after="30"/>
            </w:pPr>
            <w:r>
              <w:rPr>
                <w:sz w:val="20"/>
              </w:rPr>
              <w:t>GET /api/quotes/stats</w:t>
            </w:r>
          </w:p>
        </w:tc>
        <w:tc>
          <w:tcPr>
            <w:tcW w:type="dxa" w:w="888"/>
          </w:tcPr>
          <w:p>
            <w:pPr>
              <w:spacing w:before="30" w:after="30"/>
            </w:pPr>
            <w:r>
              <w:rPr>
                <w:sz w:val="20"/>
              </w:rPr>
              <w:t>Admin</w:t>
            </w:r>
          </w:p>
        </w:tc>
        <w:tc>
          <w:tcPr>
            <w:tcW w:type="dxa" w:w="5602"/>
          </w:tcPr>
          <w:p>
            <w:pPr>
              <w:spacing w:before="30" w:after="30"/>
            </w:pPr>
            <w:r>
              <w:rPr>
                <w:sz w:val="20"/>
              </w:rPr>
              <w:t>Total and converted quote counts; used by the dashboard aggregation</w:t>
            </w:r>
          </w:p>
        </w:tc>
      </w:tr>
    </w:tbl>
    <w:p>
      <w:pPr>
        <w:spacing w:before="0" w:after="80"/>
      </w:pPr>
    </w:p>
    <w:p>
      <w:pPr>
        <w:pStyle w:val="Heading2"/>
      </w:pPr>
      <w:r>
        <w:t>6.4 InsuranceService (port 5004)</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702"/>
            <w:shd w:val="clear" w:fill="1F3864"/>
          </w:tcPr>
          <w:p>
            <w:pPr>
              <w:spacing w:before="30" w:after="30"/>
            </w:pPr>
            <w:r>
              <w:rPr>
                <w:b/>
                <w:color w:val="FFFFFF"/>
                <w:sz w:val="20"/>
              </w:rPr>
              <w:t>Endpoint</w:t>
            </w:r>
          </w:p>
        </w:tc>
        <w:tc>
          <w:tcPr>
            <w:tcW w:type="dxa" w:w="1143"/>
            <w:shd w:val="clear" w:fill="1F3864"/>
          </w:tcPr>
          <w:p>
            <w:pPr>
              <w:spacing w:before="30" w:after="30"/>
            </w:pPr>
            <w:r>
              <w:rPr>
                <w:b/>
                <w:color w:val="FFFFFF"/>
                <w:sz w:val="20"/>
              </w:rPr>
              <w:t>Access</w:t>
            </w:r>
          </w:p>
        </w:tc>
        <w:tc>
          <w:tcPr>
            <w:tcW w:type="dxa" w:w="6516"/>
            <w:shd w:val="clear" w:fill="1F3864"/>
          </w:tcPr>
          <w:p>
            <w:pPr>
              <w:spacing w:before="30" w:after="30"/>
            </w:pPr>
            <w:r>
              <w:rPr>
                <w:b/>
                <w:color w:val="FFFFFF"/>
                <w:sz w:val="20"/>
              </w:rPr>
              <w:t>Notes</w:t>
            </w:r>
          </w:p>
        </w:tc>
      </w:tr>
      <w:tr>
        <w:tc>
          <w:tcPr>
            <w:tcW w:type="dxa" w:w="1702"/>
          </w:tcPr>
          <w:p>
            <w:pPr>
              <w:spacing w:before="30" w:after="30"/>
            </w:pPr>
            <w:r>
              <w:rPr>
                <w:sz w:val="20"/>
              </w:rPr>
              <w:t xml:space="preserve">POST /api/policies/apply </w:t>
            </w:r>
            <w:r>
              <w:rPr>
                <w:rFonts w:ascii="Consolas" w:hAnsi="Consolas"/>
                <w:sz w:val="17"/>
                <w:shd w:val="clear" w:fill="EDEDED"/>
              </w:rPr>
              <w:t>{originQuoteId?, tier, addOns, fleetSize}</w:t>
            </w:r>
          </w:p>
        </w:tc>
        <w:tc>
          <w:tcPr>
            <w:tcW w:type="dxa" w:w="1143"/>
          </w:tcPr>
          <w:p>
            <w:pPr>
              <w:spacing w:before="30" w:after="30"/>
            </w:pPr>
            <w:r>
              <w:rPr>
                <w:sz w:val="20"/>
              </w:rPr>
              <w:t>Company</w:t>
            </w:r>
          </w:p>
        </w:tc>
        <w:tc>
          <w:tcPr>
            <w:tcW w:type="dxa" w:w="6516"/>
          </w:tcPr>
          <w:p>
            <w:pPr>
              <w:spacing w:before="30" w:after="30"/>
            </w:pPr>
            <w:r>
              <w:rPr>
                <w:sz w:val="20"/>
              </w:rPr>
              <w:t>Server-side premium; company resolved per Section 4; status Pending; response includes the generated policy number; when an origin quote is supplied, QuoteService is called to validate it (410 if expired, 409 if already converted) and it is marked Converted on success</w:t>
            </w:r>
          </w:p>
        </w:tc>
      </w:tr>
      <w:tr>
        <w:tc>
          <w:tcPr>
            <w:tcW w:type="dxa" w:w="1702"/>
          </w:tcPr>
          <w:p>
            <w:pPr>
              <w:spacing w:before="30" w:after="30"/>
            </w:pPr>
            <w:r>
              <w:rPr>
                <w:sz w:val="20"/>
              </w:rPr>
              <w:t xml:space="preserve">GET /api/policies </w:t>
            </w:r>
            <w:r>
              <w:rPr>
                <w:rFonts w:ascii="Consolas" w:hAnsi="Consolas"/>
                <w:sz w:val="17"/>
                <w:shd w:val="clear" w:fill="EDEDED"/>
              </w:rPr>
              <w:t>?status, tier, sortOrder, page</w:t>
            </w:r>
          </w:p>
        </w:tc>
        <w:tc>
          <w:tcPr>
            <w:tcW w:type="dxa" w:w="1143"/>
          </w:tcPr>
          <w:p>
            <w:pPr>
              <w:spacing w:before="30" w:after="30"/>
            </w:pPr>
            <w:r>
              <w:rPr>
                <w:sz w:val="20"/>
              </w:rPr>
              <w:t>Admin</w:t>
            </w:r>
          </w:p>
        </w:tc>
        <w:tc>
          <w:tcPr>
            <w:tcW w:type="dxa" w:w="6516"/>
          </w:tcPr>
          <w:p>
            <w:pPr>
              <w:spacing w:before="30" w:after="30"/>
            </w:pPr>
            <w:r>
              <w:rPr>
                <w:sz w:val="20"/>
              </w:rPr>
              <w:t>Full policy list with filtering, sorting, paging (FR9.1); Review-Required renewals are distinguishable</w:t>
            </w:r>
          </w:p>
        </w:tc>
      </w:tr>
      <w:tr>
        <w:tc>
          <w:tcPr>
            <w:tcW w:type="dxa" w:w="1702"/>
          </w:tcPr>
          <w:p>
            <w:pPr>
              <w:spacing w:before="30" w:after="30"/>
            </w:pPr>
            <w:r>
              <w:rPr>
                <w:sz w:val="20"/>
              </w:rPr>
              <w:t>GET /api/policies/company</w:t>
            </w:r>
          </w:p>
        </w:tc>
        <w:tc>
          <w:tcPr>
            <w:tcW w:type="dxa" w:w="1143"/>
          </w:tcPr>
          <w:p>
            <w:pPr>
              <w:spacing w:before="30" w:after="30"/>
            </w:pPr>
            <w:r>
              <w:rPr>
                <w:sz w:val="20"/>
              </w:rPr>
              <w:t>Company (own)</w:t>
            </w:r>
          </w:p>
        </w:tc>
        <w:tc>
          <w:tcPr>
            <w:tcW w:type="dxa" w:w="6516"/>
          </w:tcPr>
          <w:p>
            <w:pPr>
              <w:spacing w:before="30" w:after="30"/>
            </w:pPr>
            <w:r>
              <w:rPr>
                <w:sz w:val="20"/>
              </w:rPr>
              <w:t>The caller's policies</w:t>
            </w:r>
          </w:p>
        </w:tc>
      </w:tr>
      <w:tr>
        <w:tc>
          <w:tcPr>
            <w:tcW w:type="dxa" w:w="1702"/>
          </w:tcPr>
          <w:p>
            <w:pPr>
              <w:spacing w:before="30" w:after="30"/>
            </w:pPr>
            <w:r>
              <w:rPr>
                <w:sz w:val="20"/>
              </w:rPr>
              <w:t>GET /api/policies/{id}</w:t>
            </w:r>
          </w:p>
        </w:tc>
        <w:tc>
          <w:tcPr>
            <w:tcW w:type="dxa" w:w="1143"/>
          </w:tcPr>
          <w:p>
            <w:pPr>
              <w:spacing w:before="30" w:after="30"/>
            </w:pPr>
            <w:r>
              <w:rPr>
                <w:sz w:val="20"/>
              </w:rPr>
              <w:t>Company (own) / Admin</w:t>
            </w:r>
          </w:p>
        </w:tc>
        <w:tc>
          <w:tcPr>
            <w:tcW w:type="dxa" w:w="6516"/>
          </w:tcPr>
          <w:p>
            <w:pPr>
              <w:spacing w:before="30" w:after="30"/>
            </w:pPr>
            <w:r>
              <w:rPr>
                <w:sz w:val="20"/>
              </w:rPr>
              <w:t>Policy details</w:t>
            </w:r>
          </w:p>
        </w:tc>
      </w:tr>
      <w:tr>
        <w:tc>
          <w:tcPr>
            <w:tcW w:type="dxa" w:w="1702"/>
          </w:tcPr>
          <w:p>
            <w:pPr>
              <w:spacing w:before="30" w:after="30"/>
            </w:pPr>
            <w:r>
              <w:rPr>
                <w:sz w:val="20"/>
              </w:rPr>
              <w:t>DELETE /api/policies/{id}</w:t>
            </w:r>
          </w:p>
        </w:tc>
        <w:tc>
          <w:tcPr>
            <w:tcW w:type="dxa" w:w="1143"/>
          </w:tcPr>
          <w:p>
            <w:pPr>
              <w:spacing w:before="30" w:after="30"/>
            </w:pPr>
            <w:r>
              <w:rPr>
                <w:sz w:val="20"/>
              </w:rPr>
              <w:t>Company (own)</w:t>
            </w:r>
          </w:p>
        </w:tc>
        <w:tc>
          <w:tcPr>
            <w:tcW w:type="dxa" w:w="6516"/>
          </w:tcPr>
          <w:p>
            <w:pPr>
              <w:spacing w:before="30" w:after="30"/>
            </w:pPr>
            <w:r>
              <w:rPr>
                <w:sz w:val="20"/>
              </w:rPr>
              <w:t>Pending policies only — 409 otherwise; also used to decline a renewal</w:t>
            </w:r>
          </w:p>
        </w:tc>
      </w:tr>
      <w:tr>
        <w:tc>
          <w:tcPr>
            <w:tcW w:type="dxa" w:w="1702"/>
          </w:tcPr>
          <w:p>
            <w:pPr>
              <w:spacing w:before="30" w:after="30"/>
            </w:pPr>
            <w:r>
              <w:rPr>
                <w:sz w:val="20"/>
              </w:rPr>
              <w:t>POST /api/policies/{id}/pay</w:t>
            </w:r>
          </w:p>
        </w:tc>
        <w:tc>
          <w:tcPr>
            <w:tcW w:type="dxa" w:w="1143"/>
          </w:tcPr>
          <w:p>
            <w:pPr>
              <w:spacing w:before="30" w:after="30"/>
            </w:pPr>
            <w:r>
              <w:rPr>
                <w:sz w:val="20"/>
              </w:rPr>
              <w:t>Company (own)</w:t>
            </w:r>
          </w:p>
        </w:tc>
        <w:tc>
          <w:tcPr>
            <w:tcW w:type="dxa" w:w="6516"/>
          </w:tcPr>
          <w:p>
            <w:pPr>
              <w:spacing w:before="30" w:after="30"/>
            </w:pPr>
            <w:r>
              <w:rPr>
                <w:sz w:val="20"/>
              </w:rPr>
              <w:t>Simulated premium payment (always succeeds); sets start/end dates and activates the policy</w:t>
            </w:r>
          </w:p>
        </w:tc>
      </w:tr>
      <w:tr>
        <w:tc>
          <w:tcPr>
            <w:tcW w:type="dxa" w:w="1702"/>
          </w:tcPr>
          <w:p>
            <w:pPr>
              <w:spacing w:before="30" w:after="30"/>
            </w:pPr>
            <w:r>
              <w:rPr>
                <w:sz w:val="20"/>
              </w:rPr>
              <w:t>POST /api/policies/{id}/renew</w:t>
            </w:r>
          </w:p>
        </w:tc>
        <w:tc>
          <w:tcPr>
            <w:tcW w:type="dxa" w:w="1143"/>
          </w:tcPr>
          <w:p>
            <w:pPr>
              <w:spacing w:before="30" w:after="30"/>
            </w:pPr>
            <w:r>
              <w:rPr>
                <w:sz w:val="20"/>
              </w:rPr>
              <w:t>Company (own, Active, inside the 30-day window)</w:t>
            </w:r>
          </w:p>
        </w:tc>
        <w:tc>
          <w:tcPr>
            <w:tcW w:type="dxa" w:w="6516"/>
          </w:tcPr>
          <w:p>
            <w:pPr>
              <w:spacing w:before="30" w:after="30"/>
            </w:pPr>
            <w:r>
              <w:rPr>
                <w:sz w:val="20"/>
              </w:rPr>
              <w:t>Creates the Pending renewal priced by the claims-ratio bands (Section 3); 409 if one is already pending; the company then pays to accept or cancels to decline</w:t>
            </w:r>
          </w:p>
        </w:tc>
      </w:tr>
      <w:tr>
        <w:tc>
          <w:tcPr>
            <w:tcW w:type="dxa" w:w="1702"/>
          </w:tcPr>
          <w:p>
            <w:pPr>
              <w:spacing w:before="30" w:after="30"/>
            </w:pPr>
            <w:r>
              <w:rPr>
                <w:sz w:val="20"/>
              </w:rPr>
              <w:t>POST /api/claims</w:t>
            </w:r>
          </w:p>
        </w:tc>
        <w:tc>
          <w:tcPr>
            <w:tcW w:type="dxa" w:w="1143"/>
          </w:tcPr>
          <w:p>
            <w:pPr>
              <w:spacing w:before="30" w:after="30"/>
            </w:pPr>
            <w:r>
              <w:rPr>
                <w:sz w:val="20"/>
              </w:rPr>
              <w:t>Company (own policy)</w:t>
            </w:r>
          </w:p>
        </w:tc>
        <w:tc>
          <w:tcPr>
            <w:tcW w:type="dxa" w:w="6516"/>
          </w:tcPr>
          <w:p>
            <w:pPr>
              <w:spacing w:before="30" w:after="30"/>
            </w:pPr>
            <w:r>
              <w:rPr>
                <w:sz w:val="20"/>
              </w:rPr>
              <w:t>Validates intake rules, derives the period, runs the rules engine; response carries the claim number plus the preliminary period, decision, amount, and flags</w:t>
            </w:r>
          </w:p>
        </w:tc>
      </w:tr>
      <w:tr>
        <w:tc>
          <w:tcPr>
            <w:tcW w:type="dxa" w:w="1702"/>
          </w:tcPr>
          <w:p>
            <w:pPr>
              <w:spacing w:before="30" w:after="30"/>
            </w:pPr>
            <w:r>
              <w:rPr>
                <w:sz w:val="20"/>
              </w:rPr>
              <w:t xml:space="preserve">GET /api/claims/queue </w:t>
            </w:r>
            <w:r>
              <w:rPr>
                <w:rFonts w:ascii="Consolas" w:hAnsi="Consolas"/>
                <w:sz w:val="17"/>
                <w:shd w:val="clear" w:fill="EDEDED"/>
              </w:rPr>
              <w:t>?isFlagged, incidentFrom, incidentTo, page</w:t>
            </w:r>
          </w:p>
        </w:tc>
        <w:tc>
          <w:tcPr>
            <w:tcW w:type="dxa" w:w="1143"/>
          </w:tcPr>
          <w:p>
            <w:pPr>
              <w:spacing w:before="30" w:after="30"/>
            </w:pPr>
            <w:r>
              <w:rPr>
                <w:sz w:val="20"/>
              </w:rPr>
              <w:t>Surveyor (Approved)</w:t>
            </w:r>
          </w:p>
        </w:tc>
        <w:tc>
          <w:tcPr>
            <w:tcW w:type="dxa" w:w="6516"/>
          </w:tcPr>
          <w:p>
            <w:pPr>
              <w:spacing w:before="30" w:after="30"/>
            </w:pPr>
            <w:r>
              <w:rPr>
                <w:sz w:val="20"/>
              </w:rPr>
              <w:t>Unassigned claims only</w:t>
            </w:r>
          </w:p>
        </w:tc>
      </w:tr>
      <w:tr>
        <w:tc>
          <w:tcPr>
            <w:tcW w:type="dxa" w:w="1702"/>
          </w:tcPr>
          <w:p>
            <w:pPr>
              <w:spacing w:before="30" w:after="30"/>
            </w:pPr>
            <w:r>
              <w:rPr>
                <w:sz w:val="20"/>
              </w:rPr>
              <w:t>GET /api/claims/assigned</w:t>
            </w:r>
          </w:p>
        </w:tc>
        <w:tc>
          <w:tcPr>
            <w:tcW w:type="dxa" w:w="1143"/>
          </w:tcPr>
          <w:p>
            <w:pPr>
              <w:spacing w:before="30" w:after="30"/>
            </w:pPr>
            <w:r>
              <w:rPr>
                <w:sz w:val="20"/>
              </w:rPr>
              <w:t>Surveyor</w:t>
            </w:r>
          </w:p>
        </w:tc>
        <w:tc>
          <w:tcPr>
            <w:tcW w:type="dxa" w:w="6516"/>
          </w:tcPr>
          <w:p>
            <w:pPr>
              <w:spacing w:before="30" w:after="30"/>
            </w:pPr>
            <w:r>
              <w:rPr>
                <w:sz w:val="20"/>
              </w:rPr>
              <w:t>Claims assigned to the caller</w:t>
            </w:r>
          </w:p>
        </w:tc>
      </w:tr>
      <w:tr>
        <w:tc>
          <w:tcPr>
            <w:tcW w:type="dxa" w:w="1702"/>
          </w:tcPr>
          <w:p>
            <w:pPr>
              <w:spacing w:before="30" w:after="30"/>
            </w:pPr>
            <w:r>
              <w:rPr>
                <w:sz w:val="20"/>
              </w:rPr>
              <w:t>POST /api/claims/{id}/pickup</w:t>
            </w:r>
          </w:p>
        </w:tc>
        <w:tc>
          <w:tcPr>
            <w:tcW w:type="dxa" w:w="1143"/>
          </w:tcPr>
          <w:p>
            <w:pPr>
              <w:spacing w:before="30" w:after="30"/>
            </w:pPr>
            <w:r>
              <w:rPr>
                <w:sz w:val="20"/>
              </w:rPr>
              <w:t>Surveyor (Approved)</w:t>
            </w:r>
          </w:p>
        </w:tc>
        <w:tc>
          <w:tcPr>
            <w:tcW w:type="dxa" w:w="6516"/>
          </w:tcPr>
          <w:p>
            <w:pPr>
              <w:spacing w:before="30" w:after="30"/>
            </w:pPr>
            <w:r>
              <w:rPr>
                <w:sz w:val="20"/>
              </w:rPr>
              <w:t>404 if missing, 409 if already assigned; creates the four Pending field-verification records</w:t>
            </w:r>
          </w:p>
        </w:tc>
      </w:tr>
      <w:tr>
        <w:tc>
          <w:tcPr>
            <w:tcW w:type="dxa" w:w="1702"/>
          </w:tcPr>
          <w:p>
            <w:pPr>
              <w:spacing w:before="30" w:after="30"/>
            </w:pPr>
            <w:r>
              <w:rPr>
                <w:sz w:val="20"/>
              </w:rPr>
              <w:t xml:space="preserve">POST /api/claims/{id}/verify-field </w:t>
            </w:r>
            <w:r>
              <w:rPr>
                <w:rFonts w:ascii="Consolas" w:hAnsi="Consolas"/>
                <w:sz w:val="17"/>
                <w:shd w:val="clear" w:fill="EDEDED"/>
              </w:rPr>
              <w:t>{fieldName, status, note?}</w:t>
            </w:r>
          </w:p>
        </w:tc>
        <w:tc>
          <w:tcPr>
            <w:tcW w:type="dxa" w:w="1143"/>
          </w:tcPr>
          <w:p>
            <w:pPr>
              <w:spacing w:before="30" w:after="30"/>
            </w:pPr>
            <w:r>
              <w:rPr>
                <w:sz w:val="20"/>
              </w:rPr>
              <w:t>Surveyor (assigned)</w:t>
            </w:r>
          </w:p>
        </w:tc>
        <w:tc>
          <w:tcPr>
            <w:tcW w:type="dxa" w:w="6516"/>
          </w:tcPr>
          <w:p>
            <w:pPr>
              <w:spacing w:before="30" w:after="30"/>
            </w:pPr>
            <w:r>
              <w:rPr>
                <w:sz w:val="20"/>
              </w:rPr>
              <w:t>Records Verified or Suspicious for one field, plus an optional note</w:t>
            </w:r>
          </w:p>
        </w:tc>
      </w:tr>
      <w:tr>
        <w:tc>
          <w:tcPr>
            <w:tcW w:type="dxa" w:w="1702"/>
          </w:tcPr>
          <w:p>
            <w:pPr>
              <w:spacing w:before="30" w:after="30"/>
            </w:pPr>
            <w:r>
              <w:rPr>
                <w:sz w:val="20"/>
              </w:rPr>
              <w:t>POST /api/claims/{id}/report</w:t>
            </w:r>
          </w:p>
        </w:tc>
        <w:tc>
          <w:tcPr>
            <w:tcW w:type="dxa" w:w="1143"/>
          </w:tcPr>
          <w:p>
            <w:pPr>
              <w:spacing w:before="30" w:after="30"/>
            </w:pPr>
            <w:r>
              <w:rPr>
                <w:sz w:val="20"/>
              </w:rPr>
              <w:t>Surveyor (assigned)</w:t>
            </w:r>
          </w:p>
        </w:tc>
        <w:tc>
          <w:tcPr>
            <w:tcW w:type="dxa" w:w="6516"/>
          </w:tcPr>
          <w:p>
            <w:pPr>
              <w:spacing w:before="30" w:after="30"/>
            </w:pPr>
            <w:r>
              <w:rPr>
                <w:sz w:val="20"/>
              </w:rPr>
              <w:t>409 while any field is still Pending; one report per claim</w:t>
            </w:r>
          </w:p>
        </w:tc>
      </w:tr>
      <w:tr>
        <w:tc>
          <w:tcPr>
            <w:tcW w:type="dxa" w:w="1702"/>
          </w:tcPr>
          <w:p>
            <w:pPr>
              <w:spacing w:before="30" w:after="30"/>
            </w:pPr>
            <w:r>
              <w:rPr>
                <w:sz w:val="20"/>
              </w:rPr>
              <w:t>GET /api/claims/{id}/review</w:t>
            </w:r>
          </w:p>
        </w:tc>
        <w:tc>
          <w:tcPr>
            <w:tcW w:type="dxa" w:w="1143"/>
          </w:tcPr>
          <w:p>
            <w:pPr>
              <w:spacing w:before="30" w:after="30"/>
            </w:pPr>
            <w:r>
              <w:rPr>
                <w:sz w:val="20"/>
              </w:rPr>
              <w:t>Admin</w:t>
            </w:r>
          </w:p>
        </w:tc>
        <w:tc>
          <w:tcPr>
            <w:tcW w:type="dxa" w:w="6516"/>
          </w:tcPr>
          <w:p>
            <w:pPr>
              <w:spacing w:before="30" w:after="30"/>
            </w:pPr>
            <w:r>
              <w:rPr>
                <w:sz w:val="20"/>
              </w:rPr>
              <w:t>Preliminary result plus the surveyor's full report</w:t>
            </w:r>
          </w:p>
        </w:tc>
      </w:tr>
      <w:tr>
        <w:tc>
          <w:tcPr>
            <w:tcW w:type="dxa" w:w="1702"/>
          </w:tcPr>
          <w:p>
            <w:pPr>
              <w:spacing w:before="30" w:after="30"/>
            </w:pPr>
            <w:r>
              <w:rPr>
                <w:sz w:val="20"/>
              </w:rPr>
              <w:t xml:space="preserve">POST /api/claims/{id}/decision </w:t>
            </w:r>
            <w:r>
              <w:rPr>
                <w:rFonts w:ascii="Consolas" w:hAnsi="Consolas"/>
                <w:sz w:val="17"/>
                <w:shd w:val="clear" w:fill="EDEDED"/>
              </w:rPr>
              <w:t>{decision, finalAmount?, overrideNote?}</w:t>
            </w:r>
          </w:p>
        </w:tc>
        <w:tc>
          <w:tcPr>
            <w:tcW w:type="dxa" w:w="1143"/>
          </w:tcPr>
          <w:p>
            <w:pPr>
              <w:spacing w:before="30" w:after="30"/>
            </w:pPr>
            <w:r>
              <w:rPr>
                <w:sz w:val="20"/>
              </w:rPr>
              <w:t>Admin</w:t>
            </w:r>
          </w:p>
        </w:tc>
        <w:tc>
          <w:tcPr>
            <w:tcW w:type="dxa" w:w="6516"/>
          </w:tcPr>
          <w:p>
            <w:pPr>
              <w:spacing w:before="30" w:after="30"/>
            </w:pPr>
            <w:r>
              <w:rPr>
                <w:sz w:val="20"/>
              </w:rPr>
              <w:t>Override note mandatory when differing from the surveyor; on Approve the payout is simulated in the same request (claim becomes Paid, final amount recorded)</w:t>
            </w:r>
          </w:p>
        </w:tc>
      </w:tr>
      <w:tr>
        <w:tc>
          <w:tcPr>
            <w:tcW w:type="dxa" w:w="1702"/>
          </w:tcPr>
          <w:p>
            <w:pPr>
              <w:spacing w:before="30" w:after="30"/>
            </w:pPr>
            <w:r>
              <w:rPr>
                <w:sz w:val="20"/>
              </w:rPr>
              <w:t>GET /api/claims/{id}</w:t>
            </w:r>
          </w:p>
        </w:tc>
        <w:tc>
          <w:tcPr>
            <w:tcW w:type="dxa" w:w="1143"/>
          </w:tcPr>
          <w:p>
            <w:pPr>
              <w:spacing w:before="30" w:after="30"/>
            </w:pPr>
            <w:r>
              <w:rPr>
                <w:sz w:val="20"/>
              </w:rPr>
              <w:t>Company (own) / Admin</w:t>
            </w:r>
          </w:p>
        </w:tc>
        <w:tc>
          <w:tcPr>
            <w:tcW w:type="dxa" w:w="6516"/>
          </w:tcPr>
          <w:p>
            <w:pPr>
              <w:spacing w:before="30" w:after="30"/>
            </w:pPr>
            <w:r>
              <w:rPr>
                <w:sz w:val="20"/>
              </w:rPr>
              <w:t>Full claim including status history and notes</w:t>
            </w:r>
          </w:p>
        </w:tc>
      </w:tr>
      <w:tr>
        <w:tc>
          <w:tcPr>
            <w:tcW w:type="dxa" w:w="1702"/>
          </w:tcPr>
          <w:p>
            <w:pPr>
              <w:spacing w:before="30" w:after="30"/>
            </w:pPr>
            <w:r>
              <w:rPr>
                <w:sz w:val="20"/>
              </w:rPr>
              <w:t>GET /api/claims/company</w:t>
            </w:r>
          </w:p>
        </w:tc>
        <w:tc>
          <w:tcPr>
            <w:tcW w:type="dxa" w:w="1143"/>
          </w:tcPr>
          <w:p>
            <w:pPr>
              <w:spacing w:before="30" w:after="30"/>
            </w:pPr>
            <w:r>
              <w:rPr>
                <w:sz w:val="20"/>
              </w:rPr>
              <w:t>Company (own)</w:t>
            </w:r>
          </w:p>
        </w:tc>
        <w:tc>
          <w:tcPr>
            <w:tcW w:type="dxa" w:w="6516"/>
          </w:tcPr>
          <w:p>
            <w:pPr>
              <w:spacing w:before="30" w:after="30"/>
            </w:pPr>
            <w:r>
              <w:rPr>
                <w:sz w:val="20"/>
              </w:rPr>
              <w:t>The caller's claim list</w:t>
            </w:r>
          </w:p>
        </w:tc>
      </w:tr>
      <w:tr>
        <w:tc>
          <w:tcPr>
            <w:tcW w:type="dxa" w:w="1702"/>
          </w:tcPr>
          <w:p>
            <w:pPr>
              <w:spacing w:before="30" w:after="30"/>
            </w:pPr>
            <w:r>
              <w:rPr>
                <w:sz w:val="20"/>
              </w:rPr>
              <w:t xml:space="preserve">GET /api/claims </w:t>
            </w:r>
            <w:r>
              <w:rPr>
                <w:rFonts w:ascii="Consolas" w:hAnsi="Consolas"/>
                <w:sz w:val="17"/>
                <w:shd w:val="clear" w:fill="EDEDED"/>
              </w:rPr>
              <w:t>?search, status, claimType, isFlagged, sortOrder, page</w:t>
            </w:r>
          </w:p>
        </w:tc>
        <w:tc>
          <w:tcPr>
            <w:tcW w:type="dxa" w:w="1143"/>
          </w:tcPr>
          <w:p>
            <w:pPr>
              <w:spacing w:before="30" w:after="30"/>
            </w:pPr>
            <w:r>
              <w:rPr>
                <w:sz w:val="20"/>
              </w:rPr>
              <w:t>Admin</w:t>
            </w:r>
          </w:p>
        </w:tc>
        <w:tc>
          <w:tcPr>
            <w:tcW w:type="dxa" w:w="6516"/>
          </w:tcPr>
          <w:p>
            <w:pPr>
              <w:spacing w:before="30" w:after="30"/>
            </w:pPr>
            <w:r>
              <w:rPr>
                <w:sz w:val="20"/>
              </w:rPr>
              <w:t>Full claims list with search, filtering, sorting, paging (FR9.2)</w:t>
            </w:r>
          </w:p>
        </w:tc>
      </w:tr>
      <w:tr>
        <w:tc>
          <w:tcPr>
            <w:tcW w:type="dxa" w:w="1702"/>
          </w:tcPr>
          <w:p>
            <w:pPr>
              <w:spacing w:before="30" w:after="30"/>
            </w:pPr>
            <w:r>
              <w:rPr>
                <w:sz w:val="20"/>
              </w:rPr>
              <w:t>GET /api/dashboard</w:t>
            </w:r>
          </w:p>
        </w:tc>
        <w:tc>
          <w:tcPr>
            <w:tcW w:type="dxa" w:w="1143"/>
          </w:tcPr>
          <w:p>
            <w:pPr>
              <w:spacing w:before="30" w:after="30"/>
            </w:pPr>
            <w:r>
              <w:rPr>
                <w:sz w:val="20"/>
              </w:rPr>
              <w:t>Admin</w:t>
            </w:r>
          </w:p>
        </w:tc>
        <w:tc>
          <w:tcPr>
            <w:tcW w:type="dxa" w:w="6516"/>
          </w:tcPr>
          <w:p>
            <w:pPr>
              <w:spacing w:before="30" w:after="30"/>
            </w:pPr>
            <w:r>
              <w:rPr>
                <w:sz w:val="20"/>
              </w:rPr>
              <w:t>Aggregates the five metrics locally plus GET /api/quotes/stats with the Admin's token forwarded; includes Review-Required renewals as an attention list</w:t>
            </w:r>
          </w:p>
        </w:tc>
      </w:tr>
    </w:tbl>
    <w:p>
      <w:pPr>
        <w:spacing w:before="0" w:after="80"/>
      </w:pPr>
    </w:p>
    <w:p>
      <w:pPr>
        <w:pStyle w:val="Heading2"/>
      </w:pPr>
      <w:r>
        <w:t>6.5 Cross-cutting</w:t>
      </w:r>
    </w:p>
    <w:p>
      <w:r>
        <w:t>Every process (the gateway and all four services) exposes GET /health. The gateway forwards paths unchanged — there are no path transforms: /api/auth/</w:t>
      </w:r>
      <w:r>
        <w:rPr>
          <w:b/>
        </w:rPr>
        <w:t xml:space="preserve"> and /api/surveyors/</w:t>
      </w:r>
      <w:r>
        <w:t xml:space="preserve"> go to AuthService (5001); /api/companies/</w:t>
      </w:r>
      <w:r>
        <w:rPr>
          <w:b/>
        </w:rPr>
        <w:t xml:space="preserve"> to CustomerService (5002); /api/quotes/</w:t>
      </w:r>
      <w:r>
        <w:t xml:space="preserve"> to QuoteService (5003); /api/policies/</w:t>
      </w:r>
      <w:r>
        <w:rPr>
          <w:b/>
        </w:rPr>
        <w:t>, /api/claims/</w:t>
      </w:r>
      <w:r>
        <w:t>, and /api/dashboard to InsuranceService (5004).</w:t>
      </w:r>
    </w:p>
    <w:p>
      <w:pPr>
        <w:pStyle w:val="Heading1"/>
        <w:pBdr>
          <w:bottom w:val="single" w:sz="8" w:space="2" w:color="1F3864"/>
        </w:pBdr>
      </w:pPr>
      <w:r>
        <w:t>7. Role-Based Access Table</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306"/>
            <w:shd w:val="clear" w:fill="1F3864"/>
          </w:tcPr>
          <w:p>
            <w:pPr>
              <w:spacing w:before="30" w:after="30"/>
            </w:pPr>
            <w:r>
              <w:rPr>
                <w:b/>
                <w:color w:val="FFFFFF"/>
                <w:sz w:val="20"/>
              </w:rPr>
              <w:t>Role</w:t>
            </w:r>
          </w:p>
        </w:tc>
        <w:tc>
          <w:tcPr>
            <w:tcW w:type="dxa" w:w="2827"/>
            <w:shd w:val="clear" w:fill="1F3864"/>
          </w:tcPr>
          <w:p>
            <w:pPr>
              <w:spacing w:before="30" w:after="30"/>
            </w:pPr>
            <w:r>
              <w:rPr>
                <w:b/>
                <w:color w:val="FFFFFF"/>
                <w:sz w:val="20"/>
              </w:rPr>
              <w:t>Pages</w:t>
            </w:r>
          </w:p>
        </w:tc>
        <w:tc>
          <w:tcPr>
            <w:tcW w:type="dxa" w:w="6227"/>
            <w:shd w:val="clear" w:fill="1F3864"/>
          </w:tcPr>
          <w:p>
            <w:pPr>
              <w:spacing w:before="30" w:after="30"/>
            </w:pPr>
            <w:r>
              <w:rPr>
                <w:b/>
                <w:color w:val="FFFFFF"/>
                <w:sz w:val="20"/>
              </w:rPr>
              <w:t>Permitted API calls</w:t>
            </w:r>
          </w:p>
        </w:tc>
      </w:tr>
      <w:tr>
        <w:tc>
          <w:tcPr>
            <w:tcW w:type="dxa" w:w="306"/>
          </w:tcPr>
          <w:p>
            <w:pPr>
              <w:spacing w:before="30" w:after="30"/>
            </w:pPr>
            <w:r>
              <w:rPr>
                <w:b/>
                <w:sz w:val="20"/>
              </w:rPr>
              <w:t>Company</w:t>
            </w:r>
          </w:p>
        </w:tc>
        <w:tc>
          <w:tcPr>
            <w:tcW w:type="dxa" w:w="2827"/>
          </w:tcPr>
          <w:p>
            <w:pPr>
              <w:spacing w:before="30" w:after="30"/>
            </w:pPr>
            <w:r>
              <w:rPr>
                <w:sz w:val="20"/>
              </w:rPr>
              <w:t>Dashboard, My Quotes, My Policies, Apply for Policy, File Claim, My Claims</w:t>
            </w:r>
          </w:p>
        </w:tc>
        <w:tc>
          <w:tcPr>
            <w:tcW w:type="dxa" w:w="6227"/>
          </w:tcPr>
          <w:p>
            <w:pPr>
              <w:spacing w:before="30" w:after="30"/>
            </w:pPr>
            <w:r>
              <w:rPr>
                <w:sz w:val="20"/>
              </w:rPr>
              <w:t>companies (create, read, update, me); quotes (create, read, list, convert); policies (apply, list own, read, pay, renew, cancel); claims (file, read own, list own)</w:t>
            </w:r>
          </w:p>
        </w:tc>
      </w:tr>
      <w:tr>
        <w:tc>
          <w:tcPr>
            <w:tcW w:type="dxa" w:w="306"/>
          </w:tcPr>
          <w:p>
            <w:pPr>
              <w:spacing w:before="30" w:after="30"/>
            </w:pPr>
            <w:r>
              <w:rPr>
                <w:b/>
                <w:sz w:val="20"/>
              </w:rPr>
              <w:t>Surveyor</w:t>
            </w:r>
          </w:p>
        </w:tc>
        <w:tc>
          <w:tcPr>
            <w:tcW w:type="dxa" w:w="2827"/>
          </w:tcPr>
          <w:p>
            <w:pPr>
              <w:spacing w:before="30" w:after="30"/>
            </w:pPr>
            <w:r>
              <w:rPr>
                <w:sz w:val="20"/>
              </w:rPr>
              <w:t>Dashboard, Claim Queue, Claim Investigation, My Reports</w:t>
            </w:r>
          </w:p>
        </w:tc>
        <w:tc>
          <w:tcPr>
            <w:tcW w:type="dxa" w:w="6227"/>
          </w:tcPr>
          <w:p>
            <w:pPr>
              <w:spacing w:before="30" w:after="30"/>
            </w:pPr>
            <w:r>
              <w:rPr>
                <w:sz w:val="20"/>
              </w:rPr>
              <w:t>surveyors/register; claims queue; assigned list; pickup; verify-field; submit report</w:t>
            </w:r>
          </w:p>
        </w:tc>
      </w:tr>
      <w:tr>
        <w:tc>
          <w:tcPr>
            <w:tcW w:type="dxa" w:w="306"/>
          </w:tcPr>
          <w:p>
            <w:pPr>
              <w:spacing w:before="30" w:after="30"/>
            </w:pPr>
            <w:r>
              <w:rPr>
                <w:b/>
                <w:sz w:val="20"/>
              </w:rPr>
              <w:t>Admin</w:t>
            </w:r>
          </w:p>
        </w:tc>
        <w:tc>
          <w:tcPr>
            <w:tcW w:type="dxa" w:w="2827"/>
          </w:tcPr>
          <w:p>
            <w:pPr>
              <w:spacing w:before="30" w:after="30"/>
            </w:pPr>
            <w:r>
              <w:rPr>
                <w:sz w:val="20"/>
              </w:rPr>
              <w:t>Dashboard, Surveyor Approvals, Claims Review</w:t>
            </w:r>
          </w:p>
        </w:tc>
        <w:tc>
          <w:tcPr>
            <w:tcW w:type="dxa" w:w="6227"/>
          </w:tcPr>
          <w:p>
            <w:pPr>
              <w:spacing w:before="30" w:after="30"/>
            </w:pPr>
            <w:r>
              <w:rPr>
                <w:sz w:val="20"/>
              </w:rPr>
              <w:t>surveyors (pending list, approve, reject); policies (list); claims (list, review, decision); dashboard (includes quote statistics via QuoteService)</w:t>
            </w:r>
          </w:p>
        </w:tc>
      </w:tr>
      <w:tr>
        <w:tc>
          <w:tcPr>
            <w:tcW w:type="dxa" w:w="306"/>
          </w:tcPr>
          <w:p>
            <w:pPr>
              <w:spacing w:before="30" w:after="30"/>
            </w:pPr>
            <w:r>
              <w:rPr>
                <w:b/>
                <w:sz w:val="20"/>
              </w:rPr>
              <w:t>Public</w:t>
            </w:r>
          </w:p>
        </w:tc>
        <w:tc>
          <w:tcPr>
            <w:tcW w:type="dxa" w:w="2827"/>
          </w:tcPr>
          <w:p>
            <w:pPr>
              <w:spacing w:before="30" w:after="30"/>
            </w:pPr>
            <w:r>
              <w:rPr>
                <w:sz w:val="20"/>
              </w:rPr>
              <w:t>Login, Register, Surveyor Register</w:t>
            </w:r>
          </w:p>
        </w:tc>
        <w:tc>
          <w:tcPr>
            <w:tcW w:type="dxa" w:w="6227"/>
          </w:tcPr>
          <w:p>
            <w:pPr>
              <w:spacing w:before="30" w:after="30"/>
            </w:pPr>
            <w:r>
              <w:rPr>
                <w:sz w:val="20"/>
              </w:rPr>
              <w:t>auth (register, login, refresh, logout); surveyors/register</w:t>
            </w:r>
          </w:p>
        </w:tc>
      </w:tr>
    </w:tbl>
    <w:p>
      <w:pPr>
        <w:spacing w:before="0" w:after="80"/>
      </w:pPr>
    </w:p>
    <w:p>
      <w:pPr>
        <w:pStyle w:val="Heading1"/>
        <w:pBdr>
          <w:bottom w:val="single" w:sz="8" w:space="2" w:color="1F3864"/>
        </w:pBdr>
      </w:pPr>
      <w:r>
        <w:t>8. Exception Handling Strategy</w:t>
      </w:r>
    </w:p>
    <w:p>
      <w:r>
        <w:t>A shared BuildingBlocks library provides the base exception type (an application exception carrying a message and an HTTP status code) and the centralized middleware that catches unhandled exceptions, maps known ones to their status codes, and returns the standardized error response. The known exceptions are:</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847"/>
            <w:shd w:val="clear" w:fill="1F3864"/>
          </w:tcPr>
          <w:p>
            <w:pPr>
              <w:spacing w:before="30" w:after="30"/>
            </w:pPr>
            <w:r>
              <w:rPr>
                <w:b/>
                <w:color w:val="FFFFFF"/>
                <w:sz w:val="20"/>
              </w:rPr>
              <w:t>Exception</w:t>
            </w:r>
          </w:p>
        </w:tc>
        <w:tc>
          <w:tcPr>
            <w:tcW w:type="dxa" w:w="700"/>
            <w:shd w:val="clear" w:fill="1F3864"/>
          </w:tcPr>
          <w:p>
            <w:pPr>
              <w:spacing w:before="30" w:after="30"/>
            </w:pPr>
            <w:r>
              <w:rPr>
                <w:b/>
                <w:color w:val="FFFFFF"/>
                <w:sz w:val="20"/>
              </w:rPr>
              <w:t>HTTP status</w:t>
            </w:r>
          </w:p>
        </w:tc>
        <w:tc>
          <w:tcPr>
            <w:tcW w:type="dxa" w:w="6813"/>
            <w:shd w:val="clear" w:fill="1F3864"/>
          </w:tcPr>
          <w:p>
            <w:pPr>
              <w:spacing w:before="30" w:after="30"/>
            </w:pPr>
            <w:r>
              <w:rPr>
                <w:b/>
                <w:color w:val="FFFFFF"/>
                <w:sz w:val="20"/>
              </w:rPr>
              <w:t>Raised by</w:t>
            </w:r>
          </w:p>
        </w:tc>
      </w:tr>
      <w:tr>
        <w:tc>
          <w:tcPr>
            <w:tcW w:type="dxa" w:w="1847"/>
          </w:tcPr>
          <w:p>
            <w:pPr>
              <w:spacing w:before="30" w:after="30"/>
            </w:pPr>
            <w:r>
              <w:rPr>
                <w:sz w:val="20"/>
              </w:rPr>
              <w:t>EntityNotFoundException</w:t>
            </w:r>
          </w:p>
        </w:tc>
        <w:tc>
          <w:tcPr>
            <w:tcW w:type="dxa" w:w="700"/>
          </w:tcPr>
          <w:p>
            <w:pPr>
              <w:spacing w:before="30" w:after="30"/>
            </w:pPr>
            <w:r>
              <w:rPr>
                <w:sz w:val="20"/>
              </w:rPr>
              <w:t>404</w:t>
            </w:r>
          </w:p>
        </w:tc>
        <w:tc>
          <w:tcPr>
            <w:tcW w:type="dxa" w:w="6813"/>
          </w:tcPr>
          <w:p>
            <w:pPr>
              <w:spacing w:before="30" w:after="30"/>
            </w:pPr>
            <w:r>
              <w:rPr>
                <w:sz w:val="20"/>
              </w:rPr>
              <w:t>Any missing entity (policy, claim, company, quote)</w:t>
            </w:r>
          </w:p>
        </w:tc>
      </w:tr>
      <w:tr>
        <w:tc>
          <w:tcPr>
            <w:tcW w:type="dxa" w:w="1847"/>
          </w:tcPr>
          <w:p>
            <w:pPr>
              <w:spacing w:before="30" w:after="30"/>
            </w:pPr>
            <w:r>
              <w:rPr>
                <w:sz w:val="20"/>
              </w:rPr>
              <w:t>UnauthorizedRoleException</w:t>
            </w:r>
          </w:p>
        </w:tc>
        <w:tc>
          <w:tcPr>
            <w:tcW w:type="dxa" w:w="700"/>
          </w:tcPr>
          <w:p>
            <w:pPr>
              <w:spacing w:before="30" w:after="30"/>
            </w:pPr>
            <w:r>
              <w:rPr>
                <w:sz w:val="20"/>
              </w:rPr>
              <w:t>403</w:t>
            </w:r>
          </w:p>
        </w:tc>
        <w:tc>
          <w:tcPr>
            <w:tcW w:type="dxa" w:w="6813"/>
          </w:tcPr>
          <w:p>
            <w:pPr>
              <w:spacing w:before="30" w:after="30"/>
            </w:pPr>
            <w:r>
              <w:rPr>
                <w:sz w:val="20"/>
              </w:rPr>
              <w:t>Role or ownership violations</w:t>
            </w:r>
          </w:p>
        </w:tc>
      </w:tr>
      <w:tr>
        <w:tc>
          <w:tcPr>
            <w:tcW w:type="dxa" w:w="1847"/>
          </w:tcPr>
          <w:p>
            <w:pPr>
              <w:spacing w:before="30" w:after="30"/>
            </w:pPr>
            <w:r>
              <w:rPr>
                <w:sz w:val="20"/>
              </w:rPr>
              <w:t>PolicyNotActiveException</w:t>
            </w:r>
          </w:p>
        </w:tc>
        <w:tc>
          <w:tcPr>
            <w:tcW w:type="dxa" w:w="700"/>
          </w:tcPr>
          <w:p>
            <w:pPr>
              <w:spacing w:before="30" w:after="30"/>
            </w:pPr>
            <w:r>
              <w:rPr>
                <w:sz w:val="20"/>
              </w:rPr>
              <w:t>409</w:t>
            </w:r>
          </w:p>
        </w:tc>
        <w:tc>
          <w:tcPr>
            <w:tcW w:type="dxa" w:w="6813"/>
          </w:tcPr>
          <w:p>
            <w:pPr>
              <w:spacing w:before="30" w:after="30"/>
            </w:pPr>
            <w:r>
              <w:rPr>
                <w:sz w:val="20"/>
              </w:rPr>
              <w:t>Claim filed against a non-Active policy; payment on the wrong state</w:t>
            </w:r>
          </w:p>
        </w:tc>
      </w:tr>
      <w:tr>
        <w:tc>
          <w:tcPr>
            <w:tcW w:type="dxa" w:w="1847"/>
          </w:tcPr>
          <w:p>
            <w:pPr>
              <w:spacing w:before="30" w:after="30"/>
            </w:pPr>
            <w:r>
              <w:rPr>
                <w:sz w:val="20"/>
              </w:rPr>
              <w:t>ClaimAlreadyAssignedException</w:t>
            </w:r>
          </w:p>
        </w:tc>
        <w:tc>
          <w:tcPr>
            <w:tcW w:type="dxa" w:w="700"/>
          </w:tcPr>
          <w:p>
            <w:pPr>
              <w:spacing w:before="30" w:after="30"/>
            </w:pPr>
            <w:r>
              <w:rPr>
                <w:sz w:val="20"/>
              </w:rPr>
              <w:t>409</w:t>
            </w:r>
          </w:p>
        </w:tc>
        <w:tc>
          <w:tcPr>
            <w:tcW w:type="dxa" w:w="6813"/>
          </w:tcPr>
          <w:p>
            <w:pPr>
              <w:spacing w:before="30" w:after="30"/>
            </w:pPr>
            <w:r>
              <w:rPr>
                <w:sz w:val="20"/>
              </w:rPr>
              <w:t>The losing side of a pickup race</w:t>
            </w:r>
          </w:p>
        </w:tc>
      </w:tr>
      <w:tr>
        <w:tc>
          <w:tcPr>
            <w:tcW w:type="dxa" w:w="1847"/>
          </w:tcPr>
          <w:p>
            <w:pPr>
              <w:spacing w:before="30" w:after="30"/>
            </w:pPr>
            <w:r>
              <w:rPr>
                <w:sz w:val="20"/>
              </w:rPr>
              <w:t>ConflictException</w:t>
            </w:r>
          </w:p>
        </w:tc>
        <w:tc>
          <w:tcPr>
            <w:tcW w:type="dxa" w:w="700"/>
          </w:tcPr>
          <w:p>
            <w:pPr>
              <w:spacing w:before="30" w:after="30"/>
            </w:pPr>
            <w:r>
              <w:rPr>
                <w:sz w:val="20"/>
              </w:rPr>
              <w:t>409</w:t>
            </w:r>
          </w:p>
        </w:tc>
        <w:tc>
          <w:tcPr>
            <w:tcW w:type="dxa" w:w="6813"/>
          </w:tcPr>
          <w:p>
            <w:pPr>
              <w:spacing w:before="30" w:after="30"/>
            </w:pPr>
            <w:r>
              <w:rPr>
                <w:sz w:val="20"/>
              </w:rPr>
              <w:t>Duplicate quote conversion, existing pending renewal, report submitted too early, duplicate company profile</w:t>
            </w:r>
          </w:p>
        </w:tc>
      </w:tr>
      <w:tr>
        <w:tc>
          <w:tcPr>
            <w:tcW w:type="dxa" w:w="1847"/>
          </w:tcPr>
          <w:p>
            <w:pPr>
              <w:spacing w:before="30" w:after="30"/>
            </w:pPr>
            <w:r>
              <w:rPr>
                <w:sz w:val="20"/>
              </w:rPr>
              <w:t>InvalidEventSequenceException</w:t>
            </w:r>
          </w:p>
        </w:tc>
        <w:tc>
          <w:tcPr>
            <w:tcW w:type="dxa" w:w="700"/>
          </w:tcPr>
          <w:p>
            <w:pPr>
              <w:spacing w:before="30" w:after="30"/>
            </w:pPr>
            <w:r>
              <w:rPr>
                <w:sz w:val="20"/>
              </w:rPr>
              <w:t>400</w:t>
            </w:r>
          </w:p>
        </w:tc>
        <w:tc>
          <w:tcPr>
            <w:tcW w:type="dxa" w:w="6813"/>
          </w:tcPr>
          <w:p>
            <w:pPr>
              <w:spacing w:before="30" w:after="30"/>
            </w:pPr>
            <w:r>
              <w:rPr>
                <w:sz w:val="20"/>
              </w:rPr>
              <w:t>Out-of-order trip event timestamps</w:t>
            </w:r>
          </w:p>
        </w:tc>
      </w:tr>
      <w:tr>
        <w:tc>
          <w:tcPr>
            <w:tcW w:type="dxa" w:w="1847"/>
          </w:tcPr>
          <w:p>
            <w:pPr>
              <w:spacing w:before="30" w:after="30"/>
            </w:pPr>
            <w:r>
              <w:rPr>
                <w:sz w:val="20"/>
              </w:rPr>
              <w:t>ValidationException</w:t>
            </w:r>
          </w:p>
        </w:tc>
        <w:tc>
          <w:tcPr>
            <w:tcW w:type="dxa" w:w="700"/>
          </w:tcPr>
          <w:p>
            <w:pPr>
              <w:spacing w:before="30" w:after="30"/>
            </w:pPr>
            <w:r>
              <w:rPr>
                <w:sz w:val="20"/>
              </w:rPr>
              <w:t>400</w:t>
            </w:r>
          </w:p>
        </w:tc>
        <w:tc>
          <w:tcPr>
            <w:tcW w:type="dxa" w:w="6813"/>
          </w:tcPr>
          <w:p>
            <w:pPr>
              <w:spacing w:before="30" w:after="30"/>
            </w:pPr>
            <w:r>
              <w:rPr>
                <w:sz w:val="20"/>
              </w:rPr>
              <w:t>Invalid model input (model-state re-mapping)</w:t>
            </w:r>
          </w:p>
        </w:tc>
      </w:tr>
      <w:tr>
        <w:tc>
          <w:tcPr>
            <w:tcW w:type="dxa" w:w="1847"/>
          </w:tcPr>
          <w:p>
            <w:pPr>
              <w:spacing w:before="30" w:after="30"/>
            </w:pPr>
            <w:r>
              <w:rPr>
                <w:sz w:val="20"/>
              </w:rPr>
              <w:t>QuoteExpiredException</w:t>
            </w:r>
          </w:p>
        </w:tc>
        <w:tc>
          <w:tcPr>
            <w:tcW w:type="dxa" w:w="700"/>
          </w:tcPr>
          <w:p>
            <w:pPr>
              <w:spacing w:before="30" w:after="30"/>
            </w:pPr>
            <w:r>
              <w:rPr>
                <w:sz w:val="20"/>
              </w:rPr>
              <w:t>410</w:t>
            </w:r>
          </w:p>
        </w:tc>
        <w:tc>
          <w:tcPr>
            <w:tcW w:type="dxa" w:w="6813"/>
          </w:tcPr>
          <w:p>
            <w:pPr>
              <w:spacing w:before="30" w:after="30"/>
            </w:pPr>
            <w:r>
              <w:rPr>
                <w:sz w:val="20"/>
              </w:rPr>
              <w:t>Converting or referencing an expired quote</w:t>
            </w:r>
          </w:p>
        </w:tc>
      </w:tr>
    </w:tbl>
    <w:p>
      <w:pPr>
        <w:spacing w:before="0" w:after="80"/>
      </w:pPr>
    </w:p>
    <w:p>
      <w:r>
        <w:t>Truly unexpected exceptions log the full stack trace on the server and return a generic 500 message with the correlation ID — internal details are never returned to the client. On the Angular side, an HTTP interceptor displays the standardized error as a toast, attaches the access token to every request, and on a 401 response performs at most one shared token refresh (parallel refresh calls are coalesced) before retrying the failed request. The application also refreshes the token once at startup, so reloading the page does not log the user out.</w:t>
      </w:r>
    </w:p>
    <w:p>
      <w:pPr>
        <w:pStyle w:val="Heading1"/>
        <w:pBdr>
          <w:bottom w:val="single" w:sz="8" w:space="2" w:color="1F3864"/>
        </w:pBdr>
      </w:pPr>
      <w:r>
        <w:t>9. Testing</w:t>
      </w:r>
    </w:p>
    <w:p>
      <w:pPr>
        <w:pStyle w:val="ListBullet"/>
        <w:spacing w:after="60"/>
      </w:pPr>
      <w:r>
        <w:rPr>
          <w:b/>
        </w:rPr>
        <w:t>Backend (xUnit with coverlet).</w:t>
      </w:r>
      <w:r>
        <w:t xml:space="preserve"> The 80% coverage gate applies to the Application and Domain assemblies across the four services, matching the "focused on business logic" intent. Coverage is measured and enforced with: </w:t>
      </w:r>
      <w:r>
        <w:rPr>
          <w:rFonts w:ascii="Consolas" w:hAnsi="Consolas"/>
          <w:sz w:val="19"/>
          <w:shd w:val="clear" w:fill="EDEDED"/>
        </w:rPr>
        <w:t>dotnet test /p:CollectCoverage=true</w:t>
      </w:r>
      <w:r>
        <w:t xml:space="preserve"> </w:t>
      </w:r>
      <w:r>
        <w:rPr>
          <w:rFonts w:ascii="Consolas" w:hAnsi="Consolas"/>
          <w:sz w:val="19"/>
          <w:shd w:val="clear" w:fill="EDEDED"/>
        </w:rPr>
        <w:t>/p:Include="[*]*.Application;[*]*.Domain" /p:Threshold=80</w:t>
      </w:r>
      <w:r>
        <w:t xml:space="preserve"> </w:t>
      </w:r>
      <w:r>
        <w:rPr>
          <w:rFonts w:ascii="Consolas" w:hAnsi="Consolas"/>
          <w:sz w:val="19"/>
          <w:shd w:val="clear" w:fill="EDEDED"/>
        </w:rPr>
        <w:t>/p:ThresholdType="line,branch"</w:t>
      </w:r>
      <w:r>
        <w:t>.</w:t>
      </w:r>
    </w:p>
    <w:p>
      <w:pPr>
        <w:pStyle w:val="ListBullet"/>
        <w:spacing w:after="60"/>
      </w:pPr>
      <w:r>
        <w:t>Priority test targets are pure business functions covered with table-driven theories: the premium calculator (both Quote and Insurance), the full rules-engine matrix (tier × period × claim type × add-ons), period derivation at boundary edges, plausibility windows, renewal band edges (29% / 30% / 70% / 100%), quote expiry, token minting, the Polly retry and cached-fallback policy on the FX-rate client (fail twice, succeed on the third; after exhaustion, the fallback rate is used), and the atomic claim pickup — tested with two competing calls against an in-memory SQLite database, because EF Core's InMemory provider does not support the conditional bulk-update used for the race-safe pickup.</w:t>
      </w:r>
    </w:p>
    <w:p>
      <w:pPr>
        <w:pStyle w:val="ListBullet"/>
        <w:spacing w:after="60"/>
      </w:pPr>
      <w:r>
        <w:rPr>
          <w:b/>
        </w:rPr>
        <w:t>Frontend (Vitest).</w:t>
      </w:r>
      <w:r>
        <w:t xml:space="preserve"> Configured on day one, before application code (using Angular's built-in unit-test builder if the pinned version supports it, otherwise the AnalogJS Vite plugin). Coverage thresholds apply to the core and service layers; tests cover the route guards, HTTP interceptors, the authentication service, and claim-form validation.</w:t>
      </w:r>
    </w:p>
    <w:p>
      <w:pPr>
        <w:pStyle w:val="ListBullet"/>
        <w:spacing w:after="60"/>
      </w:pPr>
      <w:r>
        <w:t>A manual end-to-end rehearsal follows the demo script in Section 11.</w:t>
      </w:r>
    </w:p>
    <w:p>
      <w:pPr>
        <w:pStyle w:val="Heading1"/>
        <w:pBdr>
          <w:bottom w:val="single" w:sz="8" w:space="2" w:color="1F3864"/>
        </w:pBdr>
      </w:pPr>
      <w:r>
        <w:t>10. Technology Stack and Solution Layout</w:t>
      </w:r>
    </w:p>
    <w:p>
      <w:r>
        <w:t>The stack: Angular (latest stable) with Tailwind CSS; .NET 8 LTS; Clean Architecture per service; a YARP API gateway (Ocelot is an acceptable substitute if the training requires it — the behaviors, namely routing, JWT validation, correlation-ID injection, and CORS, are the same either way); SQL Server Express LocalDB (three databases) plus SQLite (Auth); a free foreign-exchange-rate API (open.er-api.com) as the external integration, with a Polly-retried, cached-fallback HTTP client; xUnit with coverlet and Vitest for testing; GitHub Actions for CI; and a documented AWS deployment runbook. No Docker, no message broker, and no file-upload provider are used.</w:t>
      </w:r>
    </w:p>
    <w:p>
      <w:r>
        <w:rPr>
          <w:b/>
        </w:rPr>
        <w:t>Solution layout (created through the Visual Studio UI).</w:t>
      </w:r>
      <w:r>
        <w:t xml:space="preserve"> For each of the four services, four projects under </w:t>
      </w:r>
      <w:r>
        <w:rPr>
          <w:rFonts w:ascii="Consolas" w:hAnsi="Consolas"/>
          <w:sz w:val="19"/>
          <w:shd w:val="clear" w:fill="EDEDED"/>
        </w:rPr>
        <w:t>src/Services/&lt;Name&gt;/</w:t>
      </w:r>
      <w:r>
        <w:t xml:space="preserve">: </w:t>
      </w:r>
      <w:r>
        <w:rPr>
          <w:rFonts w:ascii="Consolas" w:hAnsi="Consolas"/>
          <w:sz w:val="19"/>
          <w:shd w:val="clear" w:fill="EDEDED"/>
        </w:rPr>
        <w:t>&lt;Name&gt;Service.API</w:t>
      </w:r>
      <w:r>
        <w:t xml:space="preserve"> (ASP.NET Core Web API, created with "Use controllers" enabled), </w:t>
      </w:r>
      <w:r>
        <w:rPr>
          <w:rFonts w:ascii="Consolas" w:hAnsi="Consolas"/>
          <w:sz w:val="19"/>
          <w:shd w:val="clear" w:fill="EDEDED"/>
        </w:rPr>
        <w:t>&lt;Name&gt;Service.Application</w:t>
      </w:r>
      <w:r>
        <w:t xml:space="preserve">, </w:t>
      </w:r>
      <w:r>
        <w:rPr>
          <w:rFonts w:ascii="Consolas" w:hAnsi="Consolas"/>
          <w:sz w:val="19"/>
          <w:shd w:val="clear" w:fill="EDEDED"/>
        </w:rPr>
        <w:t>&lt;Name&gt;Service.Domain</w:t>
      </w:r>
      <w:r>
        <w:t xml:space="preserve">, and </w:t>
      </w:r>
      <w:r>
        <w:rPr>
          <w:rFonts w:ascii="Consolas" w:hAnsi="Consolas"/>
          <w:sz w:val="19"/>
          <w:shd w:val="clear" w:fill="EDEDED"/>
        </w:rPr>
        <w:t>&lt;Name&gt;Service.Infrastructure</w:t>
      </w:r>
      <w:r>
        <w:t xml:space="preserve"> (Class Libraries); plus one xUnit test project per service under </w:t>
      </w:r>
      <w:r>
        <w:rPr>
          <w:rFonts w:ascii="Consolas" w:hAnsi="Consolas"/>
          <w:sz w:val="19"/>
          <w:shd w:val="clear" w:fill="EDEDED"/>
        </w:rPr>
        <w:t>tests/</w:t>
      </w:r>
      <w:r>
        <w:t xml:space="preserve">. Two further projects: </w:t>
      </w:r>
      <w:r>
        <w:rPr>
          <w:rFonts w:ascii="Consolas" w:hAnsi="Consolas"/>
          <w:sz w:val="19"/>
          <w:shd w:val="clear" w:fill="EDEDED"/>
        </w:rPr>
        <w:t>Gateway</w:t>
      </w:r>
      <w:r>
        <w:t xml:space="preserve"> and a </w:t>
      </w:r>
      <w:r>
        <w:rPr>
          <w:rFonts w:ascii="Consolas" w:hAnsi="Consolas"/>
          <w:sz w:val="19"/>
          <w:shd w:val="clear" w:fill="EDEDED"/>
        </w:rPr>
        <w:t>BuildingBlocks</w:t>
      </w:r>
      <w:r>
        <w:t xml:space="preserve"> Class Library. References: each API project references its Application, Infrastructure, and BuildingBlocks; Application references its Domain and BuildingBlocks (because application code throws the shared exceptions); Infrastructure references Application; each test project references the projects of its service.</w:t>
      </w:r>
    </w:p>
    <w:p>
      <w:r>
        <w:rPr>
          <w:b/>
        </w:rPr>
        <w:t>Gateway and environment essentials.</w:t>
      </w:r>
      <w:r>
        <w:t xml:space="preserve"> Fixed ports are set in each project's debug launch profile (Debug menu, "Open debug launch profiles UI"), and the gateway plus all four services start together via "Configure Startup Projects" (multiple startup projects). The gateway validates JWTs, adds no path transforms, and applies CORS restricted to </w:t>
      </w:r>
      <w:r>
        <w:rPr>
          <w:rFonts w:ascii="Consolas" w:hAnsi="Consolas"/>
          <w:sz w:val="19"/>
          <w:shd w:val="clear" w:fill="EDEDED"/>
        </w:rPr>
        <w:t>http://localhost:4200</w:t>
      </w:r>
      <w:r>
        <w:t xml:space="preserve"> with credentials allowed (running the Angular dev server with a proxy configuration pointed at the gateway port avoids most CORS concerns during development). The shared JWT-registration extension configures the role-claim mapping used by both the services and the Angular client. The middleware pipeline order in every service is: correlation ID, exception handling, CORS, authentication, authorization, then endpoints. A shared forwarding handler attaches the correlation ID (and Authorization header where needed) to inter-service calls.</w:t>
      </w:r>
    </w:p>
    <w:p>
      <w:pPr>
        <w:pStyle w:val="Heading1"/>
        <w:pBdr>
          <w:bottom w:val="single" w:sz="8" w:space="2" w:color="1F3864"/>
        </w:pBdr>
      </w:pPr>
      <w:r>
        <w:t>11. Innovation Summary</w:t>
      </w:r>
    </w:p>
    <w:p>
      <w:r>
        <w:t>The project differentiates itself from standard policy-and-claims CRUD systems in three ways, all achieved with deterministic rules and no AI:</w:t>
      </w:r>
    </w:p>
    <w:p>
      <w:pPr>
        <w:spacing w:after="60"/>
        <w:ind w:left="432"/>
      </w:pPr>
      <w:r>
        <w:rPr>
          <w:b/>
        </w:rPr>
        <w:t xml:space="preserve">1. </w:t>
      </w:r>
      <w:r>
        <w:rPr>
          <w:b/>
        </w:rPr>
        <w:t>Evidence-derived coverage determination.</w:t>
      </w:r>
      <w:r>
        <w:t xml:space="preserve"> The coverage period is derived from a validated, timestamped trip event log rather than accepted from the claimant, directly targeting the coverage-period disputes that delay real rideshare claims; the rules engine structures the evidence a surveyor would otherwise assemble manually. The period model is not invented: US state TNC statutes (for example, the Texas Insurance Code, Chapter 1954) define the same Period 1–3 coverage phases, and identifying the driver's app status at the time of a crash is a documented industry source of claim delays — this platform resolves that deterministically.</w:t>
      </w:r>
    </w:p>
    <w:p>
      <w:pPr>
        <w:spacing w:after="60"/>
        <w:ind w:left="432"/>
      </w:pPr>
      <w:r>
        <w:rPr>
          <w:b/>
        </w:rPr>
        <w:t xml:space="preserve">2. </w:t>
      </w:r>
      <w:r>
        <w:rPr>
          <w:b/>
        </w:rPr>
        <w:t>Granular, field-level claims investigation.</w:t>
      </w:r>
      <w:r>
        <w:t xml:space="preserve"> Each evidentiary field is verified independently with per-field notes before the report can be submitted, producing a more auditable investigation trail than whole-claim approve/reject flows; a structured information-request resubmission loop is a documented next iteration (Appendix D, item D9).</w:t>
      </w:r>
    </w:p>
    <w:p>
      <w:pPr>
        <w:spacing w:after="60"/>
        <w:ind w:left="432"/>
      </w:pPr>
      <w:r>
        <w:rPr>
          <w:b/>
        </w:rPr>
        <w:t xml:space="preserve">3. </w:t>
      </w:r>
      <w:r>
        <w:rPr>
          <w:b/>
        </w:rPr>
        <w:t>Experience-rated renewal pricing.</w:t>
      </w:r>
      <w:r>
        <w:t xml:space="preserve"> Renewal premiums reflect each company's historical claims ratio, closing the loop between claims data and pricing in the same deterministic style as the rules engine.</w:t>
      </w:r>
    </w:p>
    <w:p>
      <w:r>
        <w:t>The seeded demo data exercises the engine's distinctive paths: a Tier A claim in Period 2 (rejected, "Period not covered"), a claim type whose add-on was not purchased (rejected, "Coverage not purchased"), a claim flagged for incident timing near a period boundary, one claim whose surveyor marked a field Suspicious yet proceeded to a report, and one paid claim that produces an 80% claims ratio and therefore a 15% renewal surcharge on its parent policy.</w:t>
      </w:r>
    </w:p>
    <w:p>
      <w:pPr>
        <w:pStyle w:val="Heading1"/>
        <w:pBdr>
          <w:bottom w:val="single" w:sz="8" w:space="2" w:color="1F3864"/>
        </w:pBdr>
      </w:pPr>
      <w:r>
        <w:t>12. Assumptions and Scope Limitations</w:t>
      </w:r>
    </w:p>
    <w:p>
      <w:pPr>
        <w:pStyle w:val="ListBullet"/>
        <w:spacing w:after="60"/>
      </w:pPr>
      <w:r>
        <w:t>Individual drivers do not have accounts; driver details are entered by the company when filing a claim.</w:t>
      </w:r>
    </w:p>
    <w:p>
      <w:pPr>
        <w:pStyle w:val="ListBullet"/>
        <w:spacing w:after="60"/>
      </w:pPr>
      <w:r>
        <w:t>There is no real-time trip tracking; trip events are entered retrospectively at claim time. The tamper risk of manual timestamps is narrowed — not eliminated — through full-sequence reporting, plausibility checks, boundary flags, and post-submission immutability.</w:t>
      </w:r>
    </w:p>
    <w:p>
      <w:pPr>
        <w:pStyle w:val="ListBullet"/>
        <w:spacing w:after="60"/>
      </w:pPr>
      <w:r>
        <w:t>Each company holds at most one active policy at a time.</w:t>
      </w:r>
    </w:p>
    <w:p>
      <w:pPr>
        <w:pStyle w:val="ListBullet"/>
        <w:spacing w:after="60"/>
      </w:pPr>
      <w:r>
        <w:t>Claim evidence is shared as a single external document link (for example a Drive folder) pasted at filing time, because the corporate development laptop cannot reach an upload provider; the database stores the link string only, and live-URL/virus validation is out of scope (real uploads are item D8).</w:t>
      </w:r>
    </w:p>
    <w:p>
      <w:pPr>
        <w:pStyle w:val="ListBullet"/>
        <w:spacing w:after="60"/>
      </w:pPr>
      <w:r>
        <w:t>Claims are picked up by surveyors from an open queue rather than assigned by an admin.</w:t>
      </w:r>
    </w:p>
    <w:p>
      <w:pPr>
        <w:pStyle w:val="ListBullet"/>
        <w:spacing w:after="60"/>
      </w:pPr>
      <w:r>
        <w:t>The Admin account is seeded from configuration rather than self-registered.</w:t>
      </w:r>
    </w:p>
    <w:p>
      <w:pPr>
        <w:pStyle w:val="ListBullet"/>
        <w:spacing w:after="60"/>
      </w:pPr>
      <w:r>
        <w:t>There is no email integration; "notifying the company" means the claim status changes, and the company's status-filterable claims list acts as its notification inbox.</w:t>
      </w:r>
    </w:p>
    <w:p>
      <w:pPr>
        <w:pStyle w:val="ListBullet"/>
        <w:spacing w:after="60"/>
      </w:pPr>
      <w:r>
        <w:t>Inter-service communication is synchronous HTTP; Polly retries with a cached fallback guard the external FX-rate call; no message broker is used.</w:t>
      </w:r>
    </w:p>
    <w:p>
      <w:pPr>
        <w:pStyle w:val="ListBullet"/>
        <w:spacing w:after="60"/>
      </w:pPr>
      <w:r>
        <w:t>Authentication is JWT with refresh tokens; OAuth social login is out of scope.</w:t>
      </w:r>
    </w:p>
    <w:p>
      <w:pPr>
        <w:pStyle w:val="ListBullet"/>
        <w:spacing w:after="60"/>
      </w:pPr>
      <w:r>
        <w:t>Fleet underwriting inputs beyond fleet size, tier, and add-ons — VIN-level schedules, driver rosters, annual mileage, operating radius, prior loss runs — are scoped out; in reality driver and vehicle identity is owned by the TNC platform, and this document's company registrationNumber corresponds to the company CIN in India. Policy deductibles/compulsory excess are omitted from the payout model as a stated scope decision.</w:t>
      </w:r>
    </w:p>
    <w:p>
      <w:pPr>
        <w:pStyle w:val="ListBullet"/>
        <w:spacing w:after="60"/>
      </w:pPr>
      <w:r>
        <w:t>Claim intake asks for one consolidated document link expected to contain the standard Indian motor-claim document set (FIR copy, driving-licence copy, damage photos), mirroring real claim checklists. Third-party vehicle/insurer specifics are recorded in the free-text description and gathered by the surveyor through the report's notes.</w:t>
      </w:r>
    </w:p>
    <w:p>
      <w:pPr>
        <w:pStyle w:val="Heading1"/>
        <w:pBdr>
          <w:bottom w:val="single" w:sz="8" w:space="2" w:color="1F3864"/>
        </w:pBdr>
      </w:pPr>
      <w:r>
        <w:t>Appendix D — Deferred Scope</w:t>
      </w:r>
    </w:p>
    <w:p>
      <w:r>
        <w:t>Each item below is self-contained. If time remains after the core build, they should be restored in this order.</w:t>
      </w:r>
    </w:p>
    <w:p>
      <w:pPr>
        <w:pStyle w:val="ListBullet"/>
        <w:spacing w:after="60"/>
      </w:pPr>
      <w:r>
        <w:rPr>
          <w:b/>
        </w:rPr>
        <w:t>D1 — Password reset flow (FR1.4/FR1.5).</w:t>
      </w:r>
      <w:r>
        <w:t xml:space="preserve"> Forgot-password and reset-password endpoints with a 15-minute reset token (returned directly rather than emailed), plus the corresponding Angular pages. Note: check the submitted project abstract; if it promised this feature, implement the API only and demonstrate it through Swagger.</w:t>
      </w:r>
    </w:p>
    <w:p>
      <w:pPr>
        <w:pStyle w:val="ListBullet"/>
        <w:spacing w:after="60"/>
      </w:pPr>
      <w:r>
        <w:rPr>
          <w:b/>
        </w:rPr>
        <w:t>D2 — Full dashboard (FR7.1).</w:t>
      </w:r>
      <w:r>
        <w:t xml:space="preserve"> The sixth metric (pending surveyor registrations, via a new Admin-only statistics endpoint on AuthService), plus graceful degradation ("partial" flag) when a statistics call fails.</w:t>
      </w:r>
    </w:p>
    <w:p>
      <w:pPr>
        <w:pStyle w:val="ListBullet"/>
        <w:spacing w:after="60"/>
      </w:pPr>
      <w:r>
        <w:rPr>
          <w:b/>
        </w:rPr>
        <w:t>D3 — PaymentService and MongoDB (FR6).</w:t>
      </w:r>
      <w:r>
        <w:t xml:space="preserve"> Removed at the trainer's direction on 30 September 2026; premiums and payouts became simulated, deterministic steps inside InsuranceService. Restoring a dedicated PaymentService (its own MongoDB payment ledger indexed by type and reference, Polly-wrapped inter-service calls with a visible 502 failure path, and the /api/payments/</w:t>
      </w:r>
      <w:r>
        <w:t>*</w:t>
      </w:r>
      <w:r>
        <w:t>*</w:t>
      </w:r>
      <w:r>
        <w:t xml:space="preserve"> gateway route) is the documented next-iteration step.</w:t>
      </w:r>
    </w:p>
    <w:p>
      <w:pPr>
        <w:pStyle w:val="ListBullet"/>
        <w:spacing w:after="60"/>
      </w:pPr>
      <w:r>
        <w:rPr>
          <w:b/>
        </w:rPr>
        <w:t>D4 — Company-name search and sort (FR9.1).</w:t>
      </w:r>
      <w:r>
        <w:t xml:space="preserve"> Requires snapshotting the company name onto the policy record at application time (InsuranceService already calls CustomerService at that point; the returned name would simply be stored).</w:t>
      </w:r>
    </w:p>
    <w:p>
      <w:pPr>
        <w:pStyle w:val="ListBullet"/>
        <w:spacing w:after="60"/>
      </w:pPr>
      <w:r>
        <w:rPr>
          <w:b/>
        </w:rPr>
        <w:t>D5 — AWS deployment.</w:t>
      </w:r>
      <w:r>
        <w:t xml:space="preserve"> The deployment runbook lives in the README regardless; executing it is deferred until the AWS portion of the training is complete.</w:t>
      </w:r>
    </w:p>
    <w:p>
      <w:pPr>
        <w:pStyle w:val="ListBullet"/>
        <w:spacing w:after="60"/>
      </w:pPr>
      <w:r>
        <w:rPr>
          <w:b/>
        </w:rPr>
        <w:t>D6 — UI polish.</w:t>
      </w:r>
      <w:r>
        <w:t xml:space="preserve"> Styling refinements and dashboard charts.</w:t>
      </w:r>
    </w:p>
    <w:p>
      <w:pPr>
        <w:pStyle w:val="ListBullet"/>
        <w:spacing w:after="60"/>
      </w:pPr>
      <w:r>
        <w:rPr>
          <w:b/>
        </w:rPr>
        <w:t>D7 — Additional sort fields (FR9).</w:t>
      </w:r>
      <w:r>
        <w:t xml:space="preserve"> One sort field per list is the committed scope; further fields are restored here.</w:t>
      </w:r>
    </w:p>
    <w:p>
      <w:pPr>
        <w:pStyle w:val="ListBullet"/>
        <w:spacing w:after="60"/>
      </w:pPr>
      <w:r>
        <w:rPr>
          <w:b/>
        </w:rPr>
        <w:t>D8 — Real document uploads (FR5.1).</w:t>
      </w:r>
      <w:r>
        <w:t xml:space="preserve"> Signed uploads to Cloudinary or S3 with separate FIR-copy, driving-licence, and damage-photo fields, structured FIR number and police-station capture, and backend host validation. Blocked on the corporate laptop at build time; the single document-link field is the interim intake.</w:t>
      </w:r>
    </w:p>
    <w:p>
      <w:pPr>
        <w:pStyle w:val="ListBullet"/>
        <w:spacing w:after="60"/>
      </w:pPr>
      <w:r>
        <w:rPr>
          <w:b/>
        </w:rPr>
        <w:t>D9 — Information-request resubmission loop (former FR5.11, plus the PendingCompanyResponse status).</w:t>
      </w:r>
      <w:r>
        <w:t xml:space="preserve"> Info Requested as a third per-field verdict, the company-facing per-field PATCH endpoint with a strict mutability whitelist, surveyor re-review of resubmitted fields, and the claim returning to Under Investigation afterwards.</w:t>
      </w:r>
    </w:p>
    <w:p>
      <w:pPr>
        <w:pStyle w:val="ListBullet"/>
        <w:spacing w:after="60"/>
      </w:pPr>
      <w:r>
        <w:rPr>
          <w:b/>
        </w:rPr>
        <w:t>D10 — Underwritten binding and Review-Required actioning.</w:t>
      </w:r>
      <w:r>
        <w:t xml:space="preserve"> An admin decision step on policy applications (the underwritten binding model), and a decision endpoint for renewal applications flagged Review Required (claims ratio above 100%), at which point that flag becomes actionable rather than informational.</w:t>
      </w:r>
    </w:p>
    <w:p>
      <w:pPr>
        <w:pStyle w:val="Heading1"/>
        <w:pBdr>
          <w:bottom w:val="single" w:sz="8" w:space="2" w:color="1F3864"/>
        </w:pBdr>
      </w:pPr>
      <w:r>
        <w:t>Appendix E — Build Plan (Five Work Blocks)</w:t>
      </w:r>
    </w:p>
    <w:p>
      <w:pPr>
        <w:spacing w:after="60"/>
        <w:ind w:left="432"/>
      </w:pPr>
      <w:r>
        <w:rPr>
          <w:b/>
        </w:rPr>
        <w:t xml:space="preserve">1. </w:t>
      </w:r>
      <w:r>
        <w:rPr>
          <w:b/>
        </w:rPr>
        <w:t>Setup (the longest block).</w:t>
      </w:r>
      <w:r>
        <w:t xml:space="preserve"> Create the solution in Visual Studio as laid out in Section 10; set fixed ports and multiple startup projects; add health endpoints everywhere; wire the BuildingBlocks middleware, JWT setup, pagination helper, and forwarding handler into every service; create EF Core contexts and migrations for the four databases; smoke-test the SQL Server LocalDB and SQLite connections and the FX-rate endpoint; create the Angular workspace with Tailwind and get Vitest passing on a dummy spec before writing any components; configure the dev-server proxy; seed the Admin account; set up the CI skeleton.</w:t>
      </w:r>
    </w:p>
    <w:p>
      <w:pPr>
        <w:spacing w:after="60"/>
        <w:ind w:left="432"/>
      </w:pPr>
      <w:r>
        <w:rPr>
          <w:b/>
        </w:rPr>
        <w:t xml:space="preserve">2. </w:t>
      </w:r>
      <w:r>
        <w:rPr>
          <w:b/>
        </w:rPr>
        <w:t>Auth and Customer vertical slice.</w:t>
      </w:r>
      <w:r>
        <w:t xml:space="preserve"> Registration, login, refresh, logout; surveyor self-registration and admin approval with the pending-status login gate; company profile create/read/update plus /api/companies/me; the Angular authentication shell (guards, interceptors, startup refresh) with login, registration, and profile pages; unit tests for token minting and the approval gate.</w:t>
      </w:r>
    </w:p>
    <w:p>
      <w:pPr>
        <w:spacing w:after="60"/>
        <w:ind w:left="432"/>
      </w:pPr>
      <w:r>
        <w:rPr>
          <w:b/>
        </w:rPr>
        <w:t xml:space="preserve">3. </w:t>
      </w:r>
      <w:r>
        <w:rPr>
          <w:b/>
        </w:rPr>
        <w:t>Quote, Policy, and Payment vertical slice.</w:t>
      </w:r>
      <w:r>
        <w:t xml:space="preserve"> Quote endpoints with the two-tier estimate (including the FX conversion with its retry/fallback client), expiry, history, and conversion; policy application (with the ownership call), simulated payment and activation, cancel, and the claims-ratio-priced renewal flow; table-driven premium and renewal-band tests in both domains; the Angular quote-to-policy flow.</w:t>
      </w:r>
    </w:p>
    <w:p>
      <w:pPr>
        <w:spacing w:after="60"/>
        <w:ind w:left="432"/>
      </w:pPr>
      <w:r>
        <w:rPr>
          <w:b/>
        </w:rPr>
        <w:t xml:space="preserve">4. </w:t>
      </w:r>
      <w:r>
        <w:rPr>
          <w:b/>
        </w:rPr>
        <w:t>Claims vertical slice.</w:t>
      </w:r>
      <w:r>
        <w:t xml:space="preserve"> Event validation, period derivation, and the rules engine with the full test matrix; claim filing; the surveyor queue and atomic pickup with its concurrency test; four-group field verification; report submission with the completeness guard; admin review and decision with the simulated payout; the Angular claim, queue, investigation, and review screens.</w:t>
      </w:r>
    </w:p>
    <w:p>
      <w:pPr>
        <w:spacing w:after="60"/>
        <w:ind w:left="432"/>
      </w:pPr>
      <w:r>
        <w:rPr>
          <w:b/>
        </w:rPr>
        <w:t xml:space="preserve">5. </w:t>
      </w:r>
      <w:r>
        <w:rPr>
          <w:b/>
        </w:rPr>
        <w:t>Close-out.</w:t>
      </w:r>
      <w:r>
        <w:t xml:space="preserve"> Renewal flow; the dashboard with its two statistics calls; search/filter/sort endpoints; seed data for the demo script; coverage to the gate; README including the AWS runbook; a green CI run; two complete end-to-end rehearsals; deferred items from Appendix D only if hours remain.</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TNC Insurance — Design Document v3.0</w:t>
    </w:r>
    <w:r>
      <w:rPr>
        <w:color w:val="595959"/>
        <w:sz w:val="16"/>
      </w:rPr>
      <w:tab/>
    </w:r>
    <w:r>
      <w:rPr>
        <w:color w:val="595959"/>
        <w:sz w:val="16"/>
      </w:rPr>
      <w:t xml:space="preserve">Page </w:t>
    </w:r>
    <w:r>
      <w:rPr>
        <w:color w:val="595959"/>
        <w:sz w:val="16"/>
      </w:rPr>
      <w:fldChar w:fldCharType="begin" w:dirty="true"/>
    </w:r>
    <w:r>
      <w:rPr>
        <w:color w:val="595959"/>
        <w:sz w:val="16"/>
      </w:rPr>
      <w:instrText xml:space="preserve"> PAGE </w:instrText>
    </w:r>
    <w:r>
      <w:rPr>
        <w:color w:val="595959"/>
        <w:sz w:val="16"/>
      </w:rPr>
      <w:fldChar w:fldCharType="separate"/>
    </w:r>
    <w:r>
      <w:rPr>
        <w:color w:val="595959"/>
        <w:sz w:val="16"/>
      </w:rPr>
      <w:fldChar w:fldCharType="end"/>
    </w:r>
    <w:r>
      <w:rPr>
        <w:color w:val="595959"/>
        <w:sz w:val="16"/>
      </w:rPr>
      <w:t xml:space="preserve"> of </w:t>
    </w:r>
    <w:r>
      <w:rPr>
        <w:color w:val="595959"/>
        <w:sz w:val="16"/>
      </w:rPr>
      <w:fldChar w:fldCharType="begin" w:dirty="true"/>
    </w:r>
    <w:r>
      <w:rPr>
        <w:color w:val="595959"/>
        <w:sz w:val="16"/>
      </w:rPr>
      <w:instrText xml:space="preserve"> NUMPAGES </w:instrText>
    </w:r>
    <w:r>
      <w:rPr>
        <w:color w:val="595959"/>
        <w:sz w:val="16"/>
      </w:rPr>
      <w:fldChar w:fldCharType="separate"/>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39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TNC Insurance — Design Document v3.0</dc:title>
  <dc:subject>Capstone — Rideshare fleet insurance platform</dc:subject>
  <dc:creator>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