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CIIP INTELLIGENCE ADVISORY</w:t>
      </w:r>
    </w:p>
    <w:p>
      <w:pPr>
        <w:jc w:val="center"/>
      </w:pPr>
      <w:r>
        <w:rPr>
          <w:b/>
        </w:rPr>
        <w:t>PUBLIC PROCUREMENT INTELLIGENCE STUDY #001 — V2</w:t>
      </w:r>
    </w:p>
    <w:p>
      <w:pPr>
        <w:jc w:val="center"/>
      </w:pPr>
      <w:r>
        <w:rPr>
          <w:b/>
        </w:rPr>
        <w:t>WHEN AN ANOMALY SURVIVES THE ALGORITHM — BUT NOT THE EVIDENCE</w:t>
      </w:r>
    </w:p>
    <w:p>
      <w:pPr>
        <w:jc w:val="center"/>
      </w:pPr>
      <w:r>
        <w:rPr>
          <w:i/>
        </w:rPr>
        <w:t>A transaction-level investigation of procurement fragmentation, price variance and payment reconciliation using San Francisco public procurement data</w:t>
      </w:r>
    </w:p>
    <w:p>
      <w:pPr>
        <w:pStyle w:val="Heading1"/>
      </w:pPr>
      <w:r>
        <w:t>Executive Finding</w:t>
      </w:r>
    </w:p>
    <w:p>
      <w:r>
        <w:t>The study identified a strong repeated-purchasing signal: 42 distinct purchase orders, 124 transaction rows and $107,285.70 of encumbered value shared the same supplier, contract, commodity, department and PO date. The pattern warranted investigation. It did not establish commercial leakage.</w:t>
      </w:r>
    </w:p>
    <w:p>
      <w:r>
        <w:t>The investigation became more valuable when the evidence weakened the initial story. A Stage 8 aggregation error was discovered and corrected; payment reconciliation showed $99,210.11 paid against $107,285.70 encumbered for the 42-PO cluster; and the public data could not establish requisition intent, delegated authority, contract-rate entitlement, invoice validity or service acceptance.</w:t>
      </w:r>
    </w:p>
    <w:p>
      <w:pPr>
        <w:pStyle w:val="Heading1"/>
      </w:pPr>
      <w:r>
        <w:t>1. What this study was designed to test</w:t>
      </w:r>
    </w:p>
    <w:p>
      <w:r>
        <w:t>CIIP is designed around a strict distinction between analytical signal and commercial conclusion. The operating chain used in this study was:</w:t>
      </w:r>
    </w:p>
    <w:p>
      <w:r>
        <w:t>Signal → Identity → Comparability → Corroboration → Reconciliation → Evidence Gate → Conclusion</w:t>
      </w:r>
    </w:p>
    <w:p>
      <w:r>
        <w:t>The objective was not to maximize the number of anomalies. It was to determine how far a suspicious pattern could be taken before the evidence stopped supporting a stronger claim.</w:t>
      </w:r>
    </w:p>
    <w:p>
      <w:pPr>
        <w:pStyle w:val="Heading1"/>
      </w:pPr>
      <w:r>
        <w:t>2. Public-data population</w:t>
      </w:r>
    </w:p>
    <w:p>
      <w:pPr>
        <w:pStyle w:val="ListBullet"/>
      </w:pPr>
      <w:r>
        <w:t>Source ecosystem: San Francisco public procurement datasets, including purchasing commodity detail, vendor-payment data and supplier contracts.</w:t>
      </w:r>
    </w:p>
    <w:p>
      <w:pPr>
        <w:pStyle w:val="ListBullet"/>
      </w:pPr>
      <w:r>
        <w:t>Target context: FY2022; DPH Public Health; Golden Gate Neuromonitoring LLC; Contract 1000008139; Commodity Code 46500; PO date 13 June 2022.</w:t>
      </w:r>
    </w:p>
    <w:p>
      <w:pPr>
        <w:pStyle w:val="ListBullet"/>
      </w:pPr>
      <w:r>
        <w:t>Target population: 124 transaction rows across 42 distinct purchase orders.</w:t>
      </w:r>
    </w:p>
    <w:p>
      <w:pPr>
        <w:pStyle w:val="ListBullet"/>
      </w:pPr>
      <w:r>
        <w:t>Aggregate encumbered value: $107,285.70.</w:t>
      </w:r>
    </w:p>
    <w:p>
      <w:pPr>
        <w:pStyle w:val="ListBullet"/>
      </w:pPr>
      <w:r>
        <w:t>All 42 purchase orders were individually below $10,000; the maximum observed PO value was $5,114.88.</w:t>
      </w:r>
    </w:p>
    <w:p>
      <w:pPr>
        <w:pStyle w:val="Heading1"/>
      </w:pPr>
      <w:r>
        <w:t>3. Why the first signal looked important</w:t>
      </w:r>
    </w:p>
    <w:p>
      <w:r>
        <w:t>Every target PO shared the same observable supplier, contract, commodity, department and date. A same-day cluster of 42 POs below the $10,000 level can reasonably trigger a threshold/fragmentation review. But a threshold screen is not evidence of intent, improper splitting or avoidance.</w:t>
      </w:r>
    </w:p>
    <w:p>
      <w:r>
        <w:t>The 2022-era San Francisco procurement framework included a $10,000 delegated purchasing level for commodities/general services and prohibited dividing a procurement to evade competitive requirements. The public transaction extract alone cannot determine whether that rule was engaged, whether delegated authority applied, or whether the transactions represented one requirement or multiple legitimate requirements.</w:t>
      </w:r>
    </w:p>
    <w:p>
      <w:pPr>
        <w:pStyle w:val="Heading1"/>
      </w:pPr>
      <w:r>
        <w:t>4. The first false-positive test: aggregation</w:t>
      </w:r>
    </w:p>
    <w:p>
      <w:r>
        <w:t>Stage 8 originally reported 80 POs and $5,576.22 of spend. The Stage 10 deep-dive reconstructed the underlying population and found that these figures were not valid as labelled: 80 represented row/line activity rather than distinct POs, while $5,576.22 represented non-line-01 line spend rather than total cluster spend.</w:t>
      </w:r>
    </w:p>
    <w:p>
      <w:r>
        <w:t>The corrected population is 42 distinct POs and $107,285.70 total encumbered value. This correction is part of the study, not a footnote: an analytical system that cannot distinguish rows, lines and purchase orders can manufacture a false commercial narrative.</w:t>
      </w:r>
    </w:p>
    <w:p>
      <w:pPr>
        <w:pStyle w:val="Heading1"/>
      </w:pPr>
      <w:r>
        <w:t>5. The price signal</w:t>
      </w:r>
    </w:p>
    <w:p>
      <w:r>
        <w:t>Historical line-1 pricing was screened for the target context. Seven of the 42 target observations exceeded the historical line-1 Q95 used in the study. This is a useful investigation signal, but it is not proof of overbilling. The public data does not contain sufficient item/specification detail, contract rate-card evidence or amendment context to establish entitlement to a particular price.</w:t>
      </w:r>
    </w:p>
    <w:p>
      <w:pPr>
        <w:pStyle w:val="Heading1"/>
      </w:pPr>
      <w:r>
        <w:t>6. Payment reconciliation</w:t>
      </w:r>
    </w:p>
    <w:p>
      <w:r>
        <w:t>All 42 target POs were reconciled to the available voucher-payment output using the observed payment/PO identifier relationship. The 42-PO cluster had $107,285.70 of encumbered value and $99,210.11 of paid value — $8,075.59 lower paid value. No payment excess was established in this reconciliation.</w:t>
      </w:r>
    </w:p>
    <w:p>
      <w:pPr>
        <w:pStyle w:val="Heading1"/>
      </w:pPr>
      <w:r>
        <w:t>7. Evidence gate</w:t>
      </w:r>
    </w:p>
    <w:tbl>
      <w:tblPr>
        <w:tblStyle w:val="TableGrid"/>
        <w:tblW w:type="auto" w:w="0"/>
        <w:tblLook w:firstColumn="1" w:firstRow="1" w:lastColumn="0" w:lastRow="0" w:noHBand="0" w:noVBand="1" w:val="04A0"/>
      </w:tblPr>
      <w:tblGrid>
        <w:gridCol w:w="3408"/>
        <w:gridCol w:w="3408"/>
        <w:gridCol w:w="3408"/>
      </w:tblGrid>
      <w:tr>
        <w:tc>
          <w:tcPr>
            <w:tcW w:type="dxa" w:w="3408"/>
          </w:tcPr>
          <w:p>
            <w:r>
              <w:t>Question</w:t>
            </w:r>
          </w:p>
        </w:tc>
        <w:tc>
          <w:tcPr>
            <w:tcW w:type="dxa" w:w="3408"/>
          </w:tcPr>
          <w:p>
            <w:r>
              <w:t>What the public data supports</w:t>
            </w:r>
          </w:p>
        </w:tc>
        <w:tc>
          <w:tcPr>
            <w:tcW w:type="dxa" w:w="3408"/>
          </w:tcPr>
          <w:p>
            <w:r>
              <w:t>What remains unproven</w:t>
            </w:r>
          </w:p>
        </w:tc>
      </w:tr>
      <w:tr>
        <w:tc>
          <w:tcPr>
            <w:tcW w:type="dxa" w:w="3408"/>
          </w:tcPr>
          <w:p>
            <w:r>
              <w:t>Is there a repeated-purchasing signal?</w:t>
            </w:r>
          </w:p>
        </w:tc>
        <w:tc>
          <w:tcPr>
            <w:tcW w:type="dxa" w:w="3408"/>
          </w:tcPr>
          <w:p>
            <w:r>
              <w:t>Yes — 42 POs share supplier/contract/commodity/department/date.</w:t>
            </w:r>
          </w:p>
        </w:tc>
        <w:tc>
          <w:tcPr>
            <w:tcW w:type="dxa" w:w="3408"/>
          </w:tcPr>
          <w:p>
            <w:r>
              <w:t>Why the requirements were created separately or together.</w:t>
            </w:r>
          </w:p>
        </w:tc>
      </w:tr>
      <w:tr>
        <w:tc>
          <w:tcPr>
            <w:tcW w:type="dxa" w:w="3408"/>
          </w:tcPr>
          <w:p>
            <w:r>
              <w:t>Are all POs below $10k?</w:t>
            </w:r>
          </w:p>
        </w:tc>
        <w:tc>
          <w:tcPr>
            <w:tcW w:type="dxa" w:w="3408"/>
          </w:tcPr>
          <w:p>
            <w:r>
              <w:t>Yes; max observed PO value $5,114.88.</w:t>
            </w:r>
          </w:p>
        </w:tc>
        <w:tc>
          <w:tcPr>
            <w:tcW w:type="dxa" w:w="3408"/>
          </w:tcPr>
          <w:p>
            <w:r>
              <w:t>Whether a $10k threshold applied to this exact transaction context.</w:t>
            </w:r>
          </w:p>
        </w:tc>
      </w:tr>
      <w:tr>
        <w:tc>
          <w:tcPr>
            <w:tcW w:type="dxa" w:w="3408"/>
          </w:tcPr>
          <w:p>
            <w:r>
              <w:t>Is there a price signal?</w:t>
            </w:r>
          </w:p>
        </w:tc>
        <w:tc>
          <w:tcPr>
            <w:tcW w:type="dxa" w:w="3408"/>
          </w:tcPr>
          <w:p>
            <w:r>
              <w:t>Yes — 7/42 exceeded the historical line-1 Q95 used.</w:t>
            </w:r>
          </w:p>
        </w:tc>
        <w:tc>
          <w:tcPr>
            <w:tcW w:type="dxa" w:w="3408"/>
          </w:tcPr>
          <w:p>
            <w:r>
              <w:t>Contract entitlement, specification equivalence, market/contract changes.</w:t>
            </w:r>
          </w:p>
        </w:tc>
      </w:tr>
      <w:tr>
        <w:tc>
          <w:tcPr>
            <w:tcW w:type="dxa" w:w="3408"/>
          </w:tcPr>
          <w:p>
            <w:r>
              <w:t>Is there payment excess?</w:t>
            </w:r>
          </w:p>
        </w:tc>
        <w:tc>
          <w:tcPr>
            <w:tcW w:type="dxa" w:w="3408"/>
          </w:tcPr>
          <w:p>
            <w:r>
              <w:t>No — paid is $8,075.59 below total encumbered.</w:t>
            </w:r>
          </w:p>
        </w:tc>
        <w:tc>
          <w:tcPr>
            <w:tcW w:type="dxa" w:w="3408"/>
          </w:tcPr>
          <w:p>
            <w:r>
              <w:t>Invoice/GRN/service evidence and final settlement mechanics.</w:t>
            </w:r>
          </w:p>
        </w:tc>
      </w:tr>
      <w:tr>
        <w:tc>
          <w:tcPr>
            <w:tcW w:type="dxa" w:w="3408"/>
          </w:tcPr>
          <w:p>
            <w:r>
              <w:t>Is commercial leakage established?</w:t>
            </w:r>
          </w:p>
        </w:tc>
        <w:tc>
          <w:tcPr>
            <w:tcW w:type="dxa" w:w="3408"/>
          </w:tcPr>
          <w:p>
            <w:r>
              <w:t>No.</w:t>
            </w:r>
          </w:p>
        </w:tc>
        <w:tc>
          <w:tcPr>
            <w:tcW w:type="dxa" w:w="3408"/>
          </w:tcPr>
          <w:p>
            <w:r>
              <w:t>Requisition chronology, approvals, DoA, contract schedule, invoice/service evidence.</w:t>
            </w:r>
          </w:p>
        </w:tc>
      </w:tr>
    </w:tbl>
    <w:p>
      <w:pPr>
        <w:pStyle w:val="Heading1"/>
      </w:pPr>
      <w:r>
        <w:t>8. False-positive stress testing</w:t>
      </w:r>
    </w:p>
    <w:p>
      <w:r>
        <w:t>CIIP subjected the case to deliberate failure tests: broad-cluster decomposition, PO-count reconstruction, line-vs-total spend reconciliation, threshold inference, price comparability, payment-direction testing, supplier-only identity, and missing-evidence tests. Several attractive interpretations failed or were downgraded under stronger controls. The full stress-test matrix is supplied with this package.</w:t>
      </w:r>
    </w:p>
    <w:p>
      <w:pPr>
        <w:pStyle w:val="Heading1"/>
      </w:pPr>
      <w:r>
        <w:t>9. Final conclusion</w:t>
      </w:r>
    </w:p>
    <w:p>
      <w:r>
        <w:t>Investigation priority — YES. Commercial leakage established — NO.</w:t>
      </w:r>
    </w:p>
    <w:p>
      <w:r>
        <w:t>The study therefore demonstrates a capability that is more important than anomaly generation: controlled escalation. A suspicious pattern is allowed to become narrower as evidence improves, and it is allowed to stop when the available evidence no longer supports the claim.</w:t>
      </w:r>
    </w:p>
    <w:p>
      <w:pPr>
        <w:pStyle w:val="Heading1"/>
      </w:pPr>
      <w:r>
        <w:t>10. CIIP evidence architecture</w:t>
      </w:r>
    </w:p>
    <w:p>
      <w:pPr>
        <w:pStyle w:val="ListBullet"/>
      </w:pPr>
      <w:r>
        <w:t>Signal — a deterministic or analytical pattern that deserves attention.</w:t>
      </w:r>
    </w:p>
    <w:p>
      <w:pPr>
        <w:pStyle w:val="ListBullet"/>
      </w:pPr>
      <w:r>
        <w:t>Investigation Priority — the signal survives identity and comparability checks.</w:t>
      </w:r>
    </w:p>
    <w:p>
      <w:pPr>
        <w:pStyle w:val="ListBullet"/>
      </w:pPr>
      <w:r>
        <w:t>Evidence-Supported Discrepancy — primary transaction evidence is independently corroborated.</w:t>
      </w:r>
    </w:p>
    <w:p>
      <w:pPr>
        <w:pStyle w:val="ListBullet"/>
      </w:pPr>
      <w:r>
        <w:t>Potential Exposure — a quantified commercial amount linked to a validated issue, not yet realized.</w:t>
      </w:r>
    </w:p>
    <w:p>
      <w:pPr>
        <w:pStyle w:val="ListBullet"/>
      </w:pPr>
      <w:r>
        <w:t>Validated Commercial Impact — management validates the issue and action.</w:t>
      </w:r>
    </w:p>
    <w:p>
      <w:pPr>
        <w:pStyle w:val="ListBullet"/>
      </w:pPr>
      <w:r>
        <w:t>Recovery / Correction — documented financial or control correction has occurred.</w:t>
      </w:r>
    </w:p>
    <w:p>
      <w:pPr>
        <w:pStyle w:val="ListBullet"/>
      </w:pPr>
      <w:r>
        <w:t>Cleared / Explained — a plausible, evidenced benign explanation resolves the signal.</w:t>
      </w:r>
    </w:p>
    <w:p>
      <w:pPr>
        <w:pStyle w:val="Heading1"/>
      </w:pPr>
      <w:r>
        <w:t>11. What CIIP will add beyond a red-flag engine</w:t>
      </w:r>
    </w:p>
    <w:p>
      <w:r>
        <w:t>Open procurement analytics already contains mature red-flag approaches. The Open Contracting Partnership publishes 73 public-procurement indicators and Cardinal operationalizes data coverage, quality preparation and indicator calculation. CIIP does not claim novelty for anomaly detection itself. Its proposed differentiation is the evidence architecture around the signal: eligibility → corroboration → reconciliation → evidence gate → commercial state.</w:t>
      </w:r>
    </w:p>
    <w:p>
      <w:r>
        <w:t>This is intentionally compatible with established procurement-integrity practice rather than positioned as a replacement for it.</w:t>
      </w:r>
    </w:p>
    <w:p>
      <w:pPr>
        <w:pStyle w:val="Heading1"/>
      </w:pPr>
      <w:r>
        <w:t>12. Research roadmap</w:t>
      </w:r>
    </w:p>
    <w:p>
      <w:pPr>
        <w:pStyle w:val="ListNumber"/>
      </w:pPr>
      <w:r>
        <w:t>Expand the CIIP Indicator Library to 30–50 governed indicators with explicit data-eligibility rules.</w:t>
      </w:r>
    </w:p>
    <w:p>
      <w:pPr>
        <w:pStyle w:val="ListNumber"/>
      </w:pPr>
      <w:r>
        <w:t>Attach every indicator to required corroborating evidence and permitted conclusion states.</w:t>
      </w:r>
    </w:p>
    <w:p>
      <w:pPr>
        <w:pStyle w:val="ListNumber"/>
      </w:pPr>
      <w:r>
        <w:t>Run false-positive stress tests as a standard pre-publication control.</w:t>
      </w:r>
    </w:p>
    <w:p>
      <w:pPr>
        <w:pStyle w:val="ListNumber"/>
      </w:pPr>
      <w:r>
        <w:t>Extend the lifecycle from tender → award → contract → PO → invoice → payment where public data permits.</w:t>
      </w:r>
    </w:p>
    <w:p>
      <w:pPr>
        <w:pStyle w:val="ListNumber"/>
      </w:pPr>
      <w:r>
        <w:t>Add network/identity analysis across supplier, buyer, department, contract and transaction relationships.</w:t>
      </w:r>
    </w:p>
    <w:p>
      <w:pPr>
        <w:pStyle w:val="ListNumber"/>
      </w:pPr>
      <w:r>
        <w:t>Test the methodology on external, anonymized corporate procurement data.</w:t>
      </w:r>
    </w:p>
    <w:p>
      <w:pPr>
        <w:pStyle w:val="Heading1"/>
      </w:pPr>
      <w:r>
        <w:t>Methodological boundary</w:t>
      </w:r>
    </w:p>
    <w:p>
      <w:r>
        <w:t>This is a public-data research study, not a statutory audit, forensic audit, fraud determination or assertion of supplier wrongdoing. Public datasets may contain errors, missing fields and system-specific identifiers. Conclusions are limited to the evidence actually available.</w:t>
      </w:r>
    </w:p>
    <w:p>
      <w:r>
        <w:t>CIIP Intelligence Advisory — Evidence first. Commercial claims second.</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